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230C" w14:paraId="24B2F7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9CECE6" w14:textId="77777777" w:rsidR="00751A4A" w:rsidRPr="00F1230C" w:rsidRDefault="004565D7" w:rsidP="0010095E">
            <w:pPr>
              <w:pStyle w:val="EPName"/>
            </w:pPr>
            <w:r w:rsidRPr="00F1230C">
              <w:t>Parlament Europejski</w:t>
            </w:r>
          </w:p>
          <w:p w14:paraId="7339139C" w14:textId="77777777" w:rsidR="00751A4A" w:rsidRPr="00F123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230C">
              <w:t>2024</w:t>
            </w:r>
            <w:r w:rsidR="00817416" w:rsidRPr="00F1230C">
              <w:t>-202</w:t>
            </w:r>
            <w:r w:rsidRPr="00F1230C">
              <w:t>9</w:t>
            </w:r>
          </w:p>
        </w:tc>
        <w:tc>
          <w:tcPr>
            <w:tcW w:w="2268" w:type="dxa"/>
            <w:shd w:val="clear" w:color="auto" w:fill="auto"/>
          </w:tcPr>
          <w:p w14:paraId="6FB242A0" w14:textId="77777777" w:rsidR="00751A4A" w:rsidRPr="00F1230C" w:rsidRDefault="00187494" w:rsidP="0010095E">
            <w:pPr>
              <w:pStyle w:val="EPLogo"/>
            </w:pPr>
            <w:r w:rsidRPr="00F1230C">
              <w:rPr>
                <w:noProof/>
                <w:lang w:eastAsia="ja-JP"/>
              </w:rPr>
              <w:drawing>
                <wp:inline distT="0" distB="0" distL="0" distR="0" wp14:anchorId="1FFF35A4" wp14:editId="1CB991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C1475A" w14:textId="77777777" w:rsidR="00D058B8" w:rsidRPr="00F1230C" w:rsidRDefault="00D058B8" w:rsidP="004C5D52">
      <w:pPr>
        <w:pStyle w:val="LineTop"/>
      </w:pPr>
    </w:p>
    <w:p w14:paraId="11DAFE8C" w14:textId="77777777" w:rsidR="00680577" w:rsidRPr="00F1230C" w:rsidRDefault="004565D7" w:rsidP="00680577">
      <w:pPr>
        <w:pStyle w:val="EPBodyTA1"/>
      </w:pPr>
      <w:r w:rsidRPr="00F1230C">
        <w:t>TEKSTY PRZYJĘTE</w:t>
      </w:r>
    </w:p>
    <w:p w14:paraId="1963F2D7" w14:textId="77777777" w:rsidR="00D058B8" w:rsidRPr="00F1230C" w:rsidRDefault="00D058B8" w:rsidP="00D058B8">
      <w:pPr>
        <w:pStyle w:val="LineBottom"/>
      </w:pPr>
    </w:p>
    <w:p w14:paraId="2A67E701" w14:textId="4FB7805E" w:rsidR="004565D7" w:rsidRPr="00F1230C" w:rsidRDefault="004565D7" w:rsidP="004565D7">
      <w:pPr>
        <w:pStyle w:val="ATHeading1"/>
      </w:pPr>
      <w:bookmarkStart w:id="0" w:name="TANumber"/>
      <w:r w:rsidRPr="00F1230C">
        <w:t>P10_</w:t>
      </w:r>
      <w:proofErr w:type="gramStart"/>
      <w:r w:rsidRPr="00F1230C">
        <w:t>TA(</w:t>
      </w:r>
      <w:proofErr w:type="gramEnd"/>
      <w:r w:rsidRPr="00F1230C">
        <w:t>2026)000</w:t>
      </w:r>
      <w:r w:rsidR="00C3635F">
        <w:t>3</w:t>
      </w:r>
      <w:bookmarkEnd w:id="0"/>
    </w:p>
    <w:p w14:paraId="6F15D8BB" w14:textId="77777777" w:rsidR="004565D7" w:rsidRPr="00F1230C" w:rsidRDefault="004565D7" w:rsidP="004565D7">
      <w:pPr>
        <w:pStyle w:val="ATHeading2"/>
      </w:pPr>
      <w:bookmarkStart w:id="1" w:name="title"/>
      <w:r w:rsidRPr="00F1230C">
        <w:t>Dyrektywa w sprawie sprawiedliwej transformacji w świecie pracy: zapewnienie tworzenia miejsc pracy i rewitalizacji lokalnych gospodarek</w:t>
      </w:r>
      <w:bookmarkEnd w:id="1"/>
    </w:p>
    <w:p w14:paraId="34286B71" w14:textId="77777777" w:rsidR="004565D7" w:rsidRPr="00F1230C" w:rsidRDefault="004565D7" w:rsidP="004565D7">
      <w:pPr>
        <w:rPr>
          <w:i/>
          <w:vanish/>
        </w:rPr>
      </w:pPr>
      <w:r w:rsidRPr="00F1230C">
        <w:rPr>
          <w:i/>
        </w:rPr>
        <w:fldChar w:fldCharType="begin"/>
      </w:r>
      <w:r w:rsidRPr="00F1230C">
        <w:rPr>
          <w:i/>
        </w:rPr>
        <w:instrText xml:space="preserve"> TC"(</w:instrText>
      </w:r>
      <w:bookmarkStart w:id="2" w:name="DocNumber"/>
      <w:r w:rsidRPr="00F1230C">
        <w:rPr>
          <w:i/>
        </w:rPr>
        <w:instrText>A10-0261/2025</w:instrText>
      </w:r>
      <w:bookmarkEnd w:id="2"/>
      <w:r w:rsidRPr="00F1230C">
        <w:rPr>
          <w:i/>
        </w:rPr>
        <w:instrText xml:space="preserve"> - Sprawozdawczyni: Jana Toom)"\l3 \n&gt; \* MERGEFORMAT </w:instrText>
      </w:r>
      <w:r w:rsidRPr="00F1230C">
        <w:rPr>
          <w:i/>
        </w:rPr>
        <w:fldChar w:fldCharType="end"/>
      </w:r>
    </w:p>
    <w:p w14:paraId="0DAEA6B2" w14:textId="77777777" w:rsidR="004565D7" w:rsidRPr="00F1230C" w:rsidRDefault="004565D7" w:rsidP="004565D7">
      <w:pPr>
        <w:rPr>
          <w:vanish/>
        </w:rPr>
      </w:pPr>
      <w:bookmarkStart w:id="3" w:name="Commission"/>
      <w:r w:rsidRPr="00F1230C">
        <w:rPr>
          <w:vanish/>
        </w:rPr>
        <w:t>Komisja Zatrudnienia i Spraw Socjalnych</w:t>
      </w:r>
      <w:bookmarkEnd w:id="3"/>
    </w:p>
    <w:p w14:paraId="003DA993" w14:textId="77777777" w:rsidR="004565D7" w:rsidRPr="00F1230C" w:rsidRDefault="004565D7" w:rsidP="004565D7">
      <w:pPr>
        <w:rPr>
          <w:vanish/>
        </w:rPr>
      </w:pPr>
      <w:bookmarkStart w:id="4" w:name="PE"/>
      <w:r w:rsidRPr="00F1230C">
        <w:rPr>
          <w:vanish/>
        </w:rPr>
        <w:t>PE775.632</w:t>
      </w:r>
      <w:bookmarkEnd w:id="4"/>
    </w:p>
    <w:p w14:paraId="69E79FCF" w14:textId="3931EDDD" w:rsidR="004565D7" w:rsidRPr="00F1230C" w:rsidRDefault="004565D7" w:rsidP="00356C10">
      <w:pPr>
        <w:pStyle w:val="ATHeading3"/>
      </w:pPr>
      <w:bookmarkStart w:id="5" w:name="Sujet"/>
      <w:r w:rsidRPr="007030A7">
        <w:t>Rezolucja Parlamentu Europejskiego z</w:t>
      </w:r>
      <w:r w:rsidRPr="00F1230C">
        <w:t xml:space="preserve"> dnia </w:t>
      </w:r>
      <w:r w:rsidR="007030A7">
        <w:t>20</w:t>
      </w:r>
      <w:r w:rsidR="001263AF">
        <w:t xml:space="preserve"> </w:t>
      </w:r>
      <w:r w:rsidR="001263AF" w:rsidRPr="001263AF">
        <w:t>stycznia</w:t>
      </w:r>
      <w:r w:rsidRPr="00F1230C">
        <w:t xml:space="preserve"> 2026 r. zawierające zalecenia dla Komisji dotyczące dyrektywy w sprawie sprawiedliwej transformacji w świecie pracy: zapewnienie tworzenia miejsc pracy i rewitalizacji lokalnych gospodarek</w:t>
      </w:r>
      <w:bookmarkEnd w:id="5"/>
      <w:r w:rsidRPr="00F1230C">
        <w:t xml:space="preserve"> </w:t>
      </w:r>
      <w:bookmarkStart w:id="6" w:name="References"/>
      <w:r w:rsidRPr="00F1230C">
        <w:t>(2025/2131(INL))</w:t>
      </w:r>
      <w:bookmarkEnd w:id="6"/>
    </w:p>
    <w:p w14:paraId="580FA3BB" w14:textId="77777777" w:rsidR="00D96E12" w:rsidRPr="00F1230C" w:rsidRDefault="00D96E12" w:rsidP="00D96E12">
      <w:pPr>
        <w:pStyle w:val="EPComma"/>
      </w:pPr>
      <w:bookmarkStart w:id="7" w:name="TextBodyBegin"/>
      <w:bookmarkEnd w:id="7"/>
      <w:r w:rsidRPr="00F1230C">
        <w:rPr>
          <w:i/>
        </w:rPr>
        <w:t>Parlament Europejski</w:t>
      </w:r>
      <w:r w:rsidRPr="00F1230C">
        <w:t>,</w:t>
      </w:r>
    </w:p>
    <w:p w14:paraId="6B093365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art. 153 i 225 Traktatu o funkcjonowaniu Unii Europejskiej (TFUE),</w:t>
      </w:r>
    </w:p>
    <w:p w14:paraId="5B058A33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opinię Komisji Prawnej w sprawie proponowanej podstawy prawnej,</w:t>
      </w:r>
    </w:p>
    <w:p w14:paraId="7E939E91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art. 47 i 55 Regulaminu,</w:t>
      </w:r>
    </w:p>
    <w:p w14:paraId="00370AEE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art. 4, 9, 46, 149, 151, 153, 162, 164, 174–178 i 349 TFUE,</w:t>
      </w:r>
    </w:p>
    <w:p w14:paraId="5AAAEF73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komunikat Komisji z dnia 11 grudnia 2019 r. pt. „Europejski Zielony Ład” (</w:t>
      </w:r>
      <w:proofErr w:type="gramStart"/>
      <w:r w:rsidRPr="00F1230C">
        <w:t>COM(</w:t>
      </w:r>
      <w:proofErr w:type="gramEnd"/>
      <w:r w:rsidRPr="00F1230C">
        <w:t>2019)0640),</w:t>
      </w:r>
    </w:p>
    <w:p w14:paraId="6AB1084F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komunikat Komisji z dnia 4 marca 2021 r. pt. „Plan działania na rzecz Europejskiego filaru praw socjalnych” (</w:t>
      </w:r>
      <w:proofErr w:type="gramStart"/>
      <w:r w:rsidRPr="00F1230C">
        <w:t>COM(</w:t>
      </w:r>
      <w:proofErr w:type="gramEnd"/>
      <w:r w:rsidRPr="00F1230C">
        <w:t>2021)0102),</w:t>
      </w:r>
    </w:p>
    <w:p w14:paraId="2498BEC1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rozporządzenie Parlamentu Europejskiego i Rady (UE) 2021/241 z dnia 12 lutego 2021 r. ustanawiające Instrument na rzecz Odbudowy i Zwiększania Odporności</w:t>
      </w:r>
      <w:r w:rsidRPr="00F1230C">
        <w:rPr>
          <w:rStyle w:val="FootnoteReference"/>
        </w:rPr>
        <w:footnoteReference w:id="1"/>
      </w:r>
      <w:r w:rsidRPr="00F1230C">
        <w:t xml:space="preserve"> (RRF),</w:t>
      </w:r>
    </w:p>
    <w:p w14:paraId="12DAB5DA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rozporządzenie Parlamentu Europejskiego i Rady (UE) 2021/1056 z dnia 24 czerwca 2021 r. ustanawiające Fundusz na rzecz Sprawiedliwej Transformacji</w:t>
      </w:r>
      <w:r w:rsidRPr="00F1230C">
        <w:rPr>
          <w:rStyle w:val="FootnoteReference"/>
        </w:rPr>
        <w:footnoteReference w:id="2"/>
      </w:r>
      <w:r w:rsidRPr="00F1230C">
        <w:t>,</w:t>
      </w:r>
    </w:p>
    <w:p w14:paraId="6B7F2776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 xml:space="preserve">uwzględniając rozporządzenie Parlamentu Europejskiego i Rady (UE) 2021/1057 z dnia 24 czerwca 2021 r. ustanawiające Europejski Fundusz Społeczny Plus (EFS+) oraz </w:t>
      </w:r>
      <w:r w:rsidRPr="00F1230C">
        <w:lastRenderedPageBreak/>
        <w:t>uchylające rozporządzenie (UE) nr 1296/2013</w:t>
      </w:r>
      <w:r w:rsidRPr="00F1230C">
        <w:rPr>
          <w:rStyle w:val="FootnoteReference"/>
        </w:rPr>
        <w:footnoteReference w:id="3"/>
      </w:r>
      <w:r w:rsidRPr="00F1230C">
        <w:t>,</w:t>
      </w:r>
    </w:p>
    <w:p w14:paraId="0819CDB6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rozporządzenie Parlamentu Europejskiego i Rady (UE) 2021/691 z dnia 28 kwietnia 2021 r. w sprawie Europejskiego Funduszu Dostosowania do Globalizacji dla Zwalnianych Pracowników (EFG) oraz uchylenia rozporządzenia (UE) nr 1309/2013</w:t>
      </w:r>
      <w:r w:rsidRPr="00F1230C">
        <w:rPr>
          <w:rStyle w:val="FootnoteReference"/>
        </w:rPr>
        <w:footnoteReference w:id="4"/>
      </w:r>
      <w:r w:rsidRPr="00F1230C">
        <w:t>,</w:t>
      </w:r>
    </w:p>
    <w:p w14:paraId="60F56BB3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rozporządzenie Parlamentu Europejskiego i Rady (UE) 2023/955 z dnia 10 maja 2023 r. w sprawie ustanowienia Społecznego Funduszu Klimatycznego i zmieniające rozporządzenie (UE) 2021/1060</w:t>
      </w:r>
      <w:r w:rsidRPr="00F1230C">
        <w:rPr>
          <w:rStyle w:val="FootnoteReference"/>
        </w:rPr>
        <w:footnoteReference w:id="5"/>
      </w:r>
      <w:r w:rsidRPr="00F1230C">
        <w:t>,</w:t>
      </w:r>
    </w:p>
    <w:p w14:paraId="42318ECA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dyrektywę 2003/87/WE Parlamentu Europejskiego i Rady z dnia 13 października 2003 r. ustanawiającą system handlu przydziałami emisji gazów cieplarnianych we Wspólnocie oraz zmieniającą dyrektywę Rady 96/61/WE</w:t>
      </w:r>
      <w:r w:rsidRPr="00F1230C">
        <w:rPr>
          <w:rStyle w:val="FootnoteReference"/>
        </w:rPr>
        <w:footnoteReference w:id="6"/>
      </w:r>
      <w:r w:rsidRPr="00F1230C">
        <w:t>,</w:t>
      </w:r>
    </w:p>
    <w:p w14:paraId="023FB048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briefing dotyczący oceny europejskiej wartości dodanej z września 2025 r. pt. „Dyrektywa w sprawie sprawiedliwej transformacji w świecie pracy: zapewnienie tworzenia miejsc pracy i rewitalizacji lokalnych gospodarek”,</w:t>
      </w:r>
    </w:p>
    <w:p w14:paraId="605A65EA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swoją rezolucję z dnia 23 listopada 2023 r. w sprawie tworzenia miejsc pracy – sprawiedliwa transformacja i inwestycje społeczne,</w:t>
      </w:r>
    </w:p>
    <w:p w14:paraId="07049EDA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rezolucję Międzynarodowej Organizacji Pracy (MOP) w sprawie sprawiedliwej transformacji w kierunku zrównoważonych środowiskowo gospodarek i społeczeństw dla wszystkich</w:t>
      </w:r>
      <w:r w:rsidRPr="00F1230C">
        <w:rPr>
          <w:rStyle w:val="FootnoteReference"/>
        </w:rPr>
        <w:footnoteReference w:id="7"/>
      </w:r>
      <w:r w:rsidRPr="00F1230C">
        <w:t>,</w:t>
      </w:r>
    </w:p>
    <w:p w14:paraId="574EB755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sprawozdanie Enrica Letty z dnia 10 kwietnia 2024 r. pt. „Much more than a market” [Znacznie więcej niż rynek],</w:t>
      </w:r>
    </w:p>
    <w:p w14:paraId="01DC232E" w14:textId="713A8D09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sprawozdanie Maria Draghiego z</w:t>
      </w:r>
      <w:r w:rsidR="00A5074D">
        <w:t xml:space="preserve"> dnia 9</w:t>
      </w:r>
      <w:r w:rsidRPr="00F1230C">
        <w:t xml:space="preserve"> września 2024 r. pt. „The future of European competitiveness” [Przyszłość europejskiej konkurencyjności] („sprawozdanie Draghiego”),</w:t>
      </w:r>
    </w:p>
    <w:p w14:paraId="753E5361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 xml:space="preserve">uwzględniając plan działania na rzecz wysokiej jakości miejsc pracy, </w:t>
      </w:r>
    </w:p>
    <w:p w14:paraId="7311AEDE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swoją rezolucję z dnia 10 września 2025 r. w sprawie roli polityki spójności we wspieraniu sprawiedliwej transformacji,</w:t>
      </w:r>
    </w:p>
    <w:p w14:paraId="086E6A85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zalecenie Rady dotyczące sprawiedliwej transformacji w kierunku neutralności klimatycznej z 2022 r.,</w:t>
      </w:r>
    </w:p>
    <w:p w14:paraId="0EF92B23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zalecenie Rady dotyczące sprawiedliwej transformacji w kierunku neutralności klimatycznej z 2022 r. oraz główne przesłania Komitetu ds. Zatrudnienia i Komitetu Ochrony Socjalnej dotyczące jego wdrażania,</w:t>
      </w:r>
    </w:p>
    <w:p w14:paraId="07F8A7BF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 xml:space="preserve">uwzględniając swoją rezolucję z dnia 17 grudnia 2020 r. w sprawie silnej Europy </w:t>
      </w:r>
      <w:r w:rsidRPr="00F1230C">
        <w:lastRenderedPageBreak/>
        <w:t>socjalnej na rzecz sprawiedliwej transformacji,</w:t>
      </w:r>
    </w:p>
    <w:p w14:paraId="69480F8B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swoją rezolucję z dnia 9 września 2025 r. w sprawie zamówień publicznych,</w:t>
      </w:r>
    </w:p>
    <w:p w14:paraId="0C893A71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wytyczne polityczne na następną kadencję Komisji Europejskiej 2024−2029,</w:t>
      </w:r>
    </w:p>
    <w:p w14:paraId="0793A698" w14:textId="51795D5A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komunikat Komisji z dnia 26 lutego 2025 r. w sprawie Paktu dla czystego przemysłu (</w:t>
      </w:r>
      <w:proofErr w:type="gramStart"/>
      <w:r w:rsidRPr="00F1230C">
        <w:t>COM(</w:t>
      </w:r>
      <w:proofErr w:type="gramEnd"/>
      <w:r w:rsidRPr="00F1230C">
        <w:t>2025)0085),</w:t>
      </w:r>
    </w:p>
    <w:p w14:paraId="466AC8C5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komunikat Komisji z lipca 2025 r. pt. „Ramy środków pomocy państwa na rzecz wsparcia Paktu dla czystego przemysłu” (C/2025/3602),</w:t>
      </w:r>
    </w:p>
    <w:p w14:paraId="09A50636" w14:textId="53FC37E6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 xml:space="preserve">uwzględniając deklarację z La Hulpe z </w:t>
      </w:r>
      <w:r w:rsidR="008C3B52">
        <w:t xml:space="preserve">dnia </w:t>
      </w:r>
      <w:r w:rsidRPr="00F1230C">
        <w:t>16 kwietnia 2024 r. w sprawie przyszłości Europejskiego filaru praw socjalnych,</w:t>
      </w:r>
    </w:p>
    <w:p w14:paraId="1AEBF486" w14:textId="114CE53A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 xml:space="preserve">uwzględniając opinię Komitetu ds. Zatrudnienia (EMCO) Rady Unii Europejskiej z </w:t>
      </w:r>
      <w:r w:rsidR="008C3B52">
        <w:t xml:space="preserve">dnia </w:t>
      </w:r>
      <w:r w:rsidRPr="00F1230C">
        <w:t>6 czerwca 2025 r. w sprawie aspektów jakości zatrudnienia,</w:t>
      </w:r>
    </w:p>
    <w:p w14:paraId="69108747" w14:textId="5044524A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 xml:space="preserve">uwzględniając opinię Europejskiego Komitetu Ekonomiczno-Społecznego z </w:t>
      </w:r>
      <w:r w:rsidR="008C3B52">
        <w:t xml:space="preserve">dnia </w:t>
      </w:r>
      <w:r w:rsidRPr="00F1230C">
        <w:t>4 grudnia 2024 r. pt. „W kierunku wniosku ustawodawczego dotyczącego sprawiedliwej transformacji i w kierunku narzędzi polityki UE umożliwiających bardziej społeczny Europejski Zielony Ład”,</w:t>
      </w:r>
    </w:p>
    <w:p w14:paraId="3A229D63" w14:textId="77777777" w:rsidR="00D96E12" w:rsidRPr="00F1230C" w:rsidRDefault="00D96E12" w:rsidP="00D96E12">
      <w:pPr>
        <w:pStyle w:val="NormalHanging12a"/>
      </w:pPr>
      <w:r w:rsidRPr="00F1230C">
        <w:t>–</w:t>
      </w:r>
      <w:r w:rsidRPr="00F1230C">
        <w:tab/>
        <w:t>uwzględniając sprawozdanie Komisji Zatrudnienia i Spraw Socjalnych (A10-0261/2025),</w:t>
      </w:r>
    </w:p>
    <w:p w14:paraId="5CFCBCB3" w14:textId="77777777" w:rsidR="00D96E12" w:rsidRPr="00F1230C" w:rsidRDefault="00D96E12" w:rsidP="00D96E12">
      <w:pPr>
        <w:pStyle w:val="NormalHanging12a"/>
      </w:pPr>
      <w:r w:rsidRPr="00F1230C">
        <w:t>A.</w:t>
      </w:r>
      <w:r w:rsidRPr="00F1230C">
        <w:tab/>
        <w:t>mając na uwadze, że transformacja ekologiczna i cyfrowa ma na różne sposoby głęboki wpływ transformacyjny na gospodarki, społeczeństwa, regiony i miejsca pracy w Europie, co wymaga kompleksowych środków polityki społecznej i polityki zatrudnienia, aby zapobiegać niekorzystnym skutkom oraz wspierać spójność gospodarczą, społeczną i terytorialną; mając na uwadze, że zapewnienie skutecznego przejścia na neutralną dla klimatu i cyfrową gospodarkę oraz zmniejszenie zależności od dostaw energii ma zasadnicze znaczenie dla długoterminowego dobrobytu, dobrostanu, zrównoważonego rozwoju, wzrostu gospodarczego i konkurencyjności Europy; mając na uwadze, że ostateczny sukces dwojakiej transformacji będzie w dużym stopniu zależał od dopilnowania, aby transformacja była sprawiedliwa i inkluzywna dla pracowników, przedsiębiorstw i regionów oraz aby przyczyniała się do sprawiedliwości społecznej dla wszystkich, ze szczególnym naciskiem na podmioty znajdujące się w najtrudniejszej sytuacji, tak by nikt nie został pominięty; mając na uwadze, że sama sprawiedliwa transformacja mogłaby przynieść korzyści w wysokości 261 mld EUR rocznie, w szczególności dzięki rozwiązaniu problemu nierówności społecznych i dysproporcji regionalnych</w:t>
      </w:r>
      <w:r w:rsidRPr="00F1230C">
        <w:rPr>
          <w:rStyle w:val="FootnoteReference"/>
        </w:rPr>
        <w:footnoteReference w:id="8"/>
      </w:r>
      <w:r w:rsidRPr="00F1230C">
        <w:t>; mając na uwadze, że ścieżki rozwoju każdego z dotkniętych regionów będą różne w zależności od ich realiów gospodarczych i społecznych;</w:t>
      </w:r>
    </w:p>
    <w:p w14:paraId="66E001C8" w14:textId="77777777" w:rsidR="00D96E12" w:rsidRPr="00F1230C" w:rsidRDefault="00D96E12" w:rsidP="00D96E12">
      <w:pPr>
        <w:pStyle w:val="NormalHanging12a"/>
      </w:pPr>
      <w:r w:rsidRPr="00F1230C">
        <w:t>B.</w:t>
      </w:r>
      <w:r w:rsidRPr="00F1230C">
        <w:tab/>
        <w:t xml:space="preserve">mając na uwadze, że wpływ dwojakiej transformacji na zatrudnienie jest asymetryczny w całej Unii, a skutki społeczno-gospodarcze różnią się znacznie w poszczególnych regionach; mając na uwadze, że pojawia się wyzwanie przestrzenne polegające na tym, </w:t>
      </w:r>
      <w:r w:rsidRPr="00F1230C">
        <w:lastRenderedPageBreak/>
        <w:t>że miejsca pracy w nowoczesnej, zasobooszczędnej i konkurencyjnej gospodarce mogą powstawać w regionach innych niż te, w których nastąpiła utrata miejsc pracy;</w:t>
      </w:r>
    </w:p>
    <w:p w14:paraId="3AB13EEE" w14:textId="77777777" w:rsidR="00D96E12" w:rsidRPr="00F1230C" w:rsidRDefault="00D96E12" w:rsidP="00D96E12">
      <w:pPr>
        <w:pStyle w:val="NormalHanging12a"/>
      </w:pPr>
      <w:r w:rsidRPr="00F1230C">
        <w:t>C.</w:t>
      </w:r>
      <w:r w:rsidRPr="00F1230C">
        <w:tab/>
        <w:t>mając na uwadze, że transformacją należy zarządzać w taki sposób, by zapewnić włączenie społeczne, ograniczyć ubóstwo i nierówności oraz wykorzystać potencjał tworzenia wysokiej jakości miejsc pracy, wspierania demokracji w miejscu pracy, ochrony praw pracowniczych i podnoszenia norm pracy w dotkniętych sektorach;</w:t>
      </w:r>
    </w:p>
    <w:p w14:paraId="3CC8122B" w14:textId="77777777" w:rsidR="00D96E12" w:rsidRPr="00F1230C" w:rsidRDefault="00D96E12" w:rsidP="00D96E12">
      <w:pPr>
        <w:pStyle w:val="NormalHanging12a"/>
      </w:pPr>
      <w:r w:rsidRPr="00F1230C">
        <w:t>D.</w:t>
      </w:r>
      <w:r w:rsidRPr="00F1230C">
        <w:tab/>
        <w:t>mając na uwadze, że rynki pracy w UE są nadal podzielone terytorialnie oraz że jakość miejsc pracy i umowy o pracę wskazują na rosnące stosowanie niestandardowych form zatrudnienia, zwłaszcza wśród młodzieży;</w:t>
      </w:r>
    </w:p>
    <w:p w14:paraId="626DD010" w14:textId="77777777" w:rsidR="00D96E12" w:rsidRPr="00F1230C" w:rsidRDefault="00D96E12" w:rsidP="00D96E12">
      <w:pPr>
        <w:pStyle w:val="NormalHanging12a"/>
      </w:pPr>
      <w:r w:rsidRPr="00F1230C">
        <w:t>E.</w:t>
      </w:r>
      <w:r w:rsidRPr="00F1230C">
        <w:tab/>
        <w:t>mając na uwadze, że w zarządzaniu przechodzeniem na gospodarkę neutralną pod względem emisji dwutlenku węgla należy nie tylko wspierać tworzenie nowych, wysokiej jakości miejsc pracy w sektorach wschodzących, ale także utrzymywać istniejące miejsca pracy i sektory i dostosowywać je do bardziej zrównoważonych i czystych gałęzi przemysłu i technologii dla ludzi, zwłaszcza osób mieszkających na terytoriach w większym stopniu dotkniętych skutkami transformacji; mając na uwadze, że szczególne skupienie się na regionach i gałęziach przemysłu zależnych od paliw kopalnych ma kluczowe znaczenie, ponieważ będą one musiały zostać przeprojektowane w celu wypełnienia zobowiązań klimatycznych Unii; mając na uwadze, że ważne jest, aby wszyscy, w tym pracownicy i osoby poszukujące pracy, byli wspierani w zarządzaniu transformacją, aby zapewnić zrozumienie, akceptację i skuteczność celów strategii długoterminowej na 2050 r.; mając na uwadze, że jak wynika z badań Eurofound</w:t>
      </w:r>
      <w:r w:rsidRPr="00F1230C">
        <w:rPr>
          <w:rStyle w:val="FootnoteReference"/>
        </w:rPr>
        <w:footnoteReference w:id="9"/>
      </w:r>
      <w:r w:rsidRPr="00F1230C">
        <w:t>, szerokie zaangażowanie społeczeństwa obywatelskiego, partnerów społecznych i organów publicznych w proces transformacji ma kluczowe znaczenie dla zapewnienia zysków z działalności gospodarczej i zasobów gospodarczych oraz ich sprawiedliwego podziału, a także dla radzenia sobie z konfliktami;</w:t>
      </w:r>
    </w:p>
    <w:p w14:paraId="29D3EADA" w14:textId="77777777" w:rsidR="00D96E12" w:rsidRPr="00F1230C" w:rsidRDefault="00D96E12" w:rsidP="00D96E12">
      <w:pPr>
        <w:pStyle w:val="NormalHanging12a"/>
      </w:pPr>
      <w:r w:rsidRPr="00F1230C">
        <w:t>F.</w:t>
      </w:r>
      <w:r w:rsidRPr="00F1230C">
        <w:tab/>
        <w:t>mając na uwadze, że transformacja gospodarcza Europy wymaga silnego skupienia się na konkurencyjności i wzroście; mając na uwadze, że przedsiębiorcom i osobom tworzącym miejsca pracy należy zapewnić odpowiednie warunki do inwestowania i rozszerzania działalności, a zapewnienie efektywnego wykorzystania funduszy ma zasadnicze znaczenie dla przyciągnięcia inwestycji prywatnych; mając na uwadze, że ważne jest, aby obywatele, zarówno na obszarach miejskich, jak i wiejskich, angażowali się w sprawiedliwą transformację, która równoważy konkurencyjność z solidarnością, i wspierali ją, a także aby mogli mieć pewność, że ich praca, dochód i sposób życia zostaną zachowane, tak by nikt nie został pominięty;</w:t>
      </w:r>
    </w:p>
    <w:p w14:paraId="41E57C65" w14:textId="77777777" w:rsidR="00D96E12" w:rsidRPr="00F1230C" w:rsidRDefault="00D96E12" w:rsidP="00D96E12">
      <w:pPr>
        <w:pStyle w:val="NormalHanging12a"/>
      </w:pPr>
      <w:r w:rsidRPr="00F1230C">
        <w:t>G.</w:t>
      </w:r>
      <w:r w:rsidRPr="00F1230C">
        <w:tab/>
        <w:t xml:space="preserve">mając na uwadze, że chociaż celem szereg ważnych unijnych inicjatyw ustawodawczych i nieustawodawczych ma na celu zaradzenie skutkom dwojakiej transformacji – lub może w tym pomóc – (w szczególności mechanizm sprawiedliwej transformacji, FST, EFG, Unia umiejętności, Społeczny Fundusz Klimatyczny, EFS+ i RRF) oraz zwiększenie konkurencji, nadal istnieją luki w ramach legislacyjnych i politycznych w odniesieniu do zakłóceń w miejscu pracy, praw pracowniczych, ochrony socjalnej, dialogu społecznego oraz możliwości kształcenia i szkolenia; mając na uwadze, że jedynie działanie na szczeblu Unii może zapewnić rzeczywistą wartość </w:t>
      </w:r>
      <w:r w:rsidRPr="00F1230C">
        <w:lastRenderedPageBreak/>
        <w:t>dodaną i równoczesną pozytywną konwergencję społeczną, aby urzeczywistnić obietnicę niepozostawiania nikogo w tyle, przy jednoczesnym uwzględnieniu modeli i tradycji krajowych rynków pracy;</w:t>
      </w:r>
    </w:p>
    <w:p w14:paraId="1BE2084F" w14:textId="77777777" w:rsidR="00D96E12" w:rsidRPr="00F1230C" w:rsidRDefault="00D96E12" w:rsidP="00D96E12">
      <w:pPr>
        <w:pStyle w:val="NormalHanging12a"/>
      </w:pPr>
      <w:r w:rsidRPr="00F1230C">
        <w:t>H.</w:t>
      </w:r>
      <w:r w:rsidRPr="00F1230C">
        <w:tab/>
        <w:t>mając na uwadze, że w sprawozdaniu Draghiego stwierdzono, że utrzymujące się niedobory wykwalifikowanej siły roboczej stanowią barierę dla innowacji, przyjęcia technologii i wysiłków na rzecz dekarbonizacji, co z kolei hamuje wzrost i konkurencyjność; mając na uwadze, że prawie cztery na pięć małych i średnich przedsiębiorstw w UE zgłasza trudności ze znalezieniem pracowników posiadających odpowiednie umiejętności; mając na uwadze, że spadek poziomu systemów kształcenia i szkolenia, w szczególności kształcenia i szkolenia dorosłych, powoduje, że siła robocza nie jest przygotowywana do dwojakiej transformacji; mając na uwadze, że poziom uczestnictwa dorosłych w uczeniu się pozostaje niewystarczający, ponieważ co roku uczestniczy w szkoleniach jedynie 39,5 % dorosłych</w:t>
      </w:r>
      <w:r w:rsidRPr="00F1230C">
        <w:rPr>
          <w:rStyle w:val="FootnoteReference"/>
        </w:rPr>
        <w:footnoteReference w:id="10"/>
      </w:r>
      <w:r w:rsidRPr="00F1230C">
        <w:t>, czyli odsetek znacznie niższy od celu na 2030 r. wynoszącego co najmniej 60 %, przy czym żeby ten cel osiągnąć, w szkoleniach musiałoby brać udział jeszcze około 50 mln pracowników</w:t>
      </w:r>
      <w:r w:rsidRPr="00F1230C">
        <w:rPr>
          <w:rStyle w:val="FootnoteReference"/>
        </w:rPr>
        <w:footnoteReference w:id="11"/>
      </w:r>
      <w:r w:rsidRPr="00F1230C">
        <w:t>;</w:t>
      </w:r>
    </w:p>
    <w:p w14:paraId="49657B77" w14:textId="77777777" w:rsidR="00D96E12" w:rsidRPr="00F1230C" w:rsidRDefault="00D96E12" w:rsidP="00D96E12">
      <w:pPr>
        <w:pStyle w:val="NormalHanging12a"/>
      </w:pPr>
      <w:r w:rsidRPr="00F1230C">
        <w:t>I.</w:t>
      </w:r>
      <w:r w:rsidRPr="00F1230C">
        <w:tab/>
        <w:t>mając na uwadze, że przez inwestowanie w rozwój wysokich umiejętności UE może sprzyjać pozytywnemu cyklowi wzrostu wydajności, wyższych wynagrodzeń i większej równości gospodarczej; mając na uwadze, że prawie 50 % dorosłych może potrzebować podniesienia lub zmiany kwalifikacji</w:t>
      </w:r>
      <w:r w:rsidRPr="00F1230C">
        <w:rPr>
          <w:rStyle w:val="FootnoteReference"/>
        </w:rPr>
        <w:footnoteReference w:id="12"/>
      </w:r>
      <w:r w:rsidRPr="00F1230C">
        <w:t>; mając na uwadze, że sam sektor energetyczny UE będzie potrzebował co najmniej 145 000 wykwalifikowanych pracowników do 2030 r.</w:t>
      </w:r>
      <w:r w:rsidRPr="00F1230C">
        <w:rPr>
          <w:rStyle w:val="FootnoteReference"/>
        </w:rPr>
        <w:footnoteReference w:id="13"/>
      </w:r>
      <w:r w:rsidRPr="00F1230C">
        <w:t>; mając na uwadze, że czysta technologia jest jedną z sił napędowych dobrobytu gospodarczego w Europie, gdyż w samym tylko 2023 r. odpowiadała za 30 % wzrostu gospodarczego UE i utworzenie milionów miejsc pracy</w:t>
      </w:r>
      <w:r w:rsidRPr="00F1230C">
        <w:rPr>
          <w:rStyle w:val="FootnoteReference"/>
        </w:rPr>
        <w:footnoteReference w:id="14"/>
      </w:r>
      <w:r w:rsidRPr="00F1230C">
        <w:t xml:space="preserve">; </w:t>
      </w:r>
    </w:p>
    <w:p w14:paraId="553E69FB" w14:textId="77777777" w:rsidR="00D96E12" w:rsidRPr="00F1230C" w:rsidRDefault="00D96E12" w:rsidP="00D96E12">
      <w:pPr>
        <w:pStyle w:val="NormalHanging12a"/>
      </w:pPr>
      <w:r w:rsidRPr="00F1230C">
        <w:t>J.</w:t>
      </w:r>
      <w:r w:rsidRPr="00F1230C">
        <w:tab/>
        <w:t>mając na uwadze, że europejskie strategie na rzecz umiejętności, konkurencyjności i inwestycji powinny stwarzać możliwości zarówno dla dużych przedsiębiorstw, jak i MŚP, a jednocześnie uwzględniać potrzeby krajowe, regionalne i lokalne; mając na uwadze, że strategie polityczne, które wzmacniają zdolność przemysłową, sprzyjają przedsiębiorczości i budują siłę roboczą o umiejętnościach dostosowanych do realiów lokalnych, mają zasadnicze znaczenie dla dopilnowania, aby wszyscy Europejczycy mogli czerpać korzyści ze wzrostu gospodarczego i innowacji;</w:t>
      </w:r>
    </w:p>
    <w:p w14:paraId="5674B5A6" w14:textId="77777777" w:rsidR="00D96E12" w:rsidRPr="00F1230C" w:rsidRDefault="00D96E12" w:rsidP="00D96E12">
      <w:pPr>
        <w:pStyle w:val="NormalHanging12a"/>
      </w:pPr>
      <w:r w:rsidRPr="00F1230C">
        <w:t>K.</w:t>
      </w:r>
      <w:r w:rsidRPr="00F1230C">
        <w:tab/>
        <w:t xml:space="preserve">mając na uwadze, że odpowiednio finansowane systemy opieki społecznej i ochrony socjalnej są warunkiem wstępnym zapewnienia sprawiedliwej i uczciwej transformacji w kierunku neutralności klimatycznej i transformacji cyfrowej; mając na uwadze, że w sprawozdaniu Draghiego podkreślono ponadto potrzebę zapewnienia, aby wzrost wydajności i włączenie społeczne szły w parze z systemami opieki społecznej państw członkowskich, gdyż systemy te mają kluczowe znaczenie dla świadczenia silnych usług publicznych, ochrony socjalnej, mieszkalnictwa, transportu i opieki nad dziećmi w okresie transformacji; mając na uwadze, że wysokiej jakości miejsca pracy, godne warunki pracy, dostęp do ochrony socjalnej, dialog społeczny i rokowania zbiorowe odgrywają kluczową rolę w przyciąganiu i zatrzymywaniu siły roboczej oraz są ważne </w:t>
      </w:r>
      <w:r w:rsidRPr="00F1230C">
        <w:lastRenderedPageBreak/>
        <w:t>dla konkurencyjności Unii i demokracji w miejscu pracy;</w:t>
      </w:r>
    </w:p>
    <w:p w14:paraId="5669779F" w14:textId="77777777" w:rsidR="00D96E12" w:rsidRPr="00F1230C" w:rsidRDefault="00D96E12" w:rsidP="00D96E12">
      <w:pPr>
        <w:pStyle w:val="NormalHanging12a"/>
      </w:pPr>
      <w:r w:rsidRPr="00F1230C">
        <w:t>L.</w:t>
      </w:r>
      <w:r w:rsidRPr="00F1230C">
        <w:tab/>
        <w:t>mając na uwadze, że według sprawozdania Komisji dotyczącego zatrudnienia i kwestii społecznych w Europie w 2024 r. (ESDE 2024)</w:t>
      </w:r>
      <w:r w:rsidRPr="00F1230C">
        <w:rPr>
          <w:rStyle w:val="FootnoteReference"/>
        </w:rPr>
        <w:footnoteReference w:id="15"/>
      </w:r>
      <w:r w:rsidRPr="00F1230C">
        <w:t xml:space="preserve"> ograniczenia w uczestnictwie w kształceniu i szkoleniu dorosłych przypisuje się takim barierom, jak: postrzegany brak konieczności, niewystarczająca podaż lub trudności w dostępie do odpowiednich szkoleń wysokiej jakości, konflikty terminów, godzenie obowiązków rodzinnych z pracą i ograniczenia finansowe; mając na uwadze, że w sprawozdaniu Draghiego wezwano UE do zapewnienia wszystkim pracownikom prawa do edukacji i przekwalifikowania, co pozwoli im na objęcie nowych ról w miarę przyjmowania technologii przez ich przedsiębiorstwa lub na znalezienie wysokiej jakości pracy w nowych sektorach</w:t>
      </w:r>
      <w:r w:rsidRPr="00F1230C">
        <w:rPr>
          <w:rStyle w:val="FootnoteReference"/>
        </w:rPr>
        <w:footnoteReference w:id="16"/>
      </w:r>
      <w:r w:rsidRPr="00F1230C">
        <w:t>;</w:t>
      </w:r>
    </w:p>
    <w:p w14:paraId="271EF232" w14:textId="77777777" w:rsidR="00D96E12" w:rsidRPr="00F1230C" w:rsidRDefault="00D96E12" w:rsidP="00D96E12">
      <w:pPr>
        <w:pStyle w:val="NormalHanging12a"/>
      </w:pPr>
      <w:r w:rsidRPr="00F1230C">
        <w:t>M.</w:t>
      </w:r>
      <w:r w:rsidRPr="00F1230C">
        <w:tab/>
        <w:t>mając również na uwadze, że zintegrowana kombinacja polityki łącząca edukację i rozwój umiejętności, finanse i politykę przemysłową jest kluczowym czynnikiem wspomagającym konkurencyjność Europy, odporność i sprawiedliwość społeczną, autonomię strategiczną, inwestycje i tworzenie trwałych miejsc pracy; mając na uwadze, że transformacja ekologiczna i cyfrowa wymaga znacznych inwestycji w przekwalifikowanie, podnoszenie kwalifikacji, kształcenie i szkolenie zawodowe i uczenie się przez całe życie, by wyposażyć pracowników zarówno w niezbędne umiejętności techniczne specyficzne dla każdego zawodu, jak i w wymagane podstawowe umiejętności miękkie; mając na uwadze, że starsi, nisko wykwalifikowani i pracownicy płci żeńskiej mogą napotykać większe przeszkody w podnoszeniu kwalifikacji i konkurowaniu o nowe miejsca pracy; mając na uwadze, że dlatego też działania w zakresie kształcenia i szkolenia muszą być ściśle powiązane z polityką sprawiedliwej transformacji; mając na uwadze, że pracownicy i społeczności znajdujący się w niekorzystnej sytuacji będą potrzebować ukierunkowanego wsparcia, by nie pozostać w tyle;</w:t>
      </w:r>
    </w:p>
    <w:p w14:paraId="693E1D10" w14:textId="77777777" w:rsidR="00D96E12" w:rsidRPr="00F1230C" w:rsidRDefault="00D96E12" w:rsidP="00D96E12">
      <w:pPr>
        <w:pStyle w:val="NormalHanging12a"/>
      </w:pPr>
      <w:r w:rsidRPr="00F1230C">
        <w:t>N.</w:t>
      </w:r>
      <w:r w:rsidRPr="00F1230C">
        <w:tab/>
        <w:t>mając na uwadze, że nadal istnieją znaczne różnice gospodarcze między państwami członkowskimi i regionami UE, przy czym od 2012 r. istnieją duże różnice pod względem PKB związane z udziałem przemysłu w działalności gospodarczej;</w:t>
      </w:r>
    </w:p>
    <w:p w14:paraId="0EEDD1CC" w14:textId="77777777" w:rsidR="00D96E12" w:rsidRPr="00F1230C" w:rsidRDefault="00D96E12" w:rsidP="00D96E12">
      <w:pPr>
        <w:pStyle w:val="NormalHanging12a"/>
      </w:pPr>
      <w:r w:rsidRPr="00F1230C">
        <w:t>O.</w:t>
      </w:r>
      <w:r w:rsidRPr="00F1230C">
        <w:tab/>
        <w:t>mając na uwadze, że w sprawozdaniu Letty uznano, iż swoboda przemieszczania się i „swoboda pozostania” to dwie strony tego samego medalu i że należy je rozwijać wspólnie; mając na uwadze, że w sprawozdaniu Letty stwierdzono, że swoboda przemieszczania się powinna być wolnym wyborem, a nie koniecznością rekompensowania braku miejsc pracy w niektórych regionach; mając na uwadze, że w sprawozdaniu podkreślono potrzebę oferowania możliwości obywatelom we wszystkich regionach, zwłaszcza na obszarach wiejskich, w tym potrzebę zapewnienia miejsc pracy wysokiej jakości, a także potrzebę zwalczania nierówności w państwach i między nimi</w:t>
      </w:r>
      <w:r w:rsidRPr="00F1230C">
        <w:rPr>
          <w:rStyle w:val="FootnoteReference"/>
        </w:rPr>
        <w:footnoteReference w:id="17"/>
      </w:r>
      <w:r w:rsidRPr="00F1230C">
        <w:t>; mając na uwadze, że transformacja ekologiczna, jeśli nie zostanie odpowiednio zaprojektowana i wspierana, może w nieproporcjonalnie większym stopniu wpłynąć na regiony Europy Wschodniej i Południowej znajdujące się w trudnej sytuacji</w:t>
      </w:r>
      <w:r w:rsidRPr="00F1230C">
        <w:rPr>
          <w:rStyle w:val="FootnoteReference"/>
        </w:rPr>
        <w:footnoteReference w:id="18"/>
      </w:r>
      <w:r w:rsidRPr="00F1230C">
        <w:t xml:space="preserve"> pod względem zagrożeń związanych z bezrobociem i utraty miejsc pracy; mając na uwadze, </w:t>
      </w:r>
      <w:r w:rsidRPr="00F1230C">
        <w:lastRenderedPageBreak/>
        <w:t>że terytoria zależne od węgla są jeszcze bardziej podatne na zagrożenia, a wskaźniki zatrudnienia są tam o 10–15 % niższe od średniej UE</w:t>
      </w:r>
      <w:r w:rsidRPr="00F1230C">
        <w:rPr>
          <w:rStyle w:val="FootnoteReference"/>
        </w:rPr>
        <w:footnoteReference w:id="19"/>
      </w:r>
      <w:r w:rsidRPr="00F1230C">
        <w:t>;</w:t>
      </w:r>
    </w:p>
    <w:p w14:paraId="54963090" w14:textId="77777777" w:rsidR="00D96E12" w:rsidRPr="00F1230C" w:rsidRDefault="00D96E12" w:rsidP="00D96E12">
      <w:pPr>
        <w:pStyle w:val="NormalHanging12a"/>
      </w:pPr>
      <w:r w:rsidRPr="00F1230C">
        <w:t>P.</w:t>
      </w:r>
      <w:r w:rsidRPr="00F1230C">
        <w:tab/>
        <w:t>mając na uwadze, że plan działania na rzecz wysokiej jakości miejsc pracy ma wspierać państwa członkowskie i przemysł w zapewnianiu godnych warunków pracy i dostępu do szkoleń, ustanawianiu wysokich standardów bezpieczeństwa i higieny pracy, sprawiedliwej zmianie wykonywanej pracy zwłaszcza dla pracowników i osób samozatrudnionych, a także w rokowaniach zbiorowych, z myślą o przyciągnięciu talentów i przyczynieniu się do konkurencyjności przemysłu europejskiego; mając na uwadze, że w tym kontekście Komisja ma omówić z partnerami społecznymi ramy, aby wspierać procesy restrukturyzacji na szczeblu UE i państw członkowskich; mając na uwadze, że ramy te będą koncentrować się na sprawiedliwej transformacji, przewidywaniu zmian, szybszej interwencji w przypadku zagrożenia restrukturyzacją oraz na lepszym informowaniu i przeprowadzaniu konsultacji;</w:t>
      </w:r>
    </w:p>
    <w:p w14:paraId="20D1D9A8" w14:textId="77777777" w:rsidR="00D96E12" w:rsidRPr="00F1230C" w:rsidRDefault="00D96E12" w:rsidP="00D96E12">
      <w:pPr>
        <w:pStyle w:val="NormalHanging12a"/>
      </w:pPr>
      <w:r w:rsidRPr="00F1230C">
        <w:t>Q.</w:t>
      </w:r>
      <w:r w:rsidRPr="00F1230C">
        <w:tab/>
        <w:t>mając na uwadze, że należy wzmocnić zdolności administracyjne i techniczne lokalnych zainteresowanych stron zaangażowanych w opracowywanie i wdrażanie sprawiedliwej transformacji; mając na uwadze, że państwa członkowskie nadal stoją przed poważnymi wyzwaniami związanymi ze skutecznym zarządzaniem funduszami UE i ich wdrażaniem na szczeblu lokalnym oraz z oceną różnych skutków polityki klimatycznej; mając na uwadze, że wdrażanie Funduszu na rzecz Sprawiedliwej Transformacji przebiega powoli, o czym świadczy wskaźnik płatności wynoszący na koniec 2024 r. jedynie 32,2 %</w:t>
      </w:r>
      <w:r w:rsidRPr="00F1230C">
        <w:rPr>
          <w:rStyle w:val="FootnoteReference"/>
        </w:rPr>
        <w:footnoteReference w:id="20"/>
      </w:r>
      <w:r w:rsidRPr="00F1230C">
        <w:t>; mając na uwadze, że liczba miejsc pracy utworzonych ze środków FST nie jest wystarczająca do pokrycia prognozowanej liczby miejsc pracy, które znikną w wyniku przejścia wysokoemisyjnych gałęzi przemysłu na czystsze technologie; mając na uwadze, że MŚP są podstawą europejskiej gospodarki i tworzą dużą część stałych miejsc pracy na szczeblu lokalnym; mając na uwadze, że potrzebne są szczegółowe przepisy dotyczące MŚP, aby wzmocnić ich rolę w sprawiedliwej transformacji;</w:t>
      </w:r>
    </w:p>
    <w:p w14:paraId="2D97D79A" w14:textId="77777777" w:rsidR="00D96E12" w:rsidRPr="00F1230C" w:rsidRDefault="00D96E12" w:rsidP="00D96E12">
      <w:pPr>
        <w:pStyle w:val="NormalHanging12a"/>
      </w:pPr>
      <w:r w:rsidRPr="00F1230C">
        <w:t>1.</w:t>
      </w:r>
      <w:r w:rsidRPr="00F1230C">
        <w:tab/>
        <w:t xml:space="preserve">podkreśla, że pomyślne przejście na bardziej zrównoważone źródła energii oraz zmodernizowany przemysł i bardziej cyfrowa gospodarka będą odgrywać ważną rolę w długoterminowej konkurencyjności unijnych przedsiębiorstw na rynku światowym i muszą prowadzić do tworzenia wysokiej jakości miejsc pracy w Unii; podkreśla potrzebę zadbania o to, by przedsiębiorstwa i pracownicy byli dobrze przygotowani do korzystania z możliwości wynikających z przejścia na nowe i innowacyjne rozwiązania oraz podkreśla znaczenie godnej pracy i miejsc pracy objętych układami zbiorowymi, niezbędnych do zapewnienia postępu społecznego i akceptacji transformacji; uważa, że ramy legislacyjne umożliwiające sprostanie wyzwaniom i możliwościom związanym ze sprawiedliwą transformacją w miejscu pracy mają zasadnicze znaczenie dla zagwarantowania odpowiednich minimalnych standardów, które zapewniają zarówno pracownikom, jak i pracodawcom jasność i strukturę w odniesieniu do przewidywania zmian i zarządzania nimi, a ostatecznie zwiększają odporność, konkurencyjność, pozytywną konwergencję społeczną i sprawiedliwość społeczną Unii; podkreśla, że regiony mogą wspierać sprawiedliwą transformację poprzez połączenie ochrony socjalnej, dywersyfikacji gospodarczej i koordynacji terytorialnej, aby ograniczyć negatywne skutki, wzmocnić lokalne gospodarki i propagować rozwój sprzyjający </w:t>
      </w:r>
      <w:r w:rsidRPr="00F1230C">
        <w:lastRenderedPageBreak/>
        <w:t>włączeniu społecznemu;</w:t>
      </w:r>
    </w:p>
    <w:p w14:paraId="3536F30E" w14:textId="77777777" w:rsidR="00D96E12" w:rsidRPr="00F1230C" w:rsidRDefault="00D96E12" w:rsidP="00D96E12">
      <w:pPr>
        <w:pStyle w:val="NormalHanging12a"/>
      </w:pPr>
      <w:r w:rsidRPr="00F1230C">
        <w:t>2.</w:t>
      </w:r>
      <w:r w:rsidRPr="00F1230C">
        <w:tab/>
        <w:t>podkreśla, że wpływ dekarbonizacji na zatrudnienie wykracza poza redukcje w sektorach paliw kopalnych i będzie miał szerszy wpływ na redefinicję miejsc pracy i ogólną transformację rynku pracy; w związku z tym z zadowoleniem przyjmuje zapowiedź aktu o wysokiej jakości miejscach pracy, którego celem będzie dopilnowanie, aby praktyki w zakresie zatrudnienia nadążały za zmianami w nowoczesnej gospodarce; podkreśla potrzebę uwzględnienia w tym akcie oraz w zbliżającej się aktualizacji planu działania na rzecz Europejskiego filaru praw socjalnych i nowego planu działania na rzecz wysokiej jakości miejsc pracy zestawu konkretnych środków, które znacząco poprawią warunki pracy, bezpieczeństwo i higienę pracy, demokrację w miejscu pracy, zasięg umów zbiorowych oraz szkolenia i umiejętności pracowników i osób samozatrudnionych, a także zapewnią rzeczywiste egzekwowanie przepisów unijnych w dziedzinie zatrudnienia i polityki społecznej; podkreśla, że takie środki stanowią również okazję do wspierania unijnych pracodawców, zwłaszcza MŚP, w utrzymaniu i poprawie ich konkurencyjności poprzez zapewnienie jasnych ram, w tym praktycznych wskazówek i narzędzi wspierających przewidywanie zmian i zarządzanie nimi w partnerstwie z pracownikami, a także do inwestowania w kształcenie i szkolenie zawodowe (VET), podnoszenie i zmianę kwalifikacji pracowników, aby rozwiązać problem niedoborów umiejętności i siły roboczej, które hamują wydajność i wzrost gospodarczy, a także ograniczają przyszłe perspektywy pracowników;</w:t>
      </w:r>
    </w:p>
    <w:p w14:paraId="18173E33" w14:textId="77777777" w:rsidR="00D96E12" w:rsidRPr="00F1230C" w:rsidRDefault="00D96E12" w:rsidP="00D96E12">
      <w:pPr>
        <w:pStyle w:val="NormalHanging12a"/>
      </w:pPr>
      <w:r w:rsidRPr="00F1230C">
        <w:t>3.</w:t>
      </w:r>
      <w:r w:rsidRPr="00F1230C">
        <w:tab/>
        <w:t>podkreśla, że cyfryzację należy wdrażać w sposób skoncentrowany na człowieku, zapobiegając nadmiernemu nadzorowi nad pracownikami i zapewniając prawo do bycia offline, a także sprawiedliwą organizację czasu pracy;</w:t>
      </w:r>
    </w:p>
    <w:p w14:paraId="20B59177" w14:textId="00F6B7A9" w:rsidR="00D96E12" w:rsidRPr="00F1230C" w:rsidRDefault="00830296" w:rsidP="00D96E12">
      <w:pPr>
        <w:pStyle w:val="NormalHanging12a"/>
      </w:pPr>
      <w:r>
        <w:t>4</w:t>
      </w:r>
      <w:r w:rsidR="00D96E12" w:rsidRPr="00F1230C">
        <w:t>.</w:t>
      </w:r>
      <w:r w:rsidR="00D96E12" w:rsidRPr="00F1230C">
        <w:tab/>
        <w:t xml:space="preserve">podkreśla, że przewidywanie zmian i zarządzanie nimi ma zasadnicze znaczenie zarówno dla pracodawców, jak i pracowników, władz regionalnych i lokalnych oraz społeczności, aby efektywnie przechodzić transformację ekologiczną i cyfrową oraz skutecznie radzić sobie z wyzwaniami gospodarczymi wynikającymi z niekorzystnych wydarzeń geopolitycznych i przekształcać je w możliwości; podkreśla, że planowanie przed transformacją może proaktywnie zapobiegać zwolnieniom i prowadzić do tworzenia miejsc pracy, budować długotrwałą odporność przedsiębiorstw i jak najlepiej wykorzystywać dostępne zasoby; podkreśla, że takie plany wymagają decyzji, które mogą prowadzić do istotnych zmian w organizacji pracy, a zatem muszą być opracowywane w drodze szeroko zakrojonego partnerstwa w ramach dialogu społecznego i rokowań zbiorowych, z pełnym poszanowaniem prawa do informacji i konsultacji; w związku z tym wzywa Komisję do monitorowania i egzekwowania pełnego wdrożenia ram określonych w dyrektywie 2002/14/WE; wzywa ponadto państwa członkowskie do umożliwienia dialogu społecznego na odpowiednich szczeblach na temat ułatwiania zmiany zatrudnienia, w szczególności w odniesieniu do zawodów, które mogą zniknąć lub zostać znacznie ograniczone; przypomina o narzędziach wczesnego ostrzegania przewidzianych w dyrektywie </w:t>
      </w:r>
      <w:r w:rsidR="00D43D75">
        <w:t xml:space="preserve">(UE) </w:t>
      </w:r>
      <w:r w:rsidR="00D96E12" w:rsidRPr="00F1230C">
        <w:t>2019/1023 i uważa, że dostosowanie takich narzędzi, aby uwzględnić również okoliczności istotne dla dwojakiej transformacji, zapewniłoby lepsze wykrywanie nadchodzących zmian w działalności przedsiębiorstw i reagowanie na nie; podkreśla potrzebę zapewnienia przedsiębiorstwom zachęt do tworzenia własnych planów transformacji; podkreśla, że zainteresowane strony i społeczeństwo obywatelskie muszą być zaangażowane od najwcześniejszych etapów planowania transformacji, by zapewnić znaczący udział, a nie konsultacje na późnym etapie;</w:t>
      </w:r>
    </w:p>
    <w:p w14:paraId="709A54F3" w14:textId="13F08A57" w:rsidR="00D96E12" w:rsidRPr="00F1230C" w:rsidRDefault="00830296" w:rsidP="00D96E12">
      <w:pPr>
        <w:pStyle w:val="NormalHanging12a"/>
      </w:pPr>
      <w:r>
        <w:lastRenderedPageBreak/>
        <w:t>5</w:t>
      </w:r>
      <w:r w:rsidR="00D96E12" w:rsidRPr="00F1230C">
        <w:t>.</w:t>
      </w:r>
      <w:r w:rsidR="00D96E12" w:rsidRPr="00F1230C">
        <w:tab/>
        <w:t>podkreśla, że niedobór wykwalifikowanych pracowników można zmniejszyć w znaczący sposób jedynie poprzez zajęcie się kwestią dostępności i przystępności możliwości kształcenia, zdobywania i zmiany kwalifikacji oraz szkolenia, a także poprawy warunków pracy; podkreśla, że dialog społeczny między pracownikami a pracodawcami na temat warunków możliwości szkolenia, które są dostosowane do potrzeb rynku pracy i respektują równowagę między życiem zawodowym a prywatnym, ma zasadnicze znaczenie i należy go ułatwiać</w:t>
      </w:r>
      <w:r w:rsidR="00D96E12" w:rsidRPr="00F1230C">
        <w:rPr>
          <w:rStyle w:val="FootnoteReference"/>
        </w:rPr>
        <w:footnoteReference w:id="21"/>
      </w:r>
      <w:r w:rsidR="00D96E12" w:rsidRPr="00F1230C">
        <w:t>; jest głęboko przekonany, że indywidualne prawo do szkolenia się pracowników w godzinach pracy, umożliwiające przezwyciężanie głównych barier dla kontynuowania szkolenia, może zapewnić wysokiej jakości podnoszenie lub zmianę kwalifikacji, szkolenie pracowników i wsparcie rozwoju kariery, aby zagwarantować przewidywalną i stabilną podaż wykwalifikowanych pracowników dla pracodawców; podkreśla potrzebę zajęcia się barierą kosztową poprzez zapewnienie pracownikom bezpłatnych szkoleń wspieranych finansowaniem, zachętami podatkowymi i partnerstwami; podkreśla, że instytucje krajowe i partnerzy społeczni są odpowiedzialni za szkolenie pracowników, i podkreśla ich zasadniczą rolę we wdrażaniu prawa do szkolenia; wzywa w związku z tym państwa członkowskie do priorytetowego traktowania i promowania programów szkoleniowych opracowywanych wspólnie przez pracowników i ich pracodawców, tak aby podnoszenie i zmiana kwalifikacji odpowiadały rzeczywistemu popytowi i przyczyniały się do rozwoju kariery;</w:t>
      </w:r>
    </w:p>
    <w:p w14:paraId="6BB9DC7F" w14:textId="0DF7EB13" w:rsidR="00D96E12" w:rsidRPr="00F1230C" w:rsidRDefault="00830296" w:rsidP="00D96E12">
      <w:pPr>
        <w:pStyle w:val="NormalHanging12a"/>
      </w:pPr>
      <w:r>
        <w:t>6</w:t>
      </w:r>
      <w:r w:rsidR="00D96E12" w:rsidRPr="00F1230C">
        <w:t>.</w:t>
      </w:r>
      <w:r w:rsidR="00D96E12" w:rsidRPr="00F1230C">
        <w:tab/>
        <w:t>podkreśla potrzebę znaczącego zaangażowania osób młodych w opracowywanie, wdrażanie i monitorowanie strategii politycznych związanych ze sprawiedliwą i uczciwą transformacją; apeluje o intensyfikowanie działań na rzecz realizacji gwarancji dla młodzieży przez zadbanie o to, by państwa członkowskie przeznaczyły co najmniej 15 % swoich środków z EFS + na finansowanie ukierunkowanych działań i reform strukturalnych wspierających wysokiej jakości zatrudnienie młodzieży oraz kształcenie i szkolenie zawodowe młodzieży – w szczególności poprzez płatne staże i praktyki zawodowe wysokiej jakości – a także ułatwienie przejścia od kształcenia do zatrudnienia, możliwość powrotu do kształcenia lub szkolenia oraz edukację drugiej szansy;</w:t>
      </w:r>
    </w:p>
    <w:p w14:paraId="544CD578" w14:textId="7B01F11B" w:rsidR="00D96E12" w:rsidRPr="00F1230C" w:rsidRDefault="00830296" w:rsidP="00D96E12">
      <w:pPr>
        <w:pStyle w:val="NormalHanging12a"/>
      </w:pPr>
      <w:r>
        <w:t>7</w:t>
      </w:r>
      <w:r w:rsidR="00D96E12" w:rsidRPr="00F1230C">
        <w:t>.</w:t>
      </w:r>
      <w:r w:rsidR="00D96E12" w:rsidRPr="00F1230C">
        <w:tab/>
        <w:t>podkreśla, że państwa członkowskie we współpracy z regionami powinny wspierać przedsiębiorstwa i pracowników poprzez opracowanie strategii transformacji i polityki na rzecz sprawiedliwej transformacji na szczeblu krajowym dostosowanej do specyfiki lokalnej; podkreśla, że takie strategie krajowe powinny określać wpływ transformacji na regiony, poszczególne sektory i pracowników oraz określać kompleksowy i przekrojowy plan mający na celu złagodzenie skutków; podkreśla znaczenie opracowania długoterminowej wizji i strategii na rzecz lokalnej i regionalnej transformacji gospodarczej poprzez zaangażowanie podmiotów publicznych i prywatnych, społeczeństwa obywatelskiego oraz gospodarki społecznej; podkreśla, że bezpośrednie inwestycje w innowacje i zwiększanie atrakcyjności regionalnej poprzez modernizację infrastruktury, usług publicznych i udogodnień oraz zapewnienie ich wysokiej jakości, przystępności cenowej i dostępności są niezbędne do zatrzymania pracowników i tworzenia wysokiej jakości miejsc pracy;</w:t>
      </w:r>
    </w:p>
    <w:p w14:paraId="22A634A3" w14:textId="148BA005" w:rsidR="00D96E12" w:rsidRPr="00F1230C" w:rsidRDefault="00830296" w:rsidP="00D96E12">
      <w:pPr>
        <w:pStyle w:val="NormalHanging12a"/>
      </w:pPr>
      <w:r>
        <w:t>8</w:t>
      </w:r>
      <w:r w:rsidR="00D96E12" w:rsidRPr="00F1230C">
        <w:t>.</w:t>
      </w:r>
      <w:r w:rsidR="00D96E12" w:rsidRPr="00F1230C">
        <w:tab/>
        <w:t xml:space="preserve">uważa, że zasadnicze znaczenie ma propagowanie rentowności europejskich przedsiębiorstw przemysłowych, oraz, na tyle, na ile to możliwe, zapobieganie ich zamykaniu i przymusowym zwolnieniom; podkreśla, jak ważne jest wspieranie </w:t>
      </w:r>
      <w:r w:rsidR="00D96E12" w:rsidRPr="00F1230C">
        <w:lastRenderedPageBreak/>
        <w:t>przedsiębiorstw, w szczególności MŚP, w zapobieganiu przymusowym zwolnieniom, np. za sprawą tymczasowych programów wsparcia mających na celu ochronę zatrudnienia w okresie transformacji, aby uniknąć utraty strategicznych zdolności przemysłowych i wykwalifikowanej siły roboczej; zauważa, że w przypadku konieczności zmiany zatrudnienia zasadnicze znaczenie ma utrzymanie pracowników w regionie, a jednocześnie zapewnienie im wystarczającego czasu na przekwalifikowanie, przy jednoczesnym ograniczeniu strat finansowych dla tych osób; domaga się większej ochrony przed niesprawiedliwymi zwolnieniami i apeluje o zapewnienie pracownikom dotkniętym restrukturyzacją dostępu do odpowiedniej rekompensaty, możliwości przekwalifikowania i wsparcia w uzyskaniu nowego zatrudnienia;</w:t>
      </w:r>
    </w:p>
    <w:p w14:paraId="5D3E1519" w14:textId="4B869DC8" w:rsidR="00D96E12" w:rsidRPr="00F1230C" w:rsidRDefault="00830296" w:rsidP="00D96E12">
      <w:pPr>
        <w:pStyle w:val="NormalHanging12a"/>
      </w:pPr>
      <w:r>
        <w:t>9</w:t>
      </w:r>
      <w:r w:rsidR="00D96E12" w:rsidRPr="00F1230C">
        <w:t>.</w:t>
      </w:r>
      <w:r w:rsidR="00D96E12" w:rsidRPr="00F1230C">
        <w:tab/>
        <w:t>podkreśla, że regionalne prognozy Eurostatu wskazują na stały spadek liczby ludności w wieku produkcyjnym na wielu terytoriach w latach 20. i 30. XXI wieku, zwłaszcza w regionach już dotkniętych starzeniem się i mobilnością geograficzną; podkreśla, że takie tendencje mogą osłabić podaż pracy i nawet zagrozić długoterminowemu rozwojowi właśnie wtedy, gdy wykwalifikowani pracownicy mają zasadnicze znaczenie dla transformacji ekologicznej i cyfrowej; podkreśla znaczenie „prawa do pozostania” w regionach lub na obszarach lokalnych oraz potrzebę ukierunkowanych strategii dla obszarów wiejskich i peryferyjnych; wzywa Komisję i państwa członkowskie do wspierania strategii politycznych ukierunkowanych na konkretny obszar, które stwarzają możliwości gospodarcze zarówno dla ludzi, jak i przedsiębiorstw w regionach wiejskich, przyciągają inwestycje prywatne i tworzą lokalne miejsca pracy; podkreśla, że takie strategie są niezbędne, aby zwiększyć możliwości gospodarcze na obszarach wiejskich, wspierać tworzenie wysokiej jakości miejsc pracy, innowacje, lokalną odnowę przemysłu, a ostatecznie zapewnić obywatelom możliwość budowania przyszłości w swoich społecznościach;</w:t>
      </w:r>
    </w:p>
    <w:p w14:paraId="31BC4FA7" w14:textId="065FE3D1" w:rsidR="00D96E12" w:rsidRPr="00F1230C" w:rsidRDefault="00830296" w:rsidP="00D96E12">
      <w:pPr>
        <w:pStyle w:val="NormalHanging12a"/>
      </w:pPr>
      <w:r>
        <w:t>10</w:t>
      </w:r>
      <w:r w:rsidR="00D96E12" w:rsidRPr="00F1230C">
        <w:t>.</w:t>
      </w:r>
      <w:r w:rsidR="00D96E12" w:rsidRPr="00F1230C">
        <w:tab/>
        <w:t>przypomina, że MŚP są głównymi podmiotami tworzącymi trwałe lokalne zatrudnienie; podkreśla potrzebę ułatwienia uproszczonego, proporcjonalnego i przyjaznego dla MŚP dostępu do finansowania transformacji, w tym poprzez umożliwienie tworzenia klastrów, aby uzyskać dostęp do funduszy i wywiązywać się z obowiązków w zakresie sprawozdawczości, cyfrowych punktów kompleksowej obsługi i pomocy technicznej w celu ukierunkowania koncepcji projektów i zgodności z przepisami; wzywa państwa członkowskie i władze regionalne do ustanowienia i wzmocnienia programów wspierania przedsiębiorstw w dotkniętych regionach, aby pomóc przedsiębiorstwom typu start-up i MŚP rozwijać się i osiągać sukces; podkreśla, że zachęty inwestycyjne w połączeniu z warunkowością społeczną mogą pomóc przyciągnąć przedsiębiorstwa do regionów znajdujących się w trudnej sytuacji, a jednocześnie zapewnić zrównoważony rozwój lokalnej gospodarki; podkreśla, że niezbędne jest udzielenie pomocy przedsiębiorstwom, w szczególności MŚP, w radzeniu sobie z niedoborami umiejętności w Unii oraz propagowaniu przekwalifikowania i podnoszenia kwalifikacji, by pomóc ludziom w zdobywaniu odpowiednich umiejętności niezbędnych do wykonywania wysokiej jakości pracy; wzywa Komisję Europejską do dopilnowania, aby w ramach przyszłego finansowania sprawiedliwej transformacji przeznaczono specjalne wsparcie dla MŚP; wzywa ponadto Komisję Europejską do śledzenia udziału MŚP w programach sprawiedliwej transformacji;</w:t>
      </w:r>
    </w:p>
    <w:p w14:paraId="20487EE7" w14:textId="27B37A75" w:rsidR="00D96E12" w:rsidRPr="00F1230C" w:rsidRDefault="00830296" w:rsidP="00D96E12">
      <w:pPr>
        <w:pStyle w:val="NormalHanging12a"/>
      </w:pPr>
      <w:r>
        <w:t>11</w:t>
      </w:r>
      <w:r w:rsidR="00D96E12" w:rsidRPr="00F1230C">
        <w:t>.</w:t>
      </w:r>
      <w:r w:rsidR="00D96E12" w:rsidRPr="00F1230C">
        <w:tab/>
        <w:t>podkreśla, że gospodarka społeczna – w szczególności przedsiębiorstwa społeczne zajmujące się integracją zawodową – odgrywa kluczową rolę w zapewnianiu sprawiedliwej transformacji sprzyjającej włączeniu społecznemu; podkreśla potrzebę wsparcia jej w dostępie do finansowania, budowaniu zdolności i pomocy technicznej;</w:t>
      </w:r>
    </w:p>
    <w:p w14:paraId="18393777" w14:textId="2B6D9074" w:rsidR="00D96E12" w:rsidRPr="00F1230C" w:rsidRDefault="00830296" w:rsidP="00D96E12">
      <w:pPr>
        <w:pStyle w:val="NormalHanging12a"/>
      </w:pPr>
      <w:r>
        <w:lastRenderedPageBreak/>
        <w:t>12</w:t>
      </w:r>
      <w:r w:rsidR="00D96E12" w:rsidRPr="00F1230C">
        <w:t>.</w:t>
      </w:r>
      <w:r w:rsidR="00D96E12" w:rsidRPr="00F1230C">
        <w:tab/>
        <w:t>wzywa Komisję i państwa członkowskie do ułatwiania inwestycji zarówno na dużą, jak i małą skalę, oraz do opracowania strategii politycznych, które odblokują możliwości gospodarcze dla sektora prywatnego, w szczególności dla MŚP, poprzez zmniejszenie obciążeń administracyjnych, obniżenie wymogów dotyczących współfinansowania i uproszczenie dostępu do finansowania, przy jednoczesnym przestrzegania praw ochrony pracowników i konsumentów; podkreśla, że takie inwestycje mają zasadnicze znaczenie dla wzmocnienia europejskiej bazy przemysłowej i technologicznej, tworzenia wysokiej jakości miejsc pracy oraz zapewnienia wykwalifikowanej siły roboczej dostosowanej do lokalnych realiów, zasobów i szczególnych potrzeb, aby w pełni wykorzystać potencjał regionalny i stymulować konkurencyjność, zrównoważony wzrost gospodarczy i długoterminowe tworzenie wartości; podkreśla, że przedsiębiorcy oraz małe przedsiębiorstwa mają kluczowe znaczenie dla inwestycji, innowacji i tworzenia miejsc pracy, zwłaszcza w regionach wiejskich i mniej rozwiniętych, oraz że okna finansowe i pomoc techniczna muszą być dostosowane do ich potrzeb, aby w pełni wykorzystać ich potencjał w zielonej i cyfrowej gospodarce oraz stymulować zrównoważony wzrost gospodarczy i długoterminowe tworzenie wartości;</w:t>
      </w:r>
    </w:p>
    <w:p w14:paraId="66119803" w14:textId="7CF47031" w:rsidR="00D96E12" w:rsidRPr="00F1230C" w:rsidRDefault="00830296" w:rsidP="00D96E12">
      <w:pPr>
        <w:pStyle w:val="NormalHanging12a"/>
      </w:pPr>
      <w:r>
        <w:t>13</w:t>
      </w:r>
      <w:r w:rsidR="00D96E12" w:rsidRPr="00F1230C">
        <w:t>.</w:t>
      </w:r>
      <w:r w:rsidR="00D96E12" w:rsidRPr="00F1230C">
        <w:tab/>
        <w:t>zauważa brak dokładnych zdezagregowanych danych na temat liczby miejsc pracy utraconych, utworzonych lub dotkniętych w związku z dwojaką transformacją; podkreśla znaczenie prognozowania zmian na rynku pracy i tendencji w kwestii zapotrzebowania na umiejętności dla skutecznych i terminowych działań politycznych; podkreśla potrzebę określenia, wymiany i propagowania najlepszych praktyk; nawołuje do konsolidacji gromadzenia odpowiednich danych i analizy wpływu polityki transformacji; podkreśla, że wskaźniki ubóstwa energetycznego i transportowego powinny być systematycznie włączane do struktur monitorowania sprawiedliwej transformacji, aby środki finansowe i środki służące tworzeniu miejsc pracy były ukierunkowane przede wszystkim na gospodarstwa domowe znajdujące się w trudnej sytuacji;</w:t>
      </w:r>
    </w:p>
    <w:p w14:paraId="4C018561" w14:textId="4880F8CB" w:rsidR="00D96E12" w:rsidRPr="00F1230C" w:rsidRDefault="00830296" w:rsidP="00D96E12">
      <w:pPr>
        <w:pStyle w:val="NormalHanging12a"/>
      </w:pPr>
      <w:r>
        <w:t>14</w:t>
      </w:r>
      <w:r w:rsidR="00D96E12" w:rsidRPr="00F1230C">
        <w:t>.</w:t>
      </w:r>
      <w:r w:rsidR="00D96E12" w:rsidRPr="00F1230C">
        <w:tab/>
        <w:t>popiera programy renowacji na poziomie społeczności lokalnych obejmujące dzielnice lub wsie, zmniejszające koszty, wzmacniające spójność i przyspieszające transformację;</w:t>
      </w:r>
    </w:p>
    <w:p w14:paraId="7166AF5B" w14:textId="16D55A4B" w:rsidR="00D96E12" w:rsidRPr="00F1230C" w:rsidRDefault="00830296" w:rsidP="00D96E12">
      <w:pPr>
        <w:pStyle w:val="NormalHanging12a"/>
      </w:pPr>
      <w:r>
        <w:t>15</w:t>
      </w:r>
      <w:r w:rsidR="00D96E12" w:rsidRPr="00F1230C">
        <w:t>.</w:t>
      </w:r>
      <w:r w:rsidR="00D96E12" w:rsidRPr="00F1230C">
        <w:tab/>
        <w:t>ubolewa, że wniosek dotyczący wieloletnich ram finansowych na lata 2028–2034 nie zawiera odrębnego instrumentu dotyczącego sprawiedliwej transformacji; podkreśla, że nadal konieczne jest specjalne finansowanie na wsparcie dotkniętych regionów w przezwyciężaniu wyzwań wynikających z transformacji ekologicznej; apeluje w związku z tym o rozszerzony i powiększony Fundusz na rzecz Sprawiedliwej Transformacji na okres programowania po 2027 r., co zapewni, że będzie on działał zgodnie z zasadami zarządzania dzielonego i partnerstwa, w ramach polityki spójności i ze zwiększonym budżetem; podkreśla, że nowy fundusz powinien wspierać pracodawców w zapewnianiu pracownikom prawa do szkoleń, a także we wdrażaniu planów transformacji na szczeblu przedsiębiorstw; podkreśla, że szkolenia powinny być wysokiej jakości, dopasowane do potrzeb rynku pracy i prowadzić do uzyskania kwalifikacji i poświadczeń potwierdzanych w przejrzystych i zrozumiałych systemach certyfikacji, umożliwiających wzajemne uznawanie przez państwa członkowskie; apeluje, aby finansowanie transformacji obejmowało uwarunkowania społeczne wspierające włączenie społeczne;</w:t>
      </w:r>
    </w:p>
    <w:p w14:paraId="0B621D17" w14:textId="11F59ADC" w:rsidR="00D96E12" w:rsidRPr="00F1230C" w:rsidRDefault="00830296" w:rsidP="00D96E12">
      <w:pPr>
        <w:pStyle w:val="NormalHanging12a"/>
      </w:pPr>
      <w:r>
        <w:t>16</w:t>
      </w:r>
      <w:r w:rsidR="00D96E12" w:rsidRPr="00F1230C">
        <w:t>.</w:t>
      </w:r>
      <w:r w:rsidR="00D96E12" w:rsidRPr="00F1230C">
        <w:tab/>
        <w:t xml:space="preserve">przypomina, że pomimo ambitnych celów w zakresie transformacji FST napotkał poważne wyzwania w realizacji swoich celów, w szczególności pod względem zapewnienia sprawiedliwych wyników i dostępu do funduszu dla małych i średnich </w:t>
      </w:r>
      <w:r w:rsidR="00D96E12" w:rsidRPr="00F1230C">
        <w:lastRenderedPageBreak/>
        <w:t>przedsiębiorstw</w:t>
      </w:r>
      <w:r w:rsidR="00D96E12" w:rsidRPr="00F1230C">
        <w:rPr>
          <w:rStyle w:val="FootnoteReference"/>
        </w:rPr>
        <w:footnoteReference w:id="22"/>
      </w:r>
      <w:r w:rsidR="00D96E12" w:rsidRPr="00F1230C">
        <w:t>; apeluje o uproszczenie dostępu MŚP do Funduszu na rzecz Sprawiedliwej Transformacji poprzez zapewnienie pomocy technicznej i zmniejszenie obciążeń administracyjnych;</w:t>
      </w:r>
    </w:p>
    <w:p w14:paraId="4E02A58A" w14:textId="16429276" w:rsidR="00D96E12" w:rsidRPr="00F1230C" w:rsidRDefault="00830296" w:rsidP="00D96E12">
      <w:pPr>
        <w:pStyle w:val="NormalHanging12a"/>
      </w:pPr>
      <w:r>
        <w:t>17</w:t>
      </w:r>
      <w:r w:rsidR="00D96E12" w:rsidRPr="00F1230C">
        <w:t>.</w:t>
      </w:r>
      <w:r w:rsidR="00D96E12" w:rsidRPr="00F1230C">
        <w:tab/>
        <w:t>podkreśla, jak ważny jest dla pracowników rozwój umiejętności cyfrowych zarówno na poziomie podstawowym, jak i zaawansowanym; podkreśla potrzebę wyposażenia obywateli w podstawowe umiejętności cyfrowe oraz kształtowania ich świadomości w zakresie ochrony danych i bezpiecznego korzystania z narzędzi internetowych, aby obywatele zachowali zdolność do zatrudnienia i dostosowania się, a jednocześnie wspierania zdobywania bardziej zaawansowanych kompetencji;</w:t>
      </w:r>
    </w:p>
    <w:p w14:paraId="56958316" w14:textId="12F9769C" w:rsidR="00D96E12" w:rsidRPr="00F1230C" w:rsidRDefault="00830296" w:rsidP="00D96E12">
      <w:pPr>
        <w:pStyle w:val="NormalHanging12a"/>
      </w:pPr>
      <w:r>
        <w:t>18</w:t>
      </w:r>
      <w:r w:rsidR="00D96E12" w:rsidRPr="00F1230C">
        <w:t>.</w:t>
      </w:r>
      <w:r w:rsidR="00D96E12" w:rsidRPr="00F1230C">
        <w:tab/>
        <w:t>podkreśla, że instytucje edukacyjne i szkoleniowe powinny zwiększyć przydatność swoich szkoleń zgodnie z potrzebami konkurencyjnego rynku pracy oraz przygotować osoby uczące się, instruktorów i nauczycieli posiadających odpowiednią wiedzę i umiejętności, by aktywnie przyczyniali się do zmian na drodze do sprawiedliwej transformacji w kierunku zrównoważonych środowiskowo gospodarek i społeczeństwa dla wszystkich; podkreśla, że skuteczność szkoleń zależy od dostępności nauczycieli i instruktorów posiadających aktualną wiedzę na temat zrównoważonej i ekologicznej gospodarki, efektywności energetycznej oraz zielonych i cyfrowych technologii; zwraca uwagę, że nauczyciele i instruktorzy odgrywają zasadniczą rolę, jeśli chodzi o propagowanie odpowiednich umiejętności i kompetencji, zarówno wśród młodszych, jak i starszych pracowników, oraz zachęcanie pracowników poszkodowanych w wyniku transformacji ekologicznej do zmiany i podnoszenia odpowiednich kwalifikacji; podkreśla, że kształcenie i szkolenie takich nauczycieli i instruktorów powinno być zatem priorytetem w każdej strategii na rzecz umiejętności na szczeblu europejskim, krajowym, regionalnym i lokalnym;</w:t>
      </w:r>
    </w:p>
    <w:p w14:paraId="40D2C8AC" w14:textId="07480BED" w:rsidR="00D96E12" w:rsidRPr="00F1230C" w:rsidRDefault="00830296" w:rsidP="00D96E12">
      <w:pPr>
        <w:pStyle w:val="NormalHanging12a"/>
      </w:pPr>
      <w:r>
        <w:t>19</w:t>
      </w:r>
      <w:r w:rsidR="00D96E12" w:rsidRPr="00F1230C">
        <w:t>.</w:t>
      </w:r>
      <w:r w:rsidR="00D96E12" w:rsidRPr="00F1230C">
        <w:tab/>
        <w:t>podkreśla, że bezpośrednie inwestycje publiczne i prywatne w czystą infrastrukturę, projekty w dziedzinie energii ze źródeł odnawialnych i działania związane z gospodarką o obiegu zamkniętym są niezbędne, by ożywiać lokalne gospodarki i wspomagać tworzenie wysokiej jakości miejsc pracy; podkreśla potrzebę wykorzystania atutów regionalnych poprzez inwestowanie w sektory, w których regiony mają już mocne strony lub przewagę komparatywną; uważa, że specjalizacja regionalna może stanowić podstawę zielonych klastrów przemysłowych; podkreśla, że wspieranie badań naukowych i innowacji oraz zachęcanie do współpracy między uczelniami a przedsiębiorstwami może stymulować nowe zrównoważone modele biznesowe;</w:t>
      </w:r>
    </w:p>
    <w:p w14:paraId="7169349D" w14:textId="71FE40FC" w:rsidR="00D96E12" w:rsidRPr="00F1230C" w:rsidRDefault="00830296" w:rsidP="00D96E12">
      <w:pPr>
        <w:pStyle w:val="NormalHanging12a"/>
      </w:pPr>
      <w:r>
        <w:t>20</w:t>
      </w:r>
      <w:r w:rsidR="00D96E12" w:rsidRPr="00F1230C">
        <w:t>.</w:t>
      </w:r>
      <w:r w:rsidR="00D96E12" w:rsidRPr="00F1230C">
        <w:tab/>
        <w:t xml:space="preserve">podkreśla, że spójna, zintegrowana kombinacja polityki jest niezbędna do osiągnięcia celów sprawiedliwej transformacji; apeluje, aby środki klimatyczne i przemysłowe UE uwzględniały cele w zakresie włączenia społecznego, ochrony socjalnej i umiejętności; podkreśla jak ważne jest, by za pomocą funduszy europejskich i krajowych ułatwiano transformację ekologiczną i cyfrową, w tym przez promowanie dialogu społecznego i układów zbiorowych; apeluje, aby dostosować finansowanie unijne i pomoc udzielaną przez państwa członkowskie do europejskiej polityki przemysłowej, tak aby oferować wysokiej jakości miejsca pracy, propagować rokowania zbiorowe i przestrzeganie praw i norm pracowniczych UE, poprawić konkurencyjność przedsiębiorstw europejskich </w:t>
      </w:r>
      <w:r w:rsidR="00D96E12" w:rsidRPr="00F1230C">
        <w:lastRenderedPageBreak/>
        <w:t>oraz zapewnić lepsze warunki pracy;</w:t>
      </w:r>
    </w:p>
    <w:p w14:paraId="6C146BD6" w14:textId="42100519" w:rsidR="00D96E12" w:rsidRPr="00F1230C" w:rsidRDefault="00830296" w:rsidP="00D96E12">
      <w:pPr>
        <w:pStyle w:val="NormalHanging12a"/>
      </w:pPr>
      <w:r>
        <w:t>21</w:t>
      </w:r>
      <w:r w:rsidR="00D96E12" w:rsidRPr="00F1230C">
        <w:t>.</w:t>
      </w:r>
      <w:r w:rsidR="00D96E12" w:rsidRPr="00F1230C">
        <w:tab/>
        <w:t>wzywa państwa członkowskie do zapewnienia wystarczającego finansowania programów wysokiej jakości umiejętności i szkoleń zawodowych jako długoterminowej inwestycji w produktywność, wzrost i konkurencyjność pracowników i przedsiębiorstw; wzywa państwa członkowskie, aby przy wsparciu Komisji wykorzystały w sposób strategiczny istniejące instrumenty Unii w celu wdrożenia unii umiejętności, w szczególności gwarancję umiejętności; wzywa państwa członkowskie do zwiększenia wykorzystania dochodów z krajowego systemu handlu uprawnieniami do emisji na szkolenia pracowników i realokację siły roboczej, w szczególności pracowników w regionach o wysokiej emisji dwutlenku węgla; wzywa Komisję do zbadania i wydania wytycznych dotyczących sposobu, w jaki partnerstwa publiczno-prywatne między państwami członkowskimi a przedsiębiorstwami mogą finansować szkolenia, przekwalifikowanie i podnoszenie kwalifikacji pracowników, w szczególności prawo do szkolenia dla poszczególnych pracowników;</w:t>
      </w:r>
    </w:p>
    <w:p w14:paraId="6679D3DF" w14:textId="7BA06C2A" w:rsidR="00D96E12" w:rsidRPr="00F1230C" w:rsidRDefault="00830296" w:rsidP="00D96E12">
      <w:pPr>
        <w:pStyle w:val="NormalHanging12a"/>
      </w:pPr>
      <w:r>
        <w:t>22</w:t>
      </w:r>
      <w:r w:rsidR="00D96E12" w:rsidRPr="00F1230C">
        <w:t>.</w:t>
      </w:r>
      <w:r w:rsidR="00D96E12" w:rsidRPr="00F1230C">
        <w:tab/>
        <w:t>przypomina o znaczeniu uwzględniania problematyki niepełnosprawności i podejścia intersekcjonalnego do młodych, starszych, nisko wykwalifikowanych pracowników i pracownic we wszystkich środkach z obszaru polityki dotyczących dwojakiej transformacji, takich jak zapewnienie racjonalnych usprawnień w kształceniu i szkoleniu;</w:t>
      </w:r>
    </w:p>
    <w:p w14:paraId="6AC1F7D6" w14:textId="54629087" w:rsidR="00D96E12" w:rsidRPr="00F1230C" w:rsidRDefault="00830296" w:rsidP="00D96E12">
      <w:pPr>
        <w:pStyle w:val="NormalHanging12a"/>
      </w:pPr>
      <w:r>
        <w:t>23</w:t>
      </w:r>
      <w:r w:rsidR="00D96E12" w:rsidRPr="00F1230C">
        <w:t>.</w:t>
      </w:r>
      <w:r w:rsidR="00D96E12" w:rsidRPr="00F1230C">
        <w:tab/>
        <w:t>przypomina o roli, jaką Europejski Fundusz Dostosowania do Globalizacji dla Zwalnianych Pracowników (EFG) może odegrać we wspieraniu pracowników dotkniętych transformacją ekologiczną i cyfrową w pozostałym okresie programowania i zachęca państwa członkowskie, aby – przy wsparciu Komisji – w pełni wykorzystywały ten fundusz; z zadowoleniem przyjmuje cel proponowanego przeglądu obecnego EFG, jakim jest proaktywne wspieranie pracowników stojących w obliczu nieuchronnego zwolnienia i przyspieszenie procedury zatwierdzania wniosków; podkreśla jednak znaczenie dopilnowania, aby przedsiębiorstwa przechodzące restrukturyzację, które chcą ubiegać się o środki z Funduszu, czyniły to w pełnej konsultacji z pracownikami i ich przedstawicielami, w tym w trakcie opracowywania zindywidualizowanego pakietu środków; z niepokojem odnotowuje brak uwzględnienia EFG we wniosku dotyczącym wieloletnich ram finansowych na lata 2028–2034; podkreśla znaczenie aktywnych instrumentów rynku pracy i ochrony socjalnej dla reintegracji na rynku pracy pracowników zwolnionych w następstwie istotnych działań restrukturyzacyjnych; wzywa Komisję do zapewnienia w następnych WRF dalszego specjalnego wsparcia dla pracowników zagrożonych istotnymi działaniami restrukturyzacyjnymi lub zwolnionych w wyniku takich działań;</w:t>
      </w:r>
    </w:p>
    <w:p w14:paraId="2E4DC72D" w14:textId="644F5BE4" w:rsidR="00D96E12" w:rsidRPr="00F1230C" w:rsidRDefault="00830296" w:rsidP="00D96E12">
      <w:pPr>
        <w:pStyle w:val="NormalHanging12a"/>
      </w:pPr>
      <w:r>
        <w:t>24</w:t>
      </w:r>
      <w:r w:rsidR="00D96E12" w:rsidRPr="00F1230C">
        <w:t>.</w:t>
      </w:r>
      <w:r w:rsidR="00D96E12" w:rsidRPr="00F1230C">
        <w:tab/>
        <w:t>przypomina o wadze zapewnienia pracownikom wysokiego poziomu bezpieczeństwa i higieny pracy; podkreśla znaczenie proaktywnego przeciwdziałania zmieniającym się zagrożeniom dla BHP związanym z zadaniami, modelami i miejscami pracy, w szczególności zagrożeniom środowiskowym i psychospołecznym, w kontekście dwojakiej transformacji; wzywa Komisję do przeprowadzenia kompleksowego przeglądu obecnych strategicznych ram UE dotyczących bezpieczeństwa i higieny pracy oraz istniejących ram prawnych dotyczących BHP, aby zidentyfikować pozostałe luki i zagwarantować, że dorobek prawny UE pozostanie adekwatny do zakładanych celów, oraz dostarczyć informacji na potrzeby opracowywania ram strategicznych na okres po 2027 r.;</w:t>
      </w:r>
    </w:p>
    <w:p w14:paraId="78DEDB8A" w14:textId="5385134B" w:rsidR="00D96E12" w:rsidRPr="00F1230C" w:rsidRDefault="00830296" w:rsidP="00D96E12">
      <w:pPr>
        <w:pStyle w:val="NormalHanging12a"/>
      </w:pPr>
      <w:r>
        <w:t>25</w:t>
      </w:r>
      <w:r w:rsidR="00D96E12" w:rsidRPr="00F1230C">
        <w:t>.</w:t>
      </w:r>
      <w:r w:rsidR="00D96E12" w:rsidRPr="00F1230C">
        <w:tab/>
        <w:t xml:space="preserve">podkreśla, że zmiany i restrukturyzacja w miejscu pracy podczas dwojakiej </w:t>
      </w:r>
      <w:r w:rsidR="00D96E12" w:rsidRPr="00F1230C">
        <w:lastRenderedPageBreak/>
        <w:t>transformacji mogą powodować zagrożenia psychospołeczne, takie jak: stres, niepewność i zagrożenie utratą pracy; podkreśla potrzebę ochrony zdrowia psychicznego i dobrostanu psychospołecznego pracowników w okresie transformacji, w tym poprzez oceny ryzyka w miejscu pracy i usługi wsparcia; apeluje o włączenie do planów transformacji na poziomie przedsiębiorstwa programów wsparcia w zakresie zdrowia psychicznego, w tym programów poradnictwa, zarządzania stresem i równowagi między życiem zawodowym a prywatnym;</w:t>
      </w:r>
    </w:p>
    <w:p w14:paraId="1899474E" w14:textId="3341F971" w:rsidR="00D96E12" w:rsidRPr="00F1230C" w:rsidRDefault="00830296" w:rsidP="00D96E12">
      <w:pPr>
        <w:pStyle w:val="NormalHanging12a"/>
      </w:pPr>
      <w:r>
        <w:t>26</w:t>
      </w:r>
      <w:r w:rsidR="00D96E12" w:rsidRPr="00F1230C">
        <w:t>.</w:t>
      </w:r>
      <w:r w:rsidR="00D96E12" w:rsidRPr="00F1230C">
        <w:tab/>
        <w:t>podkreśla, jak ważne jest wspieranie pracowników we wzmacnianiu ich umiejętności transformacyjnych, podstawowych i poznawczych, takich jak myślenie kreatywne i krytyczne, prognozowanie, odporność, elastyczność i sprawność, motywacja i samoświadomość, ciekawość i uczenie się przez całe życie – w uznaniu znaczenia zdolności pracowników do przystosowania się do zakłóconych miejsc pracy, do samoskuteczności i tworzenia nowych rozwiązań, których wymaga transformacja ekologiczna i cyfrowa;</w:t>
      </w:r>
    </w:p>
    <w:p w14:paraId="4B512CB7" w14:textId="050B2BB0" w:rsidR="00D96E12" w:rsidRPr="00F1230C" w:rsidRDefault="00830296" w:rsidP="00D96E12">
      <w:pPr>
        <w:pStyle w:val="NormalHanging12a"/>
      </w:pPr>
      <w:r>
        <w:t>27</w:t>
      </w:r>
      <w:r w:rsidR="00D96E12" w:rsidRPr="00F1230C">
        <w:t>.</w:t>
      </w:r>
      <w:r w:rsidR="00D96E12" w:rsidRPr="00F1230C">
        <w:tab/>
        <w:t>z zadowoleniem przyjmuje dokument strategiczny Cedefop dotyczący utworzenia europejskiej mapy kwalifikacji, która zwiększa przejrzystość, porównywalność i możliwość przenoszenia kwalifikacji w całej Europie; podkreśla, że taka mapa musi wykraczać poza ćwiczenia akademickie i służyć jako praktyczne narzędzie konkurencyjności, przydatności na rynku pracy i mobilności; wzywa Komisję i państwa członkowskie do dopilnowania, aby europejskie ramy kwalifikacji były ściśle powiązane z potrzebami gospodarczymi, polityką przemysłową i inwestycjami w umiejętności oraz do dokładnego i systematycznego mapowania obecnego niedoboru kwalifikacji na szczeblu regionalnym, a także do prognozowania przyszłego zapotrzebowania na umiejętności; podkreśla, że takie mapowanie powinno obejmować analizę skutków i prowadzić do wdrożenia środków sektorowych i terytorialnych, aby wykorzystać potencjał transformacji ekologicznej we wszystkich regionach;</w:t>
      </w:r>
    </w:p>
    <w:p w14:paraId="042D36DC" w14:textId="1897A4EE" w:rsidR="00D96E12" w:rsidRPr="00F1230C" w:rsidRDefault="00830296" w:rsidP="00D96E12">
      <w:pPr>
        <w:pStyle w:val="NormalHanging12a"/>
      </w:pPr>
      <w:r>
        <w:t>28</w:t>
      </w:r>
      <w:r w:rsidR="00D96E12" w:rsidRPr="00F1230C">
        <w:t>.</w:t>
      </w:r>
      <w:r w:rsidR="00D96E12" w:rsidRPr="00F1230C">
        <w:tab/>
        <w:t>podkreśla, że silne siatki bezpieczeństwa socjalnego i systemy ochrony socjalnej mają zasadnicze znaczenie dla wspierania pracowników i zapewnienia spójności społecznej w okresach przejściowych; wzywa państwa członkowskie do zmodernizowania i wzmocnienia – w porozumieniu z partnerami społecznymi i odpowiednimi organizacjami społeczeństwa obywatelskiego – ich systemów ochrony socjalnej i podstawowych usług publicznych, a jednocześnie do zapewnienia ich długoterminowego zrównoważonego charakteru, bez zwiększania obciążeń finansowych dla MŚP, ze szczególnym uwzględnieniem polityki zdrowotnej, transportowej, oświatowej i polityki włączenia społecznego, wsparcia dochodu i przystępnych cenowo mieszkań, a także wsparcia dla nienastawionych na zysk dostawców usług społecznych, aby zapewnić odporność na wstrząsy wynikające z dwojakiej transformacji mające wpływ na rynek pracy oraz aby pracownicy dotknięci utratą pracy mogli w miarę możliwości utrzymać poziom życia;</w:t>
      </w:r>
    </w:p>
    <w:p w14:paraId="559E493F" w14:textId="0C9EF576" w:rsidR="00D96E12" w:rsidRPr="00F1230C" w:rsidRDefault="00830296" w:rsidP="00D96E12">
      <w:pPr>
        <w:pStyle w:val="NormalHanging12a"/>
      </w:pPr>
      <w:r>
        <w:t>29</w:t>
      </w:r>
      <w:r w:rsidR="00D96E12" w:rsidRPr="00F1230C">
        <w:t>.</w:t>
      </w:r>
      <w:r w:rsidR="00D96E12" w:rsidRPr="00F1230C">
        <w:tab/>
        <w:t>wzywa państwa członkowskie do pełnego wdrożenia zalecenia Rady w sprawie dostępu pracowników oraz osób samozatrudnionych do ochrony socjalnej; wzywa Komisję do monitorowania zagrożeń i postępów w realizacji takich działań za pośrednictwem tablicy wskaźników społecznych i ram konwergencji społecznej; podkreśla wagę zagwarantowania, że oferty krajowych publicznych służb zatrudnienia są adekwatne wobec zmian na rynku pracy, tak aby zapewnić wsparcie osobom zmieniającym pracę wskutek transformacji i ułatwić im ten proces;</w:t>
      </w:r>
    </w:p>
    <w:p w14:paraId="346CDFFC" w14:textId="493B6FC8" w:rsidR="00D96E12" w:rsidRPr="00F1230C" w:rsidRDefault="00830296" w:rsidP="00D96E12">
      <w:pPr>
        <w:pStyle w:val="NormalHanging12a"/>
      </w:pPr>
      <w:r>
        <w:t>30</w:t>
      </w:r>
      <w:r w:rsidR="00D96E12" w:rsidRPr="00F1230C">
        <w:t>.</w:t>
      </w:r>
      <w:r w:rsidR="00D96E12" w:rsidRPr="00F1230C">
        <w:tab/>
        <w:t xml:space="preserve">podkreśla znaczenie ukierunkowanych strategii politycznych wspierających osoby </w:t>
      </w:r>
      <w:r w:rsidR="00D96E12" w:rsidRPr="00F1230C">
        <w:lastRenderedPageBreak/>
        <w:t>najbardziej dotknięte dwojaką transformacją, w szczególności osoby znajdujące się w trudnej sytuacji; podkreśla, że potrzebne są aktywne wsparcie i wczesne interwencje, aby zapobiec popadnięciu osób znajdujących się w trudnej sytuacji w długie okresy bezrobocia lub zniechęceniu tych osób poszukiwaniem pracy; wzywa państwa członkowskie do znacznego zwiększenia aktywnego wsparcia na rzecz wysokiej jakości zatrudnienia, w szczególności przez wspieranie dostępu do wysokiej jakości zatrudnienia i utrzymania go, propagowanie przedsiębiorczości i stymulowanie tworzenia wysokiej jakości miejsc pracy; podkreśla rolę programów integracji zawodowej, ukierunkowanych zamówień publicznych i lokalnych robót publicznych w tworzeniu przejściowych miejsc pracy; podkreśla potrzebę budowania zdolności władz lokalnych i regionalnych, aby skutecznie mobilizować inwestycje, angażować grupy docelowe w opracowywanie i realizację systemów wsparcia społecznego oraz mierzyć efekty dystrybucyjne;</w:t>
      </w:r>
    </w:p>
    <w:p w14:paraId="4FD9A82E" w14:textId="083C232D" w:rsidR="00D96E12" w:rsidRPr="00F1230C" w:rsidRDefault="00830296" w:rsidP="00D96E12">
      <w:pPr>
        <w:pStyle w:val="NormalHanging12a"/>
      </w:pPr>
      <w:r>
        <w:t>31</w:t>
      </w:r>
      <w:r w:rsidR="00D96E12" w:rsidRPr="00F1230C">
        <w:t>.</w:t>
      </w:r>
      <w:r w:rsidR="00D96E12" w:rsidRPr="00F1230C">
        <w:tab/>
        <w:t>podkreśla potrzebę wspierania mechanizmów zmniejszonego wymiaru czasu pracy oraz znaczenie ukierunkowanego wsparcia dla pracowników dotkniętych transformacją, z wykorzystaniem pozytywnych doświadczeń związanych z SURE; wzywa Komisję do zaproponowania wzmocnionego mechanizmu SURE ukierunkowanego na transformację ekologiczną i cyfrową, ponieważ wspieranie takich tymczasowych środków ochrony zatrudnienia w czasach kryzysu może stabilizować wydatki publiczne przeznaczone na politykę zatrudnienia i środki sprawiedliwej transformacji mające łagodzić bezpośredni wpływ niezbędnej transformacji gospodarki UE na miejsca pracy zgodnie z celami sprawiedliwej transformacji;</w:t>
      </w:r>
    </w:p>
    <w:p w14:paraId="6C15BA2F" w14:textId="061E2ED2" w:rsidR="00D96E12" w:rsidRPr="00F1230C" w:rsidRDefault="00830296" w:rsidP="00D96E12">
      <w:pPr>
        <w:pStyle w:val="NormalHanging12a"/>
      </w:pPr>
      <w:r>
        <w:t>32</w:t>
      </w:r>
      <w:r w:rsidR="00D96E12" w:rsidRPr="00F1230C">
        <w:t>.</w:t>
      </w:r>
      <w:r w:rsidR="00D96E12" w:rsidRPr="00F1230C">
        <w:tab/>
        <w:t>podkreśla, że wpływ na zatrudnienie będzie różny w zależności od regionu i ludności; podkreśla w związku z tym potrzebę zaangażowania lokalnych obywateli i zainteresowanych stron, w tym odpowiednich organizacji społeczeństwa obywatelskiego, oraz wzmocnienia ich pozycji, aby mogli być aktywnymi podmiotami w transformacji; podkreśla, że władze lokalne i regionalne powinny być bezpośrednio zaangażowane w opracowywanie, wybór i monitorowanie projektów w celu zapewnienia, aby finansowanie odpowiadało konkretnym potrzebom lokalnym i wspierało dywersyfikację gospodarek regionalnych; podkreśla, że organy publiczne muszą angażować się w strategiczne konsultacje i współpracę z partnerami społecznymi podczas zarządzania transformacją; podkreśla, że znaczący udział w regionalnych organach koordynacyjnych można zapewnić poprzez konsultacje na wczesnym etapie oraz jasne mandaty i prawa do głosowania dla partnerów społecznych, MŚP, społeczeństwa obywatelskiego, gospodarki społecznej i młodzieży;</w:t>
      </w:r>
    </w:p>
    <w:p w14:paraId="1894963C" w14:textId="4EF6EDFA" w:rsidR="00D96E12" w:rsidRPr="00F1230C" w:rsidRDefault="00830296" w:rsidP="00D96E12">
      <w:pPr>
        <w:pStyle w:val="NormalHanging12a"/>
      </w:pPr>
      <w:r>
        <w:t>33</w:t>
      </w:r>
      <w:r w:rsidR="00D96E12" w:rsidRPr="00F1230C">
        <w:t>.</w:t>
      </w:r>
      <w:r w:rsidR="00D96E12" w:rsidRPr="00F1230C">
        <w:tab/>
        <w:t>podkreśla, że rokowania zbiorowe mają kluczowe znaczenie dla godziwych wynagrodzeń, sprawiedliwości społecznej i demokracji w miejscu pracy, jednak ich zasięg pozostaje nierównomierny; przypomina o obowiązku państw członkowskich, w których zasięg umów zbiorowych wynosi poniżej 80 %, ustanowienia krajowych planów działania zawierających jasne harmonogramy i konkretne środki służące zwiększeniu tego zasięgu; wzywa Komisję do zapewnienia państwom członkowskim wytycznych i wsparcia w celu wzmocnienia systemów rokowań, w szczególności na szczeblu sektorowym, przy pełnym zaangażowaniu partnerów społecznych; podkreśla, że UE i państwa członkowskie powinny wspierać finansowanie budowania zdolności partnerów społecznych, zwłaszcza na szczeblu regionalnym, w ramach wdrażania zalecenia Rady w sprawie zapewnienia sprawiedliwej transformacji w kierunku neutralności klimatycznej, aby nawiązać zorganizowany dialog społeczny i prowadzić rokowania zbiorowe w sprawie planów transformacji na poziomie przedsiębiorstw;</w:t>
      </w:r>
    </w:p>
    <w:p w14:paraId="17C272C5" w14:textId="3B5D08A4" w:rsidR="00D96E12" w:rsidRPr="00F1230C" w:rsidRDefault="00DF513D" w:rsidP="00D96E12">
      <w:pPr>
        <w:pStyle w:val="NormalHanging12a"/>
      </w:pPr>
      <w:r>
        <w:lastRenderedPageBreak/>
        <w:t>34</w:t>
      </w:r>
      <w:r w:rsidR="00D96E12" w:rsidRPr="00F1230C">
        <w:t>.</w:t>
      </w:r>
      <w:r w:rsidR="00D96E12" w:rsidRPr="00F1230C">
        <w:tab/>
        <w:t>uznaje, że skutki finansowe przedstawionego wniosku należy pokryć z istniejących środków budżetowych;</w:t>
      </w:r>
    </w:p>
    <w:p w14:paraId="19B9BCD2" w14:textId="14D748F4" w:rsidR="00D96E12" w:rsidRPr="00F1230C" w:rsidRDefault="00830296" w:rsidP="00D96E12">
      <w:pPr>
        <w:widowControl/>
        <w:ind w:left="567" w:hanging="567"/>
        <w:rPr>
          <w:szCs w:val="24"/>
        </w:rPr>
      </w:pPr>
      <w:r>
        <w:t>35</w:t>
      </w:r>
      <w:r w:rsidR="00D96E12" w:rsidRPr="00F1230C">
        <w:t>.</w:t>
      </w:r>
      <w:r w:rsidR="00D96E12" w:rsidRPr="00F1230C">
        <w:tab/>
        <w:t xml:space="preserve">zobowiązuje swoją przewodniczącą do przekazania niniejszej rezolucji oraz zaleceń zawartych w załączniku Komisji i Radzie. </w:t>
      </w:r>
    </w:p>
    <w:p w14:paraId="058D822F" w14:textId="77777777" w:rsidR="00D96E12" w:rsidRPr="00F1230C" w:rsidRDefault="00D96E12" w:rsidP="00D96E12"/>
    <w:p w14:paraId="20C7F9E7" w14:textId="77777777" w:rsidR="00D96E12" w:rsidRPr="00F1230C" w:rsidRDefault="00D96E12" w:rsidP="00D96E12">
      <w:pPr>
        <w:sectPr w:rsidR="00D96E12" w:rsidRPr="00F1230C" w:rsidSect="00F1230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CAC891" w14:textId="37FF2C59" w:rsidR="00D96E12" w:rsidRPr="00F1230C" w:rsidRDefault="00D96E12" w:rsidP="00D96E12">
      <w:pPr>
        <w:pStyle w:val="PageHeading"/>
      </w:pPr>
      <w:bookmarkStart w:id="8" w:name="_Toc218779060"/>
      <w:r w:rsidRPr="00F1230C">
        <w:lastRenderedPageBreak/>
        <w:t>ZAŁĄCZNIK DO REZOLUCJI:</w:t>
      </w:r>
      <w:r w:rsidRPr="00F1230C">
        <w:br/>
        <w:t>ZALECENIA DOTYCZĄCE TREŚCI POSTULOWANEGO WNIOSKU</w:t>
      </w:r>
      <w:bookmarkEnd w:id="8"/>
    </w:p>
    <w:p w14:paraId="287D3E9D" w14:textId="77777777" w:rsidR="00D96E12" w:rsidRPr="00F1230C" w:rsidRDefault="00D96E12" w:rsidP="002D4C85">
      <w:pPr>
        <w:pStyle w:val="NormalHanging12a"/>
        <w:jc w:val="center"/>
        <w:rPr>
          <w:b/>
        </w:rPr>
      </w:pPr>
      <w:r w:rsidRPr="00F1230C">
        <w:rPr>
          <w:b/>
        </w:rPr>
        <w:t>Dyrektywa w sprawie sprawiedliwej transformacji w świecie pracy: zapewnienie tworzenia miejsc pracy i rewitalizacji lokalnych gospodarek</w:t>
      </w:r>
    </w:p>
    <w:p w14:paraId="67D7E200" w14:textId="4E01BDDD" w:rsidR="00D96E12" w:rsidRPr="00F1230C" w:rsidRDefault="00D96E12" w:rsidP="002D4C85">
      <w:pPr>
        <w:pStyle w:val="NormalHanging12a"/>
        <w:ind w:left="0" w:firstLine="0"/>
      </w:pPr>
      <w:r w:rsidRPr="00F1230C">
        <w:t xml:space="preserve">Parlament Europejski </w:t>
      </w:r>
      <w:r w:rsidR="008C3B52">
        <w:t>stoi na stanowisku</w:t>
      </w:r>
      <w:r w:rsidRPr="00F1230C">
        <w:t>, że Komisj</w:t>
      </w:r>
      <w:r w:rsidR="009E62E6">
        <w:t>a</w:t>
      </w:r>
      <w:r w:rsidRPr="00F1230C">
        <w:t xml:space="preserve"> powin</w:t>
      </w:r>
      <w:r w:rsidR="009E62E6">
        <w:t>na</w:t>
      </w:r>
      <w:r w:rsidRPr="00F1230C">
        <w:t xml:space="preserve"> </w:t>
      </w:r>
      <w:r w:rsidR="00FD1885">
        <w:t>zapewnić</w:t>
      </w:r>
      <w:r w:rsidR="00FD1885" w:rsidRPr="00F1230C">
        <w:t xml:space="preserve"> </w:t>
      </w:r>
      <w:r w:rsidRPr="00F1230C">
        <w:t>następujące zasady i cele:</w:t>
      </w:r>
    </w:p>
    <w:p w14:paraId="60061974" w14:textId="77777777" w:rsidR="00D96E12" w:rsidRPr="00F1230C" w:rsidRDefault="00D96E12" w:rsidP="002D4C85">
      <w:pPr>
        <w:pStyle w:val="NormalHanging12a"/>
        <w:ind w:left="720" w:hanging="720"/>
        <w:rPr>
          <w:i/>
          <w:szCs w:val="24"/>
        </w:rPr>
      </w:pPr>
      <w:r w:rsidRPr="00F1230C">
        <w:rPr>
          <w:b/>
          <w:i/>
        </w:rPr>
        <w:t>Zalecenie 1: Ogólny cel wniosku</w:t>
      </w:r>
    </w:p>
    <w:p w14:paraId="650B4FDB" w14:textId="77777777" w:rsidR="00D96E12" w:rsidRPr="00F1230C" w:rsidRDefault="00D96E12" w:rsidP="002D4C85">
      <w:pPr>
        <w:pStyle w:val="NormalHanging12a"/>
        <w:ind w:left="0" w:firstLine="0"/>
      </w:pPr>
      <w:r w:rsidRPr="00F1230C">
        <w:t>Ogólnym celem wniosku powinno być ustanowienie unijnych ram środków z zakresu polityki, które można wprowadzić w życie w regionach dotkniętych transformacją ekologiczną i cyfrową, aby zapewnić sprawiedliwą społecznie i sprzyjającą włączeniu społecznemu transformację oraz tworzenie i ochronę wysokiej jakości miejsc pracy.</w:t>
      </w:r>
    </w:p>
    <w:p w14:paraId="7E0360CB" w14:textId="6EAC7A26" w:rsidR="00D96E12" w:rsidRPr="00F1230C" w:rsidRDefault="00D96E12" w:rsidP="002D4C85">
      <w:pPr>
        <w:pStyle w:val="NormalHanging12a"/>
        <w:ind w:left="720" w:hanging="720"/>
        <w:rPr>
          <w:i/>
          <w:szCs w:val="24"/>
        </w:rPr>
      </w:pPr>
      <w:r w:rsidRPr="00F1230C">
        <w:rPr>
          <w:b/>
          <w:i/>
        </w:rPr>
        <w:t xml:space="preserve">Zalecenie 2: </w:t>
      </w:r>
      <w:r w:rsidR="008C3B52">
        <w:rPr>
          <w:b/>
          <w:i/>
        </w:rPr>
        <w:t>Forma</w:t>
      </w:r>
      <w:r w:rsidR="008C3B52" w:rsidRPr="00F1230C">
        <w:rPr>
          <w:b/>
          <w:i/>
        </w:rPr>
        <w:t xml:space="preserve"> </w:t>
      </w:r>
      <w:r w:rsidRPr="00F1230C">
        <w:rPr>
          <w:b/>
          <w:i/>
        </w:rPr>
        <w:t>wniosku</w:t>
      </w:r>
    </w:p>
    <w:p w14:paraId="7812359C" w14:textId="6C4FCFD0" w:rsidR="00D96E12" w:rsidRPr="005C4C20" w:rsidRDefault="00D96E12" w:rsidP="007030A7">
      <w:r w:rsidRPr="00F1230C">
        <w:t xml:space="preserve">Ze względu na potrzebę kompleksowego pakietu środków niezbędnych do osiągnięcia tego celu wniosek powinien zawierać elementy </w:t>
      </w:r>
      <w:r w:rsidR="008C3B52">
        <w:t>z</w:t>
      </w:r>
      <w:r w:rsidR="008C3B52" w:rsidRPr="00F1230C">
        <w:t xml:space="preserve"> </w:t>
      </w:r>
      <w:r w:rsidRPr="00F1230C">
        <w:t>następujących dziedzin:</w:t>
      </w:r>
    </w:p>
    <w:p w14:paraId="6D9F89D2" w14:textId="77777777" w:rsidR="00D96E12" w:rsidRPr="00F1230C" w:rsidRDefault="00D96E12" w:rsidP="007030A7">
      <w:pPr>
        <w:ind w:left="851" w:hanging="425"/>
      </w:pPr>
      <w:r w:rsidRPr="00F1230C">
        <w:t>a)</w:t>
      </w:r>
      <w:r w:rsidRPr="00F1230C">
        <w:tab/>
        <w:t>warunki pracy;</w:t>
      </w:r>
    </w:p>
    <w:p w14:paraId="1C7729B6" w14:textId="77777777" w:rsidR="00D96E12" w:rsidRPr="00F1230C" w:rsidRDefault="00D96E12" w:rsidP="007030A7">
      <w:pPr>
        <w:ind w:left="851" w:hanging="425"/>
      </w:pPr>
      <w:r w:rsidRPr="00F1230C">
        <w:t>b)</w:t>
      </w:r>
      <w:r w:rsidRPr="00F1230C">
        <w:tab/>
        <w:t>integracja osób wyłączonych z rynku pracy;</w:t>
      </w:r>
    </w:p>
    <w:p w14:paraId="2287FEAA" w14:textId="77777777" w:rsidR="00D96E12" w:rsidRPr="00F1230C" w:rsidRDefault="00D96E12" w:rsidP="007030A7">
      <w:pPr>
        <w:ind w:left="851" w:hanging="425"/>
      </w:pPr>
      <w:r w:rsidRPr="00F1230C">
        <w:t>c)</w:t>
      </w:r>
      <w:r w:rsidRPr="00F1230C">
        <w:tab/>
        <w:t>informacje i konsultacje z pracownikami;</w:t>
      </w:r>
    </w:p>
    <w:p w14:paraId="5641878A" w14:textId="77777777" w:rsidR="00D96E12" w:rsidRPr="00F1230C" w:rsidRDefault="00D96E12" w:rsidP="002D4C85">
      <w:pPr>
        <w:pStyle w:val="NormalHanging12a"/>
        <w:ind w:left="851" w:hanging="425"/>
        <w:rPr>
          <w:szCs w:val="24"/>
        </w:rPr>
      </w:pPr>
      <w:r w:rsidRPr="00F1230C">
        <w:t>d)</w:t>
      </w:r>
      <w:r w:rsidRPr="00F1230C">
        <w:tab/>
        <w:t xml:space="preserve">polepszanie środowiska pracy, aby chronić zdrowie i bezpieczeństwo pracowników. </w:t>
      </w:r>
    </w:p>
    <w:p w14:paraId="2AF9936C" w14:textId="77777777" w:rsidR="00D96E12" w:rsidRPr="00F1230C" w:rsidRDefault="00D96E12" w:rsidP="002D4C85">
      <w:pPr>
        <w:pStyle w:val="NormalHanging12a"/>
        <w:ind w:left="720" w:hanging="720"/>
        <w:rPr>
          <w:i/>
          <w:szCs w:val="24"/>
        </w:rPr>
      </w:pPr>
      <w:r w:rsidRPr="00F1230C">
        <w:rPr>
          <w:b/>
          <w:i/>
        </w:rPr>
        <w:t>Zalecenie 3: Przedmiot wniosku</w:t>
      </w:r>
    </w:p>
    <w:p w14:paraId="43996B5A" w14:textId="77777777" w:rsidR="00D96E12" w:rsidRPr="00F1230C" w:rsidRDefault="00D96E12" w:rsidP="007030A7">
      <w:r w:rsidRPr="00F1230C">
        <w:t>Wniosek powinien koncentrować się na następujących środkach z zakresu polityki:</w:t>
      </w:r>
    </w:p>
    <w:p w14:paraId="6FB842B8" w14:textId="77777777" w:rsidR="00D96E12" w:rsidRPr="00F1230C" w:rsidRDefault="00D96E12" w:rsidP="007030A7">
      <w:r w:rsidRPr="00F1230C">
        <w:t>a)</w:t>
      </w:r>
      <w:r w:rsidRPr="00F1230C">
        <w:tab/>
        <w:t>ustanowienie specjalnych ram przewidywania zmian i zarządzania nimi w regionach i sektorach stojących w obliczu transformacji w oparciu o zasady obowiązkowego i terminowego informowania pracowników i ich przedstawicieli oraz przeprowadzania z nimi konsultacji, dialogu społecznego i rokowań zbiorowych;</w:t>
      </w:r>
    </w:p>
    <w:p w14:paraId="0AE483AF" w14:textId="77777777" w:rsidR="00D96E12" w:rsidRPr="00F1230C" w:rsidRDefault="00D96E12" w:rsidP="007030A7">
      <w:r w:rsidRPr="00F1230C">
        <w:t>b)</w:t>
      </w:r>
      <w:r w:rsidRPr="00F1230C">
        <w:tab/>
        <w:t>zapewnienie skutecznego stosowania prawa do informowania pracowników i ich przedstawicieli oraz przeprowadzania z nimi konsultacji, określonego w dyrektywie 2002/14/WE i w przepisach krajowych, w kontekście transformacji;</w:t>
      </w:r>
    </w:p>
    <w:p w14:paraId="7B9C8758" w14:textId="77777777" w:rsidR="00D96E12" w:rsidRPr="00F1230C" w:rsidRDefault="00D96E12" w:rsidP="007030A7">
      <w:r w:rsidRPr="00F1230C">
        <w:t>c)</w:t>
      </w:r>
      <w:r w:rsidRPr="00F1230C">
        <w:tab/>
        <w:t>ustanowienie indywidualnego prawa do szkolenia pracowników w godzinach pracy;</w:t>
      </w:r>
    </w:p>
    <w:p w14:paraId="3F0132B4" w14:textId="77777777" w:rsidR="00D96E12" w:rsidRPr="00F1230C" w:rsidRDefault="00D96E12" w:rsidP="007030A7">
      <w:r w:rsidRPr="00F1230C">
        <w:t>d)</w:t>
      </w:r>
      <w:r w:rsidRPr="00F1230C">
        <w:tab/>
        <w:t>ustanowienie krajowych strategii sprawiedliwej transformacji, ze szczególnym uwzględnieniem opracowania długoterminowej wizji lokalnych gospodarek i siły roboczej we wszystkich dotkniętych regionach i sektorach, a strategie te mają być opracowywane i wdrażane przy znaczącym zaangażowaniu partnerów społecznych i podmiotów lokalnych;</w:t>
      </w:r>
    </w:p>
    <w:p w14:paraId="2C03076C" w14:textId="77777777" w:rsidR="00D96E12" w:rsidRPr="00F1230C" w:rsidRDefault="00D96E12" w:rsidP="007030A7">
      <w:r w:rsidRPr="00F1230C">
        <w:t>e)</w:t>
      </w:r>
      <w:r w:rsidRPr="00F1230C">
        <w:tab/>
        <w:t>opracowanie programów wsparcia dla przedsiębiorstw, w szczególności MŚP i podmiotów lokalnych, aby zachęcać do tworzenia miejsc pracy na szczeblu lokalnym;</w:t>
      </w:r>
    </w:p>
    <w:p w14:paraId="0B408085" w14:textId="77777777" w:rsidR="00D96E12" w:rsidRPr="00F1230C" w:rsidRDefault="00D96E12" w:rsidP="007030A7">
      <w:r w:rsidRPr="00F1230C">
        <w:t>f)</w:t>
      </w:r>
      <w:r w:rsidRPr="00F1230C">
        <w:tab/>
        <w:t>zapewnienie dopasowania podaży siły roboczej i umiejętności do popytu poprzez połączone wykorzystanie informacji na temat rynku pracy, wzmocnioną współpracę podmiotów lokalnych i partnerów społecznych z organizatorami szkoleń oraz propagowanie planów transformacji na poziomie przedsiębiorstw;</w:t>
      </w:r>
    </w:p>
    <w:p w14:paraId="448F3054" w14:textId="77777777" w:rsidR="00D96E12" w:rsidRPr="00F1230C" w:rsidRDefault="00D96E12" w:rsidP="007030A7">
      <w:r w:rsidRPr="00F1230C">
        <w:t>g)</w:t>
      </w:r>
      <w:r w:rsidRPr="00F1230C">
        <w:tab/>
        <w:t>opracowanie struktury monitorowania w celu zapewnienia prognozy strategicznej dotyczącej skutków transformacji i zmian na rynku pracy.</w:t>
      </w:r>
    </w:p>
    <w:p w14:paraId="443DE154" w14:textId="77777777" w:rsidR="00D96E12" w:rsidRPr="00F1230C" w:rsidRDefault="00D96E12" w:rsidP="002D4C85">
      <w:pPr>
        <w:pStyle w:val="NormalHanging12a"/>
        <w:ind w:left="720" w:hanging="720"/>
        <w:rPr>
          <w:i/>
          <w:szCs w:val="24"/>
        </w:rPr>
      </w:pPr>
      <w:r w:rsidRPr="00F1230C">
        <w:rPr>
          <w:b/>
          <w:i/>
        </w:rPr>
        <w:t>Zalecenie 4: Wdrożenie i egzekwowanie</w:t>
      </w:r>
    </w:p>
    <w:p w14:paraId="14FA330D" w14:textId="6BF2868A" w:rsidR="00D96E12" w:rsidRPr="00F1230C" w:rsidRDefault="00D96E12" w:rsidP="002D4C85">
      <w:pPr>
        <w:pStyle w:val="NormalHanging12a"/>
        <w:ind w:left="0" w:firstLine="0"/>
        <w:rPr>
          <w:bCs/>
          <w:iCs/>
          <w:szCs w:val="24"/>
        </w:rPr>
      </w:pPr>
      <w:r w:rsidRPr="00F1230C">
        <w:t>1.</w:t>
      </w:r>
      <w:r w:rsidRPr="00F1230C">
        <w:tab/>
        <w:t xml:space="preserve">We wniosku należy uszanować prawo państw członkowskich do stosowania lub </w:t>
      </w:r>
      <w:r w:rsidR="008C3B52">
        <w:lastRenderedPageBreak/>
        <w:t>przyjmowania</w:t>
      </w:r>
      <w:r w:rsidR="008C3B52" w:rsidRPr="00F1230C">
        <w:t xml:space="preserve"> </w:t>
      </w:r>
      <w:r w:rsidRPr="00F1230C">
        <w:t>przepisów ustawowych, wykonawczych lub administracyjnych, które są korzystniejsze dla pracowników, lub do zachęcania do stosowania korzystniejszych dla pracowników układów zbiorowych bądź zezwalania na ich stosowanie</w:t>
      </w:r>
      <w:r w:rsidR="008C3B52">
        <w:t>;</w:t>
      </w:r>
      <w:r w:rsidRPr="00F1230C">
        <w:t xml:space="preserve"> wniosek nie powinien też stanowić ważnej podstawy do obniżenia ogólnego poziomu ochrony przyznanej już pracownikom w państwach członkowskich.</w:t>
      </w:r>
    </w:p>
    <w:p w14:paraId="48148BC0" w14:textId="522050DF" w:rsidR="00E365E1" w:rsidRPr="00F1230C" w:rsidRDefault="00D96E12" w:rsidP="007030A7">
      <w:r w:rsidRPr="00F1230C">
        <w:t>2.</w:t>
      </w:r>
      <w:r w:rsidRPr="00F1230C">
        <w:tab/>
        <w:t>We wniosku należy uszanować autonomię partnerów społecznych, w tym prawo do negocjowania i zawierania układów zbiorowych, oraz umożliwiać im, na wspólny wniosek, powierzenie im jego wdrożenia, pod warunkiem że system krajowy może zagwarantować rezultaty, do których dąży wniosek</w:t>
      </w:r>
      <w:r w:rsidR="008C3B52">
        <w:t>, w sposób ciągły</w:t>
      </w:r>
      <w:r w:rsidRPr="00F1230C">
        <w:t>.</w:t>
      </w:r>
    </w:p>
    <w:sectPr w:rsidR="00E365E1" w:rsidRPr="00F1230C" w:rsidSect="00F12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CC426" w14:textId="77777777" w:rsidR="004565D7" w:rsidRPr="00F1230C" w:rsidRDefault="004565D7">
      <w:r w:rsidRPr="00F1230C">
        <w:separator/>
      </w:r>
    </w:p>
  </w:endnote>
  <w:endnote w:type="continuationSeparator" w:id="0">
    <w:p w14:paraId="73EEDCF7" w14:textId="77777777" w:rsidR="004565D7" w:rsidRPr="00F1230C" w:rsidRDefault="004565D7">
      <w:r w:rsidRPr="00F123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EFF17" w14:textId="77777777" w:rsidR="00D96E12" w:rsidRPr="00F1230C" w:rsidRDefault="00D96E12" w:rsidP="005803E2">
    <w:pPr>
      <w:pStyle w:val="EPFooter"/>
    </w:pPr>
    <w:r w:rsidRPr="00F1230C">
      <w:t>PE</w:t>
    </w:r>
    <w:r w:rsidRPr="00F1230C">
      <w:rPr>
        <w:rStyle w:val="HideTWBExt"/>
      </w:rPr>
      <w:t>&lt;NoPE&gt;</w:t>
    </w:r>
    <w:r w:rsidRPr="00F1230C">
      <w:t>775.632</w:t>
    </w:r>
    <w:r w:rsidRPr="00F1230C">
      <w:rPr>
        <w:rStyle w:val="HideTWBExt"/>
      </w:rPr>
      <w:t>&lt;/NoPE&gt;&lt;Version&gt;</w:t>
    </w:r>
    <w:r w:rsidRPr="00F1230C">
      <w:t>v03-00</w:t>
    </w:r>
    <w:r w:rsidRPr="00F1230C">
      <w:rPr>
        <w:rStyle w:val="HideTWBExt"/>
      </w:rPr>
      <w:t>&lt;/Version&gt;</w:t>
    </w:r>
    <w:r w:rsidRPr="00F1230C">
      <w:tab/>
    </w:r>
    <w:r w:rsidRPr="00F1230C">
      <w:fldChar w:fldCharType="begin"/>
    </w:r>
    <w:r w:rsidRPr="00F1230C">
      <w:instrText xml:space="preserve"> PAGE  \* MERGEFORMAT </w:instrText>
    </w:r>
    <w:r w:rsidRPr="00F1230C">
      <w:fldChar w:fldCharType="separate"/>
    </w:r>
    <w:r w:rsidRPr="00F1230C">
      <w:rPr>
        <w:noProof/>
      </w:rPr>
      <w:t>1</w:t>
    </w:r>
    <w:r w:rsidRPr="00F1230C">
      <w:fldChar w:fldCharType="end"/>
    </w:r>
    <w:r w:rsidRPr="00F1230C">
      <w:t>/</w:t>
    </w:r>
    <w:fldSimple w:instr=" NUMPAGES  \* MERGEFORMAT ">
      <w:r w:rsidRPr="00F1230C">
        <w:rPr>
          <w:noProof/>
        </w:rPr>
        <w:t>1</w:t>
      </w:r>
    </w:fldSimple>
    <w:r w:rsidRPr="00F1230C">
      <w:tab/>
    </w:r>
    <w:r w:rsidRPr="00F1230C">
      <w:rPr>
        <w:rStyle w:val="HideTWBExt"/>
      </w:rPr>
      <w:t>&lt;PathFdR&gt;</w:t>
    </w:r>
    <w:r w:rsidRPr="00F1230C">
      <w:t>RR\1334117PL.docx</w:t>
    </w:r>
    <w:r w:rsidRPr="00F1230C">
      <w:rPr>
        <w:rStyle w:val="HideTWBExt"/>
      </w:rPr>
      <w:t>&lt;/PathFdR&gt;</w:t>
    </w:r>
  </w:p>
  <w:p w14:paraId="53ACE155" w14:textId="77777777" w:rsidR="00D96E12" w:rsidRPr="00F1230C" w:rsidRDefault="00D96E12" w:rsidP="005803E2">
    <w:pPr>
      <w:pStyle w:val="EPFooter2"/>
    </w:pPr>
    <w:r w:rsidRPr="00F1230C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93EF" w14:textId="77777777" w:rsidR="00D96E12" w:rsidRPr="00F1230C" w:rsidRDefault="00D96E12" w:rsidP="005803E2">
    <w:pPr>
      <w:pStyle w:val="EPFooter"/>
    </w:pPr>
    <w:r w:rsidRPr="00F1230C">
      <w:rPr>
        <w:rStyle w:val="HideTWBExt"/>
      </w:rPr>
      <w:t>&lt;PathFdR&gt;</w:t>
    </w:r>
    <w:r w:rsidRPr="00F1230C">
      <w:t>RR\1334117PL.docx</w:t>
    </w:r>
    <w:r w:rsidRPr="00F1230C">
      <w:rPr>
        <w:rStyle w:val="HideTWBExt"/>
      </w:rPr>
      <w:t>&lt;/PathFdR&gt;</w:t>
    </w:r>
    <w:r w:rsidRPr="00F1230C">
      <w:tab/>
    </w:r>
    <w:r w:rsidRPr="00F1230C">
      <w:tab/>
      <w:t>PE</w:t>
    </w:r>
    <w:r w:rsidRPr="00F1230C">
      <w:rPr>
        <w:rStyle w:val="HideTWBExt"/>
      </w:rPr>
      <w:t>&lt;NoPE&gt;</w:t>
    </w:r>
    <w:r w:rsidRPr="00F1230C">
      <w:t>775.632</w:t>
    </w:r>
    <w:r w:rsidRPr="00F1230C">
      <w:rPr>
        <w:rStyle w:val="HideTWBExt"/>
      </w:rPr>
      <w:t>&lt;/NoPE&gt;&lt;Version&gt;</w:t>
    </w:r>
    <w:r w:rsidRPr="00F1230C">
      <w:t>v03-00</w:t>
    </w:r>
    <w:r w:rsidRPr="00F1230C">
      <w:rPr>
        <w:rStyle w:val="HideTWBExt"/>
      </w:rPr>
      <w:t>&lt;/Version&gt;</w:t>
    </w:r>
  </w:p>
  <w:p w14:paraId="198029A5" w14:textId="77777777" w:rsidR="00D96E12" w:rsidRPr="00F1230C" w:rsidRDefault="00D96E12" w:rsidP="005803E2">
    <w:pPr>
      <w:pStyle w:val="EPFooter2"/>
    </w:pPr>
    <w:r w:rsidRPr="00F1230C">
      <w:t>PL</w:t>
    </w:r>
    <w:r w:rsidRPr="00F1230C">
      <w:tab/>
    </w:r>
    <w:r w:rsidRPr="00F1230C">
      <w:rPr>
        <w:b w:val="0"/>
        <w:i/>
        <w:color w:val="C0C0C0"/>
        <w:sz w:val="22"/>
      </w:rPr>
      <w:t>Zjednoczona w różnorodności</w:t>
    </w:r>
    <w:r w:rsidRPr="00F1230C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5926" w14:textId="77777777" w:rsidR="00064002" w:rsidRPr="00F1230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31A2C" w14:textId="77777777" w:rsidR="00064002" w:rsidRPr="00F1230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831B0" w14:textId="77777777" w:rsidR="00064002" w:rsidRPr="00F123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658BF" w14:textId="77777777" w:rsidR="004565D7" w:rsidRPr="00F1230C" w:rsidRDefault="004565D7">
      <w:r w:rsidRPr="00F1230C">
        <w:separator/>
      </w:r>
    </w:p>
  </w:footnote>
  <w:footnote w:type="continuationSeparator" w:id="0">
    <w:p w14:paraId="2DAEF869" w14:textId="77777777" w:rsidR="004565D7" w:rsidRPr="00F1230C" w:rsidRDefault="004565D7">
      <w:r w:rsidRPr="00F1230C">
        <w:continuationSeparator/>
      </w:r>
    </w:p>
  </w:footnote>
  <w:footnote w:id="1">
    <w:p w14:paraId="5C8AC803" w14:textId="3A1026F3" w:rsidR="00D96E12" w:rsidRPr="00F1230C" w:rsidRDefault="00D96E12" w:rsidP="00F1230C">
      <w:pPr>
        <w:pStyle w:val="NormalHanging12a"/>
        <w:spacing w:after="0"/>
      </w:pPr>
      <w:r w:rsidRPr="00F1230C">
        <w:rPr>
          <w:rStyle w:val="FootnoteReference"/>
        </w:rPr>
        <w:footnoteRef/>
      </w:r>
      <w:r w:rsidR="00F1230C" w:rsidRPr="00F1230C">
        <w:t xml:space="preserve"> </w:t>
      </w:r>
      <w:r w:rsidR="00F1230C" w:rsidRPr="00F1230C">
        <w:tab/>
      </w:r>
      <w:r w:rsidRPr="00F1230C">
        <w:t xml:space="preserve">Dz.U. L 57 z </w:t>
      </w:r>
      <w:proofErr w:type="gramStart"/>
      <w:r w:rsidRPr="00F1230C">
        <w:t>18.2.2021</w:t>
      </w:r>
      <w:proofErr w:type="gramEnd"/>
      <w:r w:rsidRPr="00F1230C">
        <w:t>, s. 17.</w:t>
      </w:r>
    </w:p>
  </w:footnote>
  <w:footnote w:id="2">
    <w:p w14:paraId="532805C9" w14:textId="2885DDAD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 xml:space="preserve">Dz.U. L 231 z </w:t>
      </w:r>
      <w:proofErr w:type="gramStart"/>
      <w:r w:rsidRPr="00F1230C">
        <w:rPr>
          <w:sz w:val="24"/>
          <w:lang w:val="pl-PL"/>
        </w:rPr>
        <w:t>30.6.2021</w:t>
      </w:r>
      <w:proofErr w:type="gramEnd"/>
      <w:r w:rsidRPr="00F1230C">
        <w:rPr>
          <w:sz w:val="24"/>
          <w:lang w:val="pl-PL"/>
        </w:rPr>
        <w:t>, s. 1.</w:t>
      </w:r>
    </w:p>
  </w:footnote>
  <w:footnote w:id="3">
    <w:p w14:paraId="4172E309" w14:textId="3F668152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 xml:space="preserve">Dz.U. L 231 z </w:t>
      </w:r>
      <w:proofErr w:type="gramStart"/>
      <w:r w:rsidRPr="00F1230C">
        <w:rPr>
          <w:sz w:val="24"/>
          <w:lang w:val="pl-PL"/>
        </w:rPr>
        <w:t>30.6.2021</w:t>
      </w:r>
      <w:proofErr w:type="gramEnd"/>
      <w:r w:rsidRPr="00F1230C">
        <w:rPr>
          <w:sz w:val="24"/>
          <w:lang w:val="pl-PL"/>
        </w:rPr>
        <w:t>, s. 21.</w:t>
      </w:r>
    </w:p>
  </w:footnote>
  <w:footnote w:id="4">
    <w:p w14:paraId="6F7CA323" w14:textId="613F7D06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 xml:space="preserve">Dz.U. L 153 z </w:t>
      </w:r>
      <w:proofErr w:type="gramStart"/>
      <w:r w:rsidRPr="00F1230C">
        <w:rPr>
          <w:sz w:val="24"/>
          <w:lang w:val="pl-PL"/>
        </w:rPr>
        <w:t>3.5.2021</w:t>
      </w:r>
      <w:proofErr w:type="gramEnd"/>
      <w:r w:rsidRPr="00F1230C">
        <w:rPr>
          <w:sz w:val="24"/>
          <w:lang w:val="pl-PL"/>
        </w:rPr>
        <w:t>, s. 48.</w:t>
      </w:r>
    </w:p>
  </w:footnote>
  <w:footnote w:id="5">
    <w:p w14:paraId="1B8B71E0" w14:textId="76BFB5B6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 xml:space="preserve">Dz.U. L 130 z </w:t>
      </w:r>
      <w:proofErr w:type="gramStart"/>
      <w:r w:rsidRPr="00F1230C">
        <w:rPr>
          <w:sz w:val="24"/>
          <w:lang w:val="pl-PL"/>
        </w:rPr>
        <w:t>16.5.2023</w:t>
      </w:r>
      <w:proofErr w:type="gramEnd"/>
      <w:r w:rsidRPr="00F1230C">
        <w:rPr>
          <w:sz w:val="24"/>
          <w:lang w:val="pl-PL"/>
        </w:rPr>
        <w:t>, s. 1.</w:t>
      </w:r>
    </w:p>
  </w:footnote>
  <w:footnote w:id="6">
    <w:p w14:paraId="4F9C511A" w14:textId="3F7ED1FD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>Dz.U. L 275 z 25.10.2003, s. 32</w:t>
      </w:r>
      <w:r w:rsidRPr="00F1230C">
        <w:rPr>
          <w:rStyle w:val="Emphasis"/>
          <w:color w:val="333333"/>
          <w:sz w:val="24"/>
          <w:shd w:val="clear" w:color="auto" w:fill="FFFFFF"/>
          <w:lang w:val="pl-PL"/>
        </w:rPr>
        <w:t>.</w:t>
      </w:r>
    </w:p>
  </w:footnote>
  <w:footnote w:id="7">
    <w:p w14:paraId="3AE02B29" w14:textId="70EF95F6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>ILC.111/Rezolucja V, 16 czerwca 2023 r.</w:t>
      </w:r>
    </w:p>
  </w:footnote>
  <w:footnote w:id="8">
    <w:p w14:paraId="44E4A022" w14:textId="6EAE1F5E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1" w:history="1">
        <w:r w:rsidRPr="002D4C85">
          <w:rPr>
            <w:rStyle w:val="Hyperlink"/>
            <w:sz w:val="24"/>
            <w:lang w:val="pl-PL"/>
          </w:rPr>
          <w:t>https://www.europarl.europa.eu/RegData/etudes/BRIE/2025/774668</w:t>
        </w:r>
        <w:r w:rsidR="007030A7" w:rsidRPr="007030A7">
          <w:rPr>
            <w:rStyle w:val="Hyperlink"/>
            <w:sz w:val="24"/>
            <w:lang w:val="pl-PL"/>
          </w:rPr>
          <w:br/>
        </w:r>
        <w:r w:rsidRPr="002D4C85">
          <w:rPr>
            <w:rStyle w:val="Hyperlink"/>
            <w:sz w:val="24"/>
            <w:lang w:val="pl-PL"/>
          </w:rPr>
          <w:t>/EPRS_BRI(2025)774668_EN.pdf</w:t>
        </w:r>
      </w:hyperlink>
      <w:r w:rsidR="002D4C85">
        <w:rPr>
          <w:sz w:val="24"/>
          <w:lang w:val="pl-PL"/>
        </w:rPr>
        <w:t>.</w:t>
      </w:r>
    </w:p>
  </w:footnote>
  <w:footnote w:id="9">
    <w:p w14:paraId="11E002D5" w14:textId="3CCB54DA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5C4C20">
        <w:rPr>
          <w:sz w:val="24"/>
          <w:lang w:val="en-GB"/>
        </w:rPr>
        <w:t xml:space="preserve"> </w:t>
      </w:r>
      <w:r w:rsidR="00F1230C" w:rsidRPr="005C4C20">
        <w:rPr>
          <w:sz w:val="24"/>
          <w:lang w:val="en-GB"/>
        </w:rPr>
        <w:tab/>
      </w:r>
      <w:r w:rsidRPr="005C4C20">
        <w:rPr>
          <w:sz w:val="24"/>
          <w:lang w:val="en-GB"/>
        </w:rPr>
        <w:t xml:space="preserve">Eurofound (2024), Creating a new social contract for the just transition: Is partnership working? </w:t>
      </w:r>
      <w:r w:rsidRPr="00F1230C">
        <w:rPr>
          <w:sz w:val="24"/>
          <w:lang w:val="pl-PL"/>
        </w:rPr>
        <w:t>[Tworzenie nowej umowy społecznej na rzecz sprawiedliwej transformacji: czy partnerstwo działa?], Urząd Publikacji Unii Europejskiej, Luksemburg.</w:t>
      </w:r>
    </w:p>
  </w:footnote>
  <w:footnote w:id="10">
    <w:p w14:paraId="59D96DFC" w14:textId="4CCA9736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2" w:history="1">
        <w:r w:rsidRPr="002D4C85">
          <w:rPr>
            <w:rStyle w:val="Hyperlink"/>
            <w:sz w:val="24"/>
            <w:lang w:val="pl-PL"/>
          </w:rPr>
          <w:t>https://eur-lex.europa.eu/legal-content/PL/TXT/PDF/?uri=CELEX%3A52025DC0090</w:t>
        </w:r>
      </w:hyperlink>
      <w:r w:rsidR="002D4C85">
        <w:rPr>
          <w:sz w:val="24"/>
          <w:lang w:val="pl-PL"/>
        </w:rPr>
        <w:t>.</w:t>
      </w:r>
    </w:p>
  </w:footnote>
  <w:footnote w:id="11">
    <w:p w14:paraId="055D36C4" w14:textId="492233E3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>Sprawozdanie Draghiego, s. 37.</w:t>
      </w:r>
    </w:p>
  </w:footnote>
  <w:footnote w:id="12">
    <w:p w14:paraId="640AA4FD" w14:textId="68511B86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3" w:history="1">
        <w:r w:rsidRPr="002D4C85">
          <w:rPr>
            <w:rStyle w:val="Hyperlink"/>
            <w:sz w:val="24"/>
            <w:lang w:val="pl-PL"/>
          </w:rPr>
          <w:t>https://www.cedefop.europa.eu/en/publications/4223#group-downloads</w:t>
        </w:r>
      </w:hyperlink>
      <w:r w:rsidR="002D4C85">
        <w:rPr>
          <w:sz w:val="24"/>
          <w:lang w:val="pl-PL"/>
        </w:rPr>
        <w:t>.</w:t>
      </w:r>
    </w:p>
  </w:footnote>
  <w:footnote w:id="13">
    <w:p w14:paraId="07686910" w14:textId="6ADDA5F2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4" w:history="1">
        <w:r w:rsidRPr="002D4C85">
          <w:rPr>
            <w:rStyle w:val="Hyperlink"/>
            <w:sz w:val="24"/>
            <w:lang w:val="pl-PL"/>
          </w:rPr>
          <w:t>https://op.europa.eu/pl/publication-detail/-/publication/4826f429-0545-11f0-b1a3-01aa75ed71a1</w:t>
        </w:r>
      </w:hyperlink>
      <w:r w:rsidR="002D4C85">
        <w:rPr>
          <w:sz w:val="24"/>
          <w:lang w:val="pl-PL"/>
        </w:rPr>
        <w:t>.</w:t>
      </w:r>
    </w:p>
  </w:footnote>
  <w:footnote w:id="14">
    <w:p w14:paraId="4B93348C" w14:textId="07C00D71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5" w:history="1">
        <w:r w:rsidRPr="002D4C85">
          <w:rPr>
            <w:rStyle w:val="Hyperlink"/>
            <w:sz w:val="24"/>
            <w:lang w:val="pl-PL"/>
          </w:rPr>
          <w:t>https://www.cedefop.europa.eu/en/news/green-transition-creates-more-jobs-it-destroys</w:t>
        </w:r>
      </w:hyperlink>
      <w:r w:rsidR="002D4C85">
        <w:rPr>
          <w:sz w:val="24"/>
          <w:lang w:val="pl-PL"/>
        </w:rPr>
        <w:t>.</w:t>
      </w:r>
    </w:p>
  </w:footnote>
  <w:footnote w:id="15">
    <w:p w14:paraId="6953BF5D" w14:textId="44B6A796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6" w:history="1">
        <w:r w:rsidRPr="002D4C85">
          <w:rPr>
            <w:rStyle w:val="Hyperlink"/>
            <w:sz w:val="24"/>
            <w:lang w:val="pl-PL"/>
          </w:rPr>
          <w:t>https://employment-social-affairs.ec.europa.eu/employment-and-social-developments-europe-2024-upward-social-convergence-eu-and-role-social_en</w:t>
        </w:r>
      </w:hyperlink>
      <w:r w:rsidR="002D4C85">
        <w:rPr>
          <w:sz w:val="24"/>
          <w:lang w:val="pl-PL"/>
        </w:rPr>
        <w:t>.</w:t>
      </w:r>
    </w:p>
  </w:footnote>
  <w:footnote w:id="16">
    <w:p w14:paraId="4CE15130" w14:textId="419036C9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>Sprawozdanie Draghiego, s. 19.</w:t>
      </w:r>
    </w:p>
  </w:footnote>
  <w:footnote w:id="17">
    <w:p w14:paraId="7AF488AF" w14:textId="04984CCA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7" w:history="1">
        <w:r w:rsidRPr="002D4C85">
          <w:rPr>
            <w:rStyle w:val="Hyperlink"/>
            <w:sz w:val="24"/>
            <w:lang w:val="pl-PL"/>
          </w:rPr>
          <w:t>https://cohesiondata.ec.europa.eu/stories/s/py4s-5ad4</w:t>
        </w:r>
      </w:hyperlink>
      <w:r w:rsidR="002D4C85">
        <w:rPr>
          <w:sz w:val="24"/>
          <w:lang w:val="pl-PL"/>
        </w:rPr>
        <w:t>.</w:t>
      </w:r>
    </w:p>
  </w:footnote>
  <w:footnote w:id="18">
    <w:p w14:paraId="122C9125" w14:textId="483E032A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8" w:history="1">
        <w:r w:rsidRPr="002D4C85">
          <w:rPr>
            <w:rStyle w:val="Hyperlink"/>
            <w:sz w:val="24"/>
            <w:lang w:val="pl-PL"/>
          </w:rPr>
          <w:t>https://op.europa.eu/pl/publication-detail/-/publication/24c7aa49-2451-11ee-94cb-01aa75ed71a1</w:t>
        </w:r>
      </w:hyperlink>
      <w:r w:rsidR="002D4C85">
        <w:rPr>
          <w:sz w:val="24"/>
          <w:lang w:val="pl-PL"/>
        </w:rPr>
        <w:t>.</w:t>
      </w:r>
    </w:p>
  </w:footnote>
  <w:footnote w:id="19">
    <w:p w14:paraId="52C8FDC0" w14:textId="6D689C7E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hyperlink r:id="rId9" w:history="1">
        <w:r w:rsidRPr="002D4C85">
          <w:rPr>
            <w:rStyle w:val="Hyperlink"/>
            <w:sz w:val="24"/>
            <w:lang w:val="pl-PL"/>
          </w:rPr>
          <w:t>https://www.europarl.europa.eu/RegData/etudes/STUD/2025/759354/CASP_STU</w:t>
        </w:r>
        <w:r w:rsidR="002D4C85">
          <w:rPr>
            <w:rStyle w:val="Hyperlink"/>
            <w:sz w:val="24"/>
            <w:lang w:val="pl-PL"/>
          </w:rPr>
          <w:br/>
        </w:r>
        <w:r w:rsidRPr="002D4C85">
          <w:rPr>
            <w:rStyle w:val="Hyperlink"/>
            <w:sz w:val="24"/>
            <w:lang w:val="pl-PL"/>
          </w:rPr>
          <w:t>(2025)759354_EN.pdf</w:t>
        </w:r>
      </w:hyperlink>
      <w:r w:rsidR="002D4C85">
        <w:rPr>
          <w:sz w:val="24"/>
          <w:lang w:val="pl-PL"/>
        </w:rPr>
        <w:t>.</w:t>
      </w:r>
    </w:p>
  </w:footnote>
  <w:footnote w:id="20">
    <w:p w14:paraId="03BB8944" w14:textId="568E6EFC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>Just Transition Mechanism – Performance 2025 [Mechanizm sprawiedliwej transformacji – wyniki w 2025 r.], Komisja Europejska.</w:t>
      </w:r>
    </w:p>
  </w:footnote>
  <w:footnote w:id="21">
    <w:p w14:paraId="740CFF72" w14:textId="4811C8CF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>Employment and Social Developments in Europe 2024 [Zatrudnienie i kwestie społeczne w Europie 2024], Komisja Europejska, s. 20.</w:t>
      </w:r>
    </w:p>
  </w:footnote>
  <w:footnote w:id="22">
    <w:p w14:paraId="31B0B060" w14:textId="45A48D1D" w:rsidR="00D96E12" w:rsidRPr="00F1230C" w:rsidRDefault="00D96E12" w:rsidP="00F1230C">
      <w:pPr>
        <w:pStyle w:val="FootnoteText"/>
        <w:ind w:left="567" w:hanging="567"/>
        <w:rPr>
          <w:sz w:val="24"/>
          <w:lang w:val="pl-PL"/>
        </w:rPr>
      </w:pPr>
      <w:r w:rsidRPr="00F1230C">
        <w:rPr>
          <w:rStyle w:val="FootnoteReference"/>
          <w:sz w:val="24"/>
          <w:lang w:val="pl-PL"/>
        </w:rPr>
        <w:footnoteRef/>
      </w:r>
      <w:r w:rsidR="00F1230C" w:rsidRPr="00F1230C">
        <w:rPr>
          <w:sz w:val="24"/>
          <w:lang w:val="pl-PL"/>
        </w:rPr>
        <w:t xml:space="preserve"> </w:t>
      </w:r>
      <w:r w:rsidR="00F1230C" w:rsidRPr="00F1230C">
        <w:rPr>
          <w:sz w:val="24"/>
          <w:lang w:val="pl-PL"/>
        </w:rPr>
        <w:tab/>
      </w:r>
      <w:r w:rsidRPr="00F1230C">
        <w:rPr>
          <w:sz w:val="24"/>
          <w:lang w:val="pl-PL"/>
        </w:rPr>
        <w:t xml:space="preserve">Just Transition in the World of Work [Sprawiedliwa transformacja w świecie pracy], EPRS, wrzesień 2025 r., </w:t>
      </w:r>
      <w:hyperlink r:id="rId10" w:history="1">
        <w:r w:rsidRPr="002D4C85">
          <w:rPr>
            <w:rStyle w:val="Hyperlink"/>
            <w:sz w:val="24"/>
            <w:lang w:val="pl-PL"/>
          </w:rPr>
          <w:t>https://www.europarl.europa.eu/RegData/etudes/BRIE/2025/774668/EPRS_BRI(2025)774668_EN.pdf</w:t>
        </w:r>
      </w:hyperlink>
      <w:r w:rsidRPr="00F1230C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1B77" w14:textId="77777777" w:rsidR="00064002" w:rsidRPr="00F123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5E13" w14:textId="77777777" w:rsidR="00064002" w:rsidRPr="00F123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361F" w14:textId="77777777" w:rsidR="00064002" w:rsidRPr="00F123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077561">
    <w:abstractNumId w:val="9"/>
  </w:num>
  <w:num w:numId="2" w16cid:durableId="999774726">
    <w:abstractNumId w:val="9"/>
  </w:num>
  <w:num w:numId="3" w16cid:durableId="986278600">
    <w:abstractNumId w:val="7"/>
  </w:num>
  <w:num w:numId="4" w16cid:durableId="2072385410">
    <w:abstractNumId w:val="7"/>
  </w:num>
  <w:num w:numId="5" w16cid:durableId="1184511154">
    <w:abstractNumId w:val="6"/>
  </w:num>
  <w:num w:numId="6" w16cid:durableId="1524250405">
    <w:abstractNumId w:val="6"/>
  </w:num>
  <w:num w:numId="7" w16cid:durableId="1917206262">
    <w:abstractNumId w:val="5"/>
  </w:num>
  <w:num w:numId="8" w16cid:durableId="1340739127">
    <w:abstractNumId w:val="5"/>
  </w:num>
  <w:num w:numId="9" w16cid:durableId="1024745419">
    <w:abstractNumId w:val="4"/>
  </w:num>
  <w:num w:numId="10" w16cid:durableId="219172968">
    <w:abstractNumId w:val="4"/>
  </w:num>
  <w:num w:numId="11" w16cid:durableId="782966772">
    <w:abstractNumId w:val="8"/>
  </w:num>
  <w:num w:numId="12" w16cid:durableId="1121996745">
    <w:abstractNumId w:val="8"/>
  </w:num>
  <w:num w:numId="13" w16cid:durableId="988904320">
    <w:abstractNumId w:val="3"/>
  </w:num>
  <w:num w:numId="14" w16cid:durableId="2085909422">
    <w:abstractNumId w:val="3"/>
  </w:num>
  <w:num w:numId="15" w16cid:durableId="210576443">
    <w:abstractNumId w:val="2"/>
  </w:num>
  <w:num w:numId="16" w16cid:durableId="902983173">
    <w:abstractNumId w:val="2"/>
  </w:num>
  <w:num w:numId="17" w16cid:durableId="1648781885">
    <w:abstractNumId w:val="1"/>
  </w:num>
  <w:num w:numId="18" w16cid:durableId="154299181">
    <w:abstractNumId w:val="1"/>
  </w:num>
  <w:num w:numId="19" w16cid:durableId="223568669">
    <w:abstractNumId w:val="0"/>
  </w:num>
  <w:num w:numId="20" w16cid:durableId="1673987630">
    <w:abstractNumId w:val="0"/>
  </w:num>
  <w:num w:numId="21" w16cid:durableId="1606889437">
    <w:abstractNumId w:val="9"/>
  </w:num>
  <w:num w:numId="22" w16cid:durableId="1566648519">
    <w:abstractNumId w:val="7"/>
  </w:num>
  <w:num w:numId="23" w16cid:durableId="448595820">
    <w:abstractNumId w:val="6"/>
  </w:num>
  <w:num w:numId="24" w16cid:durableId="148138551">
    <w:abstractNumId w:val="5"/>
  </w:num>
  <w:num w:numId="25" w16cid:durableId="614797149">
    <w:abstractNumId w:val="4"/>
  </w:num>
  <w:num w:numId="26" w16cid:durableId="1758358301">
    <w:abstractNumId w:val="8"/>
  </w:num>
  <w:num w:numId="27" w16cid:durableId="899558890">
    <w:abstractNumId w:val="3"/>
  </w:num>
  <w:num w:numId="28" w16cid:durableId="287904815">
    <w:abstractNumId w:val="2"/>
  </w:num>
  <w:num w:numId="29" w16cid:durableId="791292560">
    <w:abstractNumId w:val="1"/>
  </w:num>
  <w:num w:numId="30" w16cid:durableId="712269670">
    <w:abstractNumId w:val="0"/>
  </w:num>
  <w:num w:numId="31" w16cid:durableId="1097865141">
    <w:abstractNumId w:val="9"/>
  </w:num>
  <w:num w:numId="32" w16cid:durableId="949898359">
    <w:abstractNumId w:val="7"/>
  </w:num>
  <w:num w:numId="33" w16cid:durableId="882600233">
    <w:abstractNumId w:val="6"/>
  </w:num>
  <w:num w:numId="34" w16cid:durableId="589773815">
    <w:abstractNumId w:val="5"/>
  </w:num>
  <w:num w:numId="35" w16cid:durableId="878585261">
    <w:abstractNumId w:val="4"/>
  </w:num>
  <w:num w:numId="36" w16cid:durableId="64649507">
    <w:abstractNumId w:val="8"/>
  </w:num>
  <w:num w:numId="37" w16cid:durableId="1879733870">
    <w:abstractNumId w:val="3"/>
  </w:num>
  <w:num w:numId="38" w16cid:durableId="1145010397">
    <w:abstractNumId w:val="2"/>
  </w:num>
  <w:num w:numId="39" w16cid:durableId="1470319000">
    <w:abstractNumId w:val="1"/>
  </w:num>
  <w:num w:numId="40" w16cid:durableId="1373194088">
    <w:abstractNumId w:val="0"/>
  </w:num>
  <w:num w:numId="41" w16cid:durableId="726344406">
    <w:abstractNumId w:val="10"/>
  </w:num>
  <w:num w:numId="42" w16cid:durableId="1592010520">
    <w:abstractNumId w:val="10"/>
  </w:num>
  <w:num w:numId="43" w16cid:durableId="908342806">
    <w:abstractNumId w:val="10"/>
  </w:num>
  <w:num w:numId="44" w16cid:durableId="1853295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1/2025"/>
    <w:docVar w:name="dvlangue" w:val="PL"/>
    <w:docVar w:name="dvnumam" w:val="0"/>
    <w:docVar w:name="dvpe" w:val="775.632"/>
    <w:docVar w:name="dvrapporteur" w:val="Sprawozdawczyni: "/>
    <w:docVar w:name="dvtitre" w:val="Rezolucja ustawodawcza Parlamentu Europejskiego z dnia  2026 r. zawierające zalecenia dla Komisji dotyczące dyrektywy w sprawie sprawiedliwej transformacji w świecie pracy: zapewnienie tworzenia miejsc pracy i rewitalizacji lokalnych gospodarek(2025/2131(INL))"/>
  </w:docVars>
  <w:rsids>
    <w:rsidRoot w:val="004565D7"/>
    <w:rsid w:val="00002272"/>
    <w:rsid w:val="000321AE"/>
    <w:rsid w:val="00064002"/>
    <w:rsid w:val="000677B9"/>
    <w:rsid w:val="000831BA"/>
    <w:rsid w:val="000A0BB8"/>
    <w:rsid w:val="000A42CC"/>
    <w:rsid w:val="000E7DD9"/>
    <w:rsid w:val="0010095E"/>
    <w:rsid w:val="00125B37"/>
    <w:rsid w:val="001263AF"/>
    <w:rsid w:val="00187494"/>
    <w:rsid w:val="001F32AE"/>
    <w:rsid w:val="00265893"/>
    <w:rsid w:val="002767FF"/>
    <w:rsid w:val="002B18FE"/>
    <w:rsid w:val="002B5493"/>
    <w:rsid w:val="002D4C85"/>
    <w:rsid w:val="00343214"/>
    <w:rsid w:val="00356C10"/>
    <w:rsid w:val="00361C00"/>
    <w:rsid w:val="00395FA1"/>
    <w:rsid w:val="003D5F73"/>
    <w:rsid w:val="003E15D4"/>
    <w:rsid w:val="00411CCE"/>
    <w:rsid w:val="0041666E"/>
    <w:rsid w:val="00421060"/>
    <w:rsid w:val="004565D7"/>
    <w:rsid w:val="00471C19"/>
    <w:rsid w:val="004867E3"/>
    <w:rsid w:val="00494A28"/>
    <w:rsid w:val="004C0004"/>
    <w:rsid w:val="004C5D52"/>
    <w:rsid w:val="0050519A"/>
    <w:rsid w:val="005072A1"/>
    <w:rsid w:val="00514517"/>
    <w:rsid w:val="005352A0"/>
    <w:rsid w:val="00545827"/>
    <w:rsid w:val="00560270"/>
    <w:rsid w:val="005C2568"/>
    <w:rsid w:val="005C4C20"/>
    <w:rsid w:val="005F1B17"/>
    <w:rsid w:val="006037C0"/>
    <w:rsid w:val="006631B6"/>
    <w:rsid w:val="00680577"/>
    <w:rsid w:val="006F74FA"/>
    <w:rsid w:val="007030A7"/>
    <w:rsid w:val="00731ADD"/>
    <w:rsid w:val="00734777"/>
    <w:rsid w:val="00747932"/>
    <w:rsid w:val="00751073"/>
    <w:rsid w:val="00751A4A"/>
    <w:rsid w:val="00756632"/>
    <w:rsid w:val="00762C74"/>
    <w:rsid w:val="00786EC0"/>
    <w:rsid w:val="007D1690"/>
    <w:rsid w:val="007E22AD"/>
    <w:rsid w:val="00817416"/>
    <w:rsid w:val="00830296"/>
    <w:rsid w:val="00842779"/>
    <w:rsid w:val="00865F67"/>
    <w:rsid w:val="00881A7B"/>
    <w:rsid w:val="008840E5"/>
    <w:rsid w:val="00887B3E"/>
    <w:rsid w:val="008C2AC6"/>
    <w:rsid w:val="008C3B52"/>
    <w:rsid w:val="00930C23"/>
    <w:rsid w:val="0093193B"/>
    <w:rsid w:val="009509D8"/>
    <w:rsid w:val="00950B64"/>
    <w:rsid w:val="00981893"/>
    <w:rsid w:val="009E62E6"/>
    <w:rsid w:val="00A1687D"/>
    <w:rsid w:val="00A43E52"/>
    <w:rsid w:val="00A4678D"/>
    <w:rsid w:val="00A5074D"/>
    <w:rsid w:val="00A722E1"/>
    <w:rsid w:val="00A778C7"/>
    <w:rsid w:val="00AB441E"/>
    <w:rsid w:val="00AB6293"/>
    <w:rsid w:val="00AE0928"/>
    <w:rsid w:val="00AF3B82"/>
    <w:rsid w:val="00B12E95"/>
    <w:rsid w:val="00B22876"/>
    <w:rsid w:val="00B558F0"/>
    <w:rsid w:val="00B57CBD"/>
    <w:rsid w:val="00BA654D"/>
    <w:rsid w:val="00BD48FE"/>
    <w:rsid w:val="00BD7BD8"/>
    <w:rsid w:val="00BE6ADC"/>
    <w:rsid w:val="00C05BFE"/>
    <w:rsid w:val="00C07617"/>
    <w:rsid w:val="00C23CD4"/>
    <w:rsid w:val="00C3635F"/>
    <w:rsid w:val="00C61C0C"/>
    <w:rsid w:val="00C941CB"/>
    <w:rsid w:val="00CB42C5"/>
    <w:rsid w:val="00CC2357"/>
    <w:rsid w:val="00CF071A"/>
    <w:rsid w:val="00D058B8"/>
    <w:rsid w:val="00D43D75"/>
    <w:rsid w:val="00D56C11"/>
    <w:rsid w:val="00D834A0"/>
    <w:rsid w:val="00D872DF"/>
    <w:rsid w:val="00D91E21"/>
    <w:rsid w:val="00D96E12"/>
    <w:rsid w:val="00DA7FCD"/>
    <w:rsid w:val="00DF513D"/>
    <w:rsid w:val="00E365E1"/>
    <w:rsid w:val="00E820A4"/>
    <w:rsid w:val="00EB006A"/>
    <w:rsid w:val="00EB4772"/>
    <w:rsid w:val="00ED169E"/>
    <w:rsid w:val="00ED4235"/>
    <w:rsid w:val="00F04346"/>
    <w:rsid w:val="00F075DC"/>
    <w:rsid w:val="00F1230C"/>
    <w:rsid w:val="00F139E4"/>
    <w:rsid w:val="00F149E9"/>
    <w:rsid w:val="00F5134D"/>
    <w:rsid w:val="00F74202"/>
    <w:rsid w:val="00F87713"/>
    <w:rsid w:val="00FB4360"/>
    <w:rsid w:val="00FD0C70"/>
    <w:rsid w:val="00FD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5A57C"/>
  <w15:chartTrackingRefBased/>
  <w15:docId w15:val="{2DF5006C-322A-403C-9811-05E0C1BC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Ref Car,de nota al pie Car,-E Fußnotenzeichen Car,-E Funotenzeichen Car,Footnote Reference Superscript Car,BVI fnr Car,SUPERS Car,Footnote symbol Car,Footnote Car,Footnote reference number Car,Footnote number Car,note TESI Car,FR,o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96E1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96E12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D96E1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D96E1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96E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6E12"/>
    <w:rPr>
      <w:sz w:val="24"/>
      <w:lang w:val="pl-PL"/>
    </w:rPr>
  </w:style>
  <w:style w:type="paragraph" w:customStyle="1" w:styleId="EPFooter">
    <w:name w:val="EPFooter"/>
    <w:basedOn w:val="Normal"/>
    <w:rsid w:val="00D96E1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96E12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D96E12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D96E12"/>
    <w:rPr>
      <w:rFonts w:ascii="Arial" w:hAnsi="Arial" w:cs="Arial"/>
      <w:b/>
      <w:sz w:val="24"/>
      <w:lang w:val="pl-PL"/>
    </w:rPr>
  </w:style>
  <w:style w:type="paragraph" w:styleId="Revision">
    <w:name w:val="Revision"/>
    <w:hidden/>
    <w:uiPriority w:val="99"/>
    <w:semiHidden/>
    <w:rsid w:val="001263AF"/>
    <w:rPr>
      <w:sz w:val="24"/>
      <w:lang w:val="pl-PL"/>
    </w:rPr>
  </w:style>
  <w:style w:type="paragraph" w:styleId="HTMLPreformatted">
    <w:name w:val="HTML Preformatted"/>
    <w:basedOn w:val="Normal"/>
    <w:link w:val="HTMLPreformattedChar"/>
    <w:rsid w:val="001263A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1263AF"/>
    <w:rPr>
      <w:rFonts w:ascii="Consolas" w:hAnsi="Consolas"/>
      <w:lang w:val="pl-PL"/>
    </w:rPr>
  </w:style>
  <w:style w:type="paragraph" w:styleId="Footer">
    <w:name w:val="footer"/>
    <w:basedOn w:val="Normal"/>
    <w:link w:val="FooterChar"/>
    <w:rsid w:val="001263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63AF"/>
    <w:rPr>
      <w:sz w:val="24"/>
      <w:lang w:val="pl-PL"/>
    </w:rPr>
  </w:style>
  <w:style w:type="character" w:styleId="Hyperlink">
    <w:name w:val="Hyperlink"/>
    <w:basedOn w:val="DefaultParagraphFont"/>
    <w:rsid w:val="002D4C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C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2D4C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op.europa.eu/pl/publication-detail/-/publication/24c7aa49-2451-11ee-94cb-01aa75ed71a1" TargetMode="External"/><Relationship Id="rId3" Type="http://schemas.openxmlformats.org/officeDocument/2006/relationships/hyperlink" Target="https://www.cedefop.europa.eu/en/publications/4223%23group-downloads" TargetMode="External"/><Relationship Id="rId7" Type="http://schemas.openxmlformats.org/officeDocument/2006/relationships/hyperlink" Target="https://cohesiondata.ec.europa.eu/stories/s/py4s-5ad4" TargetMode="External"/><Relationship Id="rId2" Type="http://schemas.openxmlformats.org/officeDocument/2006/relationships/hyperlink" Target="https://eur-lex.europa.eu/legal-content/PL/TXT/PDF/?uri=CELEX%3A52025DC0090" TargetMode="External"/><Relationship Id="rId1" Type="http://schemas.openxmlformats.org/officeDocument/2006/relationships/hyperlink" Target="https://www.europarl.europa.eu/RegData/etudes/BRIE/2025/774668/EPRS_BRI(2025)774668_EN.pdf" TargetMode="External"/><Relationship Id="rId6" Type="http://schemas.openxmlformats.org/officeDocument/2006/relationships/hyperlink" Target="https://employment-social-affairs.ec.europa.eu/employment-and-social-developments-europe-2024-upward-social-convergence-eu-and-role-social_en" TargetMode="External"/><Relationship Id="rId5" Type="http://schemas.openxmlformats.org/officeDocument/2006/relationships/hyperlink" Target="https://www.cedefop.europa.eu/en/news/green-transition-creates-more-jobs-it-destroys" TargetMode="External"/><Relationship Id="rId10" Type="http://schemas.openxmlformats.org/officeDocument/2006/relationships/hyperlink" Target="https://www.europarl.europa.eu/RegData/etudes/BRIE/2025/774668/EPRS_BRI(2025)774668_EN.pdf" TargetMode="External"/><Relationship Id="rId4" Type="http://schemas.openxmlformats.org/officeDocument/2006/relationships/hyperlink" Target="https://op.europa.eu/pl/publication-detail/-/publication/4826f429-0545-11f0-b1a3-01aa75ed71a1" TargetMode="External"/><Relationship Id="rId9" Type="http://schemas.openxmlformats.org/officeDocument/2006/relationships/hyperlink" Target="https://www.europarl.europa.eu/RegData/etudes/STUD/2025/759354/CASP_STU(2025)759354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6488</Words>
  <Characters>45281</Characters>
  <Application>Microsoft Office Word</Application>
  <DocSecurity>0</DocSecurity>
  <Lines>377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2026-01-20T15:31:00Z</dcterms:created>
  <dcterms:modified xsi:type="dcterms:W3CDTF">2026-01-22T09:57:00Z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A10-0261/2025</vt:lpwstr>
  </property>
  <property fmtid="{D5CDD505-2E9C-101B-9397-08002B2CF9AE}" pid="4" name="&lt;Type&gt;">
    <vt:lpwstr>RR</vt:lpwstr>
  </property>
</Properties>
</file>