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6A72" w14:paraId="31D28B8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BE0937" w14:textId="77777777" w:rsidR="00751A4A" w:rsidRPr="009D6A72" w:rsidRDefault="00F659EF" w:rsidP="0010095E">
            <w:pPr>
              <w:pStyle w:val="EPName"/>
            </w:pPr>
            <w:r w:rsidRPr="009D6A72">
              <w:t xml:space="preserve">Parlamento </w:t>
            </w:r>
            <w:proofErr w:type="gramStart"/>
            <w:r w:rsidRPr="009D6A72">
              <w:t>Europeu</w:t>
            </w:r>
            <w:proofErr w:type="gramEnd"/>
          </w:p>
          <w:p w14:paraId="027458DA" w14:textId="77777777" w:rsidR="00751A4A" w:rsidRPr="009D6A7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6A72">
              <w:t>2024</w:t>
            </w:r>
            <w:r w:rsidR="00817416" w:rsidRPr="009D6A72">
              <w:t>-202</w:t>
            </w:r>
            <w:r w:rsidRPr="009D6A72">
              <w:t>9</w:t>
            </w:r>
          </w:p>
        </w:tc>
        <w:tc>
          <w:tcPr>
            <w:tcW w:w="2268" w:type="dxa"/>
            <w:shd w:val="clear" w:color="auto" w:fill="auto"/>
          </w:tcPr>
          <w:p w14:paraId="44815CD1" w14:textId="77777777" w:rsidR="00751A4A" w:rsidRPr="009D6A72" w:rsidRDefault="00187494" w:rsidP="0010095E">
            <w:pPr>
              <w:pStyle w:val="EPLogo"/>
            </w:pPr>
            <w:r w:rsidRPr="009D6A72">
              <w:rPr>
                <w:noProof/>
                <w:lang w:eastAsia="ja-JP"/>
              </w:rPr>
              <w:drawing>
                <wp:inline distT="0" distB="0" distL="0" distR="0" wp14:anchorId="435AECC6" wp14:editId="123A3E6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4097F5" w14:textId="77777777" w:rsidR="00D058B8" w:rsidRPr="009D6A72" w:rsidRDefault="00D058B8" w:rsidP="004C5D52">
      <w:pPr>
        <w:pStyle w:val="LineTop"/>
      </w:pPr>
    </w:p>
    <w:p w14:paraId="4A1275E2" w14:textId="77777777" w:rsidR="00680577" w:rsidRPr="009D6A72" w:rsidRDefault="00F659EF" w:rsidP="00680577">
      <w:pPr>
        <w:pStyle w:val="EPBodyTA1"/>
      </w:pPr>
      <w:r w:rsidRPr="009D6A72">
        <w:t>TEXTOS APROVADOS</w:t>
      </w:r>
    </w:p>
    <w:p w14:paraId="41413DE3" w14:textId="77777777" w:rsidR="00D058B8" w:rsidRPr="009D6A72" w:rsidRDefault="00D058B8" w:rsidP="00D058B8">
      <w:pPr>
        <w:pStyle w:val="LineBottom"/>
      </w:pPr>
    </w:p>
    <w:p w14:paraId="7EEFFEAF" w14:textId="426AC59C" w:rsidR="00F659EF" w:rsidRPr="009D6A72" w:rsidRDefault="00F659EF" w:rsidP="00F659EF">
      <w:pPr>
        <w:pStyle w:val="ATHeading1"/>
      </w:pPr>
      <w:bookmarkStart w:id="0" w:name="TANumber"/>
      <w:r w:rsidRPr="009D6A72">
        <w:t>P10_TA(2026)000</w:t>
      </w:r>
      <w:r w:rsidR="00845AD2" w:rsidRPr="009D6A72">
        <w:t>3</w:t>
      </w:r>
      <w:bookmarkEnd w:id="0"/>
    </w:p>
    <w:p w14:paraId="580A7BE1" w14:textId="77777777" w:rsidR="00F659EF" w:rsidRPr="009D6A72" w:rsidRDefault="00F659EF" w:rsidP="00F659EF">
      <w:pPr>
        <w:pStyle w:val="ATHeading2"/>
      </w:pPr>
      <w:bookmarkStart w:id="1" w:name="title"/>
      <w:r w:rsidRPr="009D6A72">
        <w:t>Diretiva relativa a uma transição justa no mundo do trabalho: garantir a criação de emprego e revitalizar as economias locais</w:t>
      </w:r>
      <w:bookmarkEnd w:id="1"/>
    </w:p>
    <w:p w14:paraId="253F4DC4" w14:textId="77777777" w:rsidR="00F659EF" w:rsidRPr="009D6A72" w:rsidRDefault="00F659EF" w:rsidP="00F659EF">
      <w:pPr>
        <w:rPr>
          <w:i/>
          <w:vanish/>
        </w:rPr>
      </w:pPr>
      <w:r w:rsidRPr="009D6A72">
        <w:rPr>
          <w:i/>
        </w:rPr>
        <w:fldChar w:fldCharType="begin"/>
      </w:r>
      <w:r w:rsidRPr="009D6A72">
        <w:rPr>
          <w:i/>
        </w:rPr>
        <w:instrText xml:space="preserve"> TC"(</w:instrText>
      </w:r>
      <w:bookmarkStart w:id="2" w:name="DocNumber"/>
      <w:r w:rsidRPr="009D6A72">
        <w:rPr>
          <w:i/>
        </w:rPr>
        <w:instrText>A10-0261/2025</w:instrText>
      </w:r>
      <w:bookmarkEnd w:id="2"/>
      <w:r w:rsidRPr="009D6A72">
        <w:rPr>
          <w:i/>
        </w:rPr>
        <w:instrText xml:space="preserve"> - Relatora: Jana Toom)"\l3 \n&gt; \* MERGEFORMAT </w:instrText>
      </w:r>
      <w:r w:rsidRPr="009D6A72">
        <w:rPr>
          <w:i/>
        </w:rPr>
        <w:fldChar w:fldCharType="end"/>
      </w:r>
    </w:p>
    <w:p w14:paraId="089728AE" w14:textId="77777777" w:rsidR="00F659EF" w:rsidRPr="009D6A72" w:rsidRDefault="00F659EF" w:rsidP="00F659EF">
      <w:pPr>
        <w:rPr>
          <w:vanish/>
        </w:rPr>
      </w:pPr>
      <w:bookmarkStart w:id="3" w:name="Commission"/>
      <w:r w:rsidRPr="009D6A72">
        <w:rPr>
          <w:vanish/>
        </w:rPr>
        <w:t>Comissão do Emprego e dos Assuntos Sociais</w:t>
      </w:r>
      <w:bookmarkEnd w:id="3"/>
    </w:p>
    <w:p w14:paraId="2A0051D6" w14:textId="77777777" w:rsidR="00F659EF" w:rsidRPr="009D6A72" w:rsidRDefault="00F659EF" w:rsidP="00F659EF">
      <w:pPr>
        <w:rPr>
          <w:vanish/>
        </w:rPr>
      </w:pPr>
      <w:bookmarkStart w:id="4" w:name="PE"/>
      <w:r w:rsidRPr="009D6A72">
        <w:rPr>
          <w:vanish/>
        </w:rPr>
        <w:t>PE775.632</w:t>
      </w:r>
      <w:bookmarkEnd w:id="4"/>
    </w:p>
    <w:p w14:paraId="4707A478" w14:textId="4973EAA5" w:rsidR="00F659EF" w:rsidRPr="009D6A72" w:rsidRDefault="00F659EF" w:rsidP="00F659EF">
      <w:pPr>
        <w:pStyle w:val="ATHeading3"/>
      </w:pPr>
      <w:bookmarkStart w:id="5" w:name="Sujet"/>
      <w:r w:rsidRPr="009D6A72">
        <w:t xml:space="preserve">Resolução do Parlamento Europeu, de </w:t>
      </w:r>
      <w:r w:rsidR="00EA19AE" w:rsidRPr="009D6A72">
        <w:t>20</w:t>
      </w:r>
      <w:r w:rsidRPr="009D6A72">
        <w:t xml:space="preserve"> de </w:t>
      </w:r>
      <w:r w:rsidR="00EA19AE" w:rsidRPr="009D6A72">
        <w:t>janeiro</w:t>
      </w:r>
      <w:r w:rsidRPr="009D6A72">
        <w:t xml:space="preserve"> de 2026, que contém recomendações à Comissão sobre a Diretiva relativa a uma transição justa no mundo do trabalho: garantir a criação de emprego e revitalizar as economias locais</w:t>
      </w:r>
      <w:bookmarkEnd w:id="5"/>
      <w:r w:rsidRPr="009D6A72">
        <w:t xml:space="preserve"> </w:t>
      </w:r>
      <w:bookmarkStart w:id="6" w:name="References"/>
      <w:r w:rsidRPr="009D6A72">
        <w:t>(2025/2131(INL))</w:t>
      </w:r>
      <w:bookmarkEnd w:id="6"/>
    </w:p>
    <w:p w14:paraId="62C6D9A7" w14:textId="77777777" w:rsidR="00106A53" w:rsidRPr="009D6A72" w:rsidRDefault="00106A53" w:rsidP="00106A53">
      <w:pPr>
        <w:pStyle w:val="EPComma"/>
      </w:pPr>
      <w:bookmarkStart w:id="7" w:name="TextBodyBegin"/>
      <w:bookmarkEnd w:id="7"/>
      <w:r w:rsidRPr="009D6A72">
        <w:rPr>
          <w:i/>
        </w:rPr>
        <w:t>O Parlamento Europeu</w:t>
      </w:r>
      <w:r w:rsidRPr="009D6A72">
        <w:t>,</w:t>
      </w:r>
    </w:p>
    <w:p w14:paraId="0198D727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os artigos 153.º e 225.º do Tratado sobre o Funcionamento da União Europeia (TFUE),</w:t>
      </w:r>
    </w:p>
    <w:p w14:paraId="5F82B3D4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o parecer da Comissão dos Assuntos Jurídicos sobre a base jurídica proposta,</w:t>
      </w:r>
    </w:p>
    <w:p w14:paraId="3439C2DB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os artigos 47.º e 55.º do seu Regimento,</w:t>
      </w:r>
    </w:p>
    <w:p w14:paraId="26F50DA6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os artigos 4.º, 9.º, 46.º, 149.º, 151.º, 153.º, 162.º, 164.º, 174.º a 178.º e 349.º do TFUE,</w:t>
      </w:r>
    </w:p>
    <w:p w14:paraId="221954BA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a Comunicação da Comissão, de 11 de dezembro de 2019, intitulada «Pacto Ecológico Europeu» (COM(2019)0640),</w:t>
      </w:r>
    </w:p>
    <w:p w14:paraId="40D4189F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a Comunicação da Comissão, de 4 de março de 2021, intitulada «Plano de Ação sobre o Pilar Europeu dos Direitos Sociais» (COM(2021)0102),</w:t>
      </w:r>
    </w:p>
    <w:p w14:paraId="23C15651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o Regulamento (UE) 2021/241 do Parlamento Europeu e do Conselho, de 12 de fevereiro de 2021, que cria o Mecanismo de Recuperação e Resiliência</w:t>
      </w:r>
      <w:r w:rsidRPr="009D6A72">
        <w:rPr>
          <w:rStyle w:val="FootnoteReference"/>
        </w:rPr>
        <w:footnoteReference w:id="1"/>
      </w:r>
      <w:r w:rsidRPr="009D6A72">
        <w:t xml:space="preserve"> (MRR),</w:t>
      </w:r>
    </w:p>
    <w:p w14:paraId="4B193100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o Regulamento (UE) 2021/1056 do Parlamento Europeu e do Conselho, de 24 de junho de 2021, que cria o Fundo para uma Transição Justa</w:t>
      </w:r>
      <w:r w:rsidRPr="009D6A72">
        <w:rPr>
          <w:rStyle w:val="FootnoteReference"/>
        </w:rPr>
        <w:footnoteReference w:id="2"/>
      </w:r>
      <w:r w:rsidRPr="009D6A72">
        <w:t xml:space="preserve"> (FTJ),</w:t>
      </w:r>
    </w:p>
    <w:p w14:paraId="2079A318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 xml:space="preserve">Tendo em conta o Regulamento (UE) 2021/1057 do Parlamento Europeu e do </w:t>
      </w:r>
      <w:r w:rsidRPr="009D6A72">
        <w:lastRenderedPageBreak/>
        <w:t>Conselho, de 24 de junho de 2021, que cria o Fundo Social Europeu Mais (FSE+) e que revoga o Regulamento (UE) n.º 1296/2013</w:t>
      </w:r>
      <w:r w:rsidRPr="009D6A72">
        <w:rPr>
          <w:rStyle w:val="FootnoteReference"/>
        </w:rPr>
        <w:footnoteReference w:id="3"/>
      </w:r>
      <w:r w:rsidRPr="009D6A72">
        <w:t>,</w:t>
      </w:r>
    </w:p>
    <w:p w14:paraId="75729E3E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o Regulamento (UE) 2021/691 do Parlamento Europeu e do Conselho, de 28 de abril de 2021, relativo ao Fundo Europeu de Ajustamento à Globalização a favor dos Trabalhadores Despedidos (FEG) e que revoga o Regulamento (UE) n.º 1309/2013</w:t>
      </w:r>
      <w:r w:rsidRPr="009D6A72">
        <w:rPr>
          <w:rStyle w:val="FootnoteReference"/>
        </w:rPr>
        <w:footnoteReference w:id="4"/>
      </w:r>
      <w:r w:rsidRPr="009D6A72">
        <w:t>,</w:t>
      </w:r>
    </w:p>
    <w:p w14:paraId="492D9826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o Regulamento (UE) 2023/955 do Parlamento Europeu e do Conselho, de 10 de maio de 2023, que cria o Fundo Social em matéria de Clima e que altera o Regulamento (UE) 2021/1060</w:t>
      </w:r>
      <w:r w:rsidRPr="009D6A72">
        <w:rPr>
          <w:rStyle w:val="FootnoteReference"/>
        </w:rPr>
        <w:footnoteReference w:id="5"/>
      </w:r>
      <w:r w:rsidRPr="009D6A72">
        <w:t>,</w:t>
      </w:r>
    </w:p>
    <w:p w14:paraId="7532CBBC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a Diretiva 2003/87/CE do Parlamento Europeu e do Conselho, de 13 de outubro de 2003, relativa à criação de um regime de comércio de licenças de emissão de gases com efeito de estufa na Comunidade e que altera a Diretiva 96/61/CE do Conselho</w:t>
      </w:r>
      <w:r w:rsidRPr="009D6A72">
        <w:rPr>
          <w:rStyle w:val="FootnoteReference"/>
        </w:rPr>
        <w:footnoteReference w:id="6"/>
      </w:r>
      <w:r w:rsidRPr="009D6A72">
        <w:t>,</w:t>
      </w:r>
    </w:p>
    <w:p w14:paraId="38BED4A6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a nota informativa da Avaliação Europeia do Valor Acrescentado, de setembro de 2025, intitulada «Diretiva relativa a uma transição justa no mundo do trabalho: garantir a criação de emprego e revitalizar as economias locais»,</w:t>
      </w:r>
    </w:p>
    <w:p w14:paraId="0BF0A6C5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a sua Resolução, de 23 de novembro de 2023, sobre a criação de emprego: transição justa e investimentos de impacto,</w:t>
      </w:r>
    </w:p>
    <w:p w14:paraId="2A3A8B77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a resolução da Organização Internacional do Trabalho (OIT) sobre uma transição justa rumo a economias e sociedades sustentáveis do ponto de vista ambiental para todos</w:t>
      </w:r>
      <w:r w:rsidRPr="009D6A72">
        <w:rPr>
          <w:rStyle w:val="FootnoteReference"/>
        </w:rPr>
        <w:footnoteReference w:id="7"/>
      </w:r>
      <w:r w:rsidRPr="009D6A72">
        <w:t>,</w:t>
      </w:r>
    </w:p>
    <w:p w14:paraId="23051B0A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 xml:space="preserve">Tendo em conta o relatório de Enrico </w:t>
      </w:r>
      <w:proofErr w:type="spellStart"/>
      <w:r w:rsidRPr="009D6A72">
        <w:t>Letta</w:t>
      </w:r>
      <w:proofErr w:type="spellEnd"/>
      <w:r w:rsidRPr="009D6A72">
        <w:t>, de 10 de abril de 2024, intitulado «</w:t>
      </w:r>
      <w:proofErr w:type="spellStart"/>
      <w:r w:rsidRPr="009D6A72">
        <w:t>Much</w:t>
      </w:r>
      <w:proofErr w:type="spellEnd"/>
      <w:r w:rsidRPr="009D6A72">
        <w:t xml:space="preserve"> more </w:t>
      </w:r>
      <w:proofErr w:type="spellStart"/>
      <w:r w:rsidRPr="009D6A72">
        <w:t>than</w:t>
      </w:r>
      <w:proofErr w:type="spellEnd"/>
      <w:r w:rsidRPr="009D6A72">
        <w:t xml:space="preserve"> a </w:t>
      </w:r>
      <w:proofErr w:type="spellStart"/>
      <w:r w:rsidRPr="009D6A72">
        <w:t>market</w:t>
      </w:r>
      <w:proofErr w:type="spellEnd"/>
      <w:r w:rsidRPr="009D6A72">
        <w:t>» [Muito mais do que um mercado],</w:t>
      </w:r>
    </w:p>
    <w:p w14:paraId="15EB1B10" w14:textId="5669C8CA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 xml:space="preserve">Tendo em conta o relatório de </w:t>
      </w:r>
      <w:proofErr w:type="spellStart"/>
      <w:r w:rsidRPr="009D6A72">
        <w:t>Mario</w:t>
      </w:r>
      <w:proofErr w:type="spellEnd"/>
      <w:r w:rsidRPr="009D6A72">
        <w:t xml:space="preserve"> </w:t>
      </w:r>
      <w:proofErr w:type="spellStart"/>
      <w:r w:rsidRPr="009D6A72">
        <w:t>Draghi</w:t>
      </w:r>
      <w:proofErr w:type="spellEnd"/>
      <w:r w:rsidRPr="009D6A72">
        <w:t>, de</w:t>
      </w:r>
      <w:r w:rsidR="0008651B" w:rsidRPr="009D6A72">
        <w:t xml:space="preserve"> 9</w:t>
      </w:r>
      <w:r w:rsidR="00563E64" w:rsidRPr="009D6A72">
        <w:t xml:space="preserve"> de</w:t>
      </w:r>
      <w:r w:rsidRPr="009D6A72">
        <w:t xml:space="preserve"> setembro de 2024, intitulado «O Futuro da Competitividade Europeia» («relatório </w:t>
      </w:r>
      <w:proofErr w:type="spellStart"/>
      <w:r w:rsidRPr="009D6A72">
        <w:t>Draghi</w:t>
      </w:r>
      <w:proofErr w:type="spellEnd"/>
      <w:r w:rsidRPr="009D6A72">
        <w:t>»),</w:t>
      </w:r>
    </w:p>
    <w:p w14:paraId="7779F2C6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 xml:space="preserve">Tendo em conta o Roteiro para Empregos de Qualidade, </w:t>
      </w:r>
    </w:p>
    <w:p w14:paraId="1C639E74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a sua Resolução, de 10 de setembro de 2025, sobre o papel da política de coesão no apoio a uma transição justa,</w:t>
      </w:r>
    </w:p>
    <w:p w14:paraId="34C279D2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a Recomendação do Conselho sobre uma transição justa para a neutralidade climática de 2022,</w:t>
      </w:r>
    </w:p>
    <w:p w14:paraId="23C8312D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a Recomendação do Conselho sobre uma transição justa para a neutralidade climática, de 2022, e as principais mensagens do COEM e do CPS sobre a sua aplicação,</w:t>
      </w:r>
    </w:p>
    <w:p w14:paraId="5213548D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 xml:space="preserve">Tendo em conta a sua Resolução, de 17 de dezembro de 2020, sobre uma Europa social </w:t>
      </w:r>
      <w:r w:rsidRPr="009D6A72">
        <w:lastRenderedPageBreak/>
        <w:t>forte para transições justas,</w:t>
      </w:r>
    </w:p>
    <w:p w14:paraId="4A9F90D2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a sua Resolução, de 9 de setembro de 2025, sobre contratos públicos,</w:t>
      </w:r>
    </w:p>
    <w:p w14:paraId="66839BD5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as Orientações políticas para a Comissão Europeia 2024−2029,</w:t>
      </w:r>
    </w:p>
    <w:p w14:paraId="61FE2886" w14:textId="41805F20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a Comunicação da Comissão, de 26 de fevereiro de 2025, intitulada «Pacto da Indústria Limpa» (COM(2025)</w:t>
      </w:r>
      <w:r w:rsidR="00206A20" w:rsidRPr="009D6A72">
        <w:t>00</w:t>
      </w:r>
      <w:r w:rsidRPr="009D6A72">
        <w:t>85),</w:t>
      </w:r>
    </w:p>
    <w:p w14:paraId="6E6576F7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a Comunicação da Comissão, de julho de 2025, intitulada «Enquadramento para as medidas de auxílio estatal destinadas a apoiar o Pacto da Indústria Limpa» (C/2025/3602),</w:t>
      </w:r>
    </w:p>
    <w:p w14:paraId="4591DD36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 xml:space="preserve">Tendo em conta a Declaração de La </w:t>
      </w:r>
      <w:proofErr w:type="spellStart"/>
      <w:r w:rsidRPr="009D6A72">
        <w:t>Hulpe</w:t>
      </w:r>
      <w:proofErr w:type="spellEnd"/>
      <w:r w:rsidRPr="009D6A72">
        <w:t xml:space="preserve"> sobre o futuro do Pilar Europeu dos Direitos Sociais, de 16 de abril de 2024,</w:t>
      </w:r>
    </w:p>
    <w:p w14:paraId="07E047A6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o parecer do Comité do Emprego (COEM) sobre as dimensões da qualidade do emprego, do Conselho da União Europeia, de 6 de junho de 2025,</w:t>
      </w:r>
    </w:p>
    <w:p w14:paraId="4229556A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o Parecer do Comité Económico e Social Europeu intitulado «Rumo a uma proposta legislativa e instrumentos de política da UE sobre a transição justa que permitam um Pacto Ecológico Europeu mais social», de 4 de dezembro de 2024,</w:t>
      </w:r>
    </w:p>
    <w:p w14:paraId="46BEA07E" w14:textId="77777777" w:rsidR="00106A53" w:rsidRPr="009D6A72" w:rsidRDefault="00106A53" w:rsidP="00106A53">
      <w:pPr>
        <w:pStyle w:val="NormalHanging12a"/>
      </w:pPr>
      <w:r w:rsidRPr="009D6A72">
        <w:t>–</w:t>
      </w:r>
      <w:r w:rsidRPr="009D6A72">
        <w:tab/>
        <w:t>Tendo em conta o relatório da Comissão do Emprego e dos Assuntos Sociais (A10-0261/2025),</w:t>
      </w:r>
    </w:p>
    <w:p w14:paraId="1A1FEB93" w14:textId="2FAFDF24" w:rsidR="00106A53" w:rsidRPr="009D6A72" w:rsidRDefault="00106A53" w:rsidP="00106A53">
      <w:pPr>
        <w:pStyle w:val="NormalHanging12a"/>
      </w:pPr>
      <w:r w:rsidRPr="009D6A72">
        <w:t>A.</w:t>
      </w:r>
      <w:r w:rsidRPr="009D6A72">
        <w:tab/>
        <w:t>Considerando que as transições ecológica e digital estão a ter um efeito profundamente transformador nas economias, nas sociedades, nas regiões e nos locais de trabalho da Europa, de diferentes formas, exigindo medidas abrangentes de política social e de emprego para prevenir impactos adversos e promover a coesão económica, social e territorial</w:t>
      </w:r>
      <w:r w:rsidR="00C66393" w:rsidRPr="009D6A72">
        <w:t>; considerando que</w:t>
      </w:r>
      <w:r w:rsidRPr="009D6A72">
        <w:t xml:space="preserve"> assegurar uma transição eficaz para uma economia digitalizada, com impacto neutro no clima, e uma redução das dependências do aprovisionamento energético é essencial para a prosperidade, o bem-estar, a sustentabilidade, o crescimento e a competitividade da Europa a longo prazo</w:t>
      </w:r>
      <w:r w:rsidR="00C66393" w:rsidRPr="009D6A72">
        <w:t>; considerando que</w:t>
      </w:r>
      <w:r w:rsidRPr="009D6A72">
        <w:t xml:space="preserve"> o êxito final da dupla transição dependerá fortemente da garantia de que a transição seja justa e inclusiva para os trabalhadores, as empresas e as regiões e que contribua para a justiça social para todos, com especial atenção para os mais vulneráveis, a fim de assegurar que ninguém seja deixado para trás</w:t>
      </w:r>
      <w:r w:rsidR="00C66393" w:rsidRPr="009D6A72">
        <w:t>; considerando que</w:t>
      </w:r>
      <w:r w:rsidRPr="009D6A72">
        <w:t xml:space="preserve"> uma transição justa, por si só, poderia gerar 261 mil milhões de EUR por ano em benefícios, nomeadamente dando resposta às desigualdades sociais e às disparidades regionais</w:t>
      </w:r>
      <w:r w:rsidRPr="009D6A72">
        <w:rPr>
          <w:rStyle w:val="FootnoteReference"/>
        </w:rPr>
        <w:footnoteReference w:id="8"/>
      </w:r>
      <w:r w:rsidR="00C66393" w:rsidRPr="009D6A72">
        <w:t>; considerando que</w:t>
      </w:r>
      <w:r w:rsidRPr="009D6A72">
        <w:t xml:space="preserve"> as trajetórias de cada região afetada serão diferentes, com base nas suas realidades económicas e sociais;</w:t>
      </w:r>
    </w:p>
    <w:p w14:paraId="559D2C29" w14:textId="09104511" w:rsidR="00106A53" w:rsidRPr="009D6A72" w:rsidRDefault="00106A53" w:rsidP="00106A53">
      <w:pPr>
        <w:pStyle w:val="NormalHanging12a"/>
      </w:pPr>
      <w:r w:rsidRPr="009D6A72">
        <w:t>B.</w:t>
      </w:r>
      <w:r w:rsidRPr="009D6A72">
        <w:tab/>
        <w:t>Considerando que os efeitos da dupla transição no emprego são assimétricos em toda a União e que o impacto socioeconómico varia consideravelmente entre as diferentes regiões</w:t>
      </w:r>
      <w:r w:rsidR="00C66393" w:rsidRPr="009D6A72">
        <w:t>; considerando que</w:t>
      </w:r>
      <w:r w:rsidRPr="009D6A72">
        <w:t xml:space="preserve"> existe igualmente uma dimensão geográfica, uma vez que podem ser criados postos de trabalho na economia moderna, eficiente em termos de recursos e competitiva em regiões que não as que registam perdas de postos de trabalho;</w:t>
      </w:r>
    </w:p>
    <w:p w14:paraId="09B3FEDC" w14:textId="77777777" w:rsidR="00106A53" w:rsidRPr="009D6A72" w:rsidRDefault="00106A53" w:rsidP="00106A53">
      <w:pPr>
        <w:pStyle w:val="NormalHanging12a"/>
      </w:pPr>
      <w:r w:rsidRPr="009D6A72">
        <w:lastRenderedPageBreak/>
        <w:t>C.</w:t>
      </w:r>
      <w:r w:rsidRPr="009D6A72">
        <w:tab/>
        <w:t>Considerando que as transições devem ser geridas de forma a garantir a inclusão social, reduzir a pobreza e as desigualdades e aproveitar o potencial de criação de empregos de qualidade, promover a democracia no trabalho, proteger os direitos dos trabalhadores e elevar os padrões laborais em todos os setores;</w:t>
      </w:r>
    </w:p>
    <w:p w14:paraId="5944E8DB" w14:textId="77777777" w:rsidR="00106A53" w:rsidRPr="009D6A72" w:rsidRDefault="00106A53" w:rsidP="00106A53">
      <w:pPr>
        <w:pStyle w:val="NormalHanging12a"/>
      </w:pPr>
      <w:r w:rsidRPr="009D6A72">
        <w:t>D.</w:t>
      </w:r>
      <w:r w:rsidRPr="009D6A72">
        <w:tab/>
        <w:t>Considerando que os mercados de trabalho da UE continuam territorialmente divididos e que a qualidade do emprego e os contratos de trabalho demonstram um aumento das formas de emprego não tradicionais, sobretudo entre os jovens;</w:t>
      </w:r>
    </w:p>
    <w:p w14:paraId="43A5F678" w14:textId="1A3445B5" w:rsidR="00106A53" w:rsidRPr="009D6A72" w:rsidRDefault="00106A53" w:rsidP="00106A53">
      <w:pPr>
        <w:pStyle w:val="NormalHanging12a"/>
      </w:pPr>
      <w:r w:rsidRPr="009D6A72">
        <w:t>E.</w:t>
      </w:r>
      <w:r w:rsidRPr="009D6A72">
        <w:tab/>
        <w:t>Considerando que a gestão da transição para uma economia neutra em carbono deve não só apoiar as transições para novos empregos de qualidade em setores emergentes, como também manter e adaptar os postos de trabalho e os setores existentes às indústrias e tecnologias mais sustentáveis e limpas para benefício das pessoas, em especial das que vivem nos territórios mais afetados</w:t>
      </w:r>
      <w:r w:rsidR="00C66393" w:rsidRPr="009D6A72">
        <w:t>; considerando que</w:t>
      </w:r>
      <w:r w:rsidRPr="009D6A72">
        <w:t xml:space="preserve"> é crucial conferir especial atenção às regiões e indústrias dependentes dos combustíveis fósseis, uma vez que estas terão de sofrer mudanças para cumprir os compromissos da União em matéria de clima</w:t>
      </w:r>
      <w:r w:rsidR="00C66393" w:rsidRPr="009D6A72">
        <w:t>; considerando que</w:t>
      </w:r>
      <w:r w:rsidRPr="009D6A72">
        <w:t xml:space="preserve"> é importante que todos, incluindo os trabalhadores e os candidatos a emprego, sejam apoiados na gestão das transições, a fim de fomentar a compreensão, a aceitação e a eficácia dos objetivos da estratégia de longo prazo para 2050</w:t>
      </w:r>
      <w:r w:rsidR="00C66393" w:rsidRPr="009D6A72">
        <w:t>; considerando que</w:t>
      </w:r>
      <w:r w:rsidRPr="009D6A72">
        <w:t xml:space="preserve">, tal como demonstrado pela investigação da </w:t>
      </w:r>
      <w:proofErr w:type="spellStart"/>
      <w:r w:rsidRPr="009D6A72">
        <w:t>Eurofound</w:t>
      </w:r>
      <w:proofErr w:type="spellEnd"/>
      <w:r w:rsidRPr="009D6A72">
        <w:rPr>
          <w:rStyle w:val="FootnoteReference"/>
        </w:rPr>
        <w:footnoteReference w:id="9"/>
      </w:r>
      <w:r w:rsidRPr="009D6A72">
        <w:t>, uma ampla participação da sociedade civil, dos parceiros sociais e das autoridades públicas no processo de transição é fundamental para garantir e distribuir equitativamente os rendimentos da atividade económica e os recursos, bem como para gerir os conflitos;</w:t>
      </w:r>
    </w:p>
    <w:p w14:paraId="50ED3C6C" w14:textId="0B5289A3" w:rsidR="00106A53" w:rsidRPr="009D6A72" w:rsidRDefault="00106A53" w:rsidP="00106A53">
      <w:pPr>
        <w:pStyle w:val="NormalHanging12a"/>
      </w:pPr>
      <w:r w:rsidRPr="009D6A72">
        <w:t>F.</w:t>
      </w:r>
      <w:r w:rsidRPr="009D6A72">
        <w:tab/>
        <w:t>Considerando que a transformação económica da Europa exige uma forte ênfase na competitividade e no crescimento</w:t>
      </w:r>
      <w:r w:rsidR="00C66393" w:rsidRPr="009D6A72">
        <w:t>; considerando que</w:t>
      </w:r>
      <w:r w:rsidRPr="009D6A72">
        <w:t xml:space="preserve"> os empresários e os criadores de emprego devem dispor das condições adequadas para investir e crescer, e que a garantia de uma utilização eficiente dos fundos é essencial para atrair investimento privado</w:t>
      </w:r>
      <w:r w:rsidR="00C66393" w:rsidRPr="009D6A72">
        <w:t>; considerando que</w:t>
      </w:r>
      <w:r w:rsidRPr="009D6A72">
        <w:t xml:space="preserve"> é importante que os cidadãos, tanto nas zonas urbanas como rurais, apoiem o processo e participem numa transição justa que logre um equilíbrio entra a competitividade e a solidariedade e que possam estar confiantes de que o seu trabalho, os seus rendimentos e o seu modo de vida serão salvaguardados, para que ninguém seja deixado para trás;</w:t>
      </w:r>
    </w:p>
    <w:p w14:paraId="3833EB7A" w14:textId="05AF7975" w:rsidR="00106A53" w:rsidRPr="009D6A72" w:rsidRDefault="00106A53" w:rsidP="00106A53">
      <w:pPr>
        <w:pStyle w:val="NormalHanging12a"/>
      </w:pPr>
      <w:r w:rsidRPr="009D6A72">
        <w:t>G.</w:t>
      </w:r>
      <w:r w:rsidRPr="009D6A72">
        <w:tab/>
        <w:t xml:space="preserve">Considerando que, embora várias iniciativas legislativas e não legislativas importantes da União visem fazer face aos impactos da dupla transição (em particular, o Mecanismo para uma Transição Justa, o FTJ, o FEG, a União de Competências, o Fundo Social para o Clima, o FSE+ e o MRR) e melhorar a competitividade, ou possam contribuir para tal, subsistem lacunas no </w:t>
      </w:r>
      <w:r w:rsidR="00861A70" w:rsidRPr="009D6A72">
        <w:t xml:space="preserve">regime </w:t>
      </w:r>
      <w:r w:rsidRPr="009D6A72">
        <w:t>legislativo e político no que diz respeito a perturbações no local de trabalho, direitos dos trabalhadores, proteção social, diálogo social e oportunidades de educação e formação</w:t>
      </w:r>
      <w:r w:rsidR="00C66393" w:rsidRPr="009D6A72">
        <w:t>; considerando que</w:t>
      </w:r>
      <w:r w:rsidRPr="009D6A72">
        <w:t xml:space="preserve"> só uma ação a nível da União pode assegurar um verdadeiro valor acrescentado e uma convergência social ascendente concomitante, para tornar realidade a promessa de «não deixar ninguém para trás», tendo simultaneamente em conta os modelos e as tradições nacionais do mercado de trabalho;</w:t>
      </w:r>
    </w:p>
    <w:p w14:paraId="3ADD84E8" w14:textId="6E61D343" w:rsidR="00106A53" w:rsidRPr="009D6A72" w:rsidRDefault="00106A53" w:rsidP="00106A53">
      <w:pPr>
        <w:pStyle w:val="NormalHanging12a"/>
      </w:pPr>
      <w:r w:rsidRPr="009D6A72">
        <w:t>H.</w:t>
      </w:r>
      <w:r w:rsidRPr="009D6A72">
        <w:tab/>
        <w:t xml:space="preserve">Considerando que o relatório </w:t>
      </w:r>
      <w:proofErr w:type="spellStart"/>
      <w:r w:rsidRPr="009D6A72">
        <w:t>Draghi</w:t>
      </w:r>
      <w:proofErr w:type="spellEnd"/>
      <w:r w:rsidRPr="009D6A72">
        <w:t xml:space="preserve"> identifica a escassez persistente de competências como um obstáculo à inovação, à adoção de tecnologias e aos esforços de </w:t>
      </w:r>
      <w:r w:rsidRPr="009D6A72">
        <w:lastRenderedPageBreak/>
        <w:t>descarbonização, o que prejudica, por sua vez, o crescimento e a competitividade</w:t>
      </w:r>
      <w:r w:rsidR="00C66393" w:rsidRPr="009D6A72">
        <w:t>; considerando que</w:t>
      </w:r>
      <w:r w:rsidRPr="009D6A72">
        <w:t xml:space="preserve"> quase quatro em cada cinco pequenas e médias empresas da UE referem dificuldades em encontrar trabalhadores com as competências adequadas</w:t>
      </w:r>
      <w:r w:rsidR="00C66393" w:rsidRPr="009D6A72">
        <w:t>; considerando que</w:t>
      </w:r>
      <w:r w:rsidRPr="009D6A72">
        <w:t xml:space="preserve"> o declínio dos sistemas de educação e formação, em especial da educação e formação de adultos, não está a preparar a mão de obra para a dupla transição</w:t>
      </w:r>
      <w:r w:rsidR="00C66393" w:rsidRPr="009D6A72">
        <w:t>; considerando que</w:t>
      </w:r>
      <w:r w:rsidRPr="009D6A72">
        <w:t xml:space="preserve"> a participação na educação de adultos continua a ser insuficiente, uma vez que apenas 39,5 % dos adultos participam em ações de formação anualmente</w:t>
      </w:r>
      <w:r w:rsidRPr="009D6A72">
        <w:rPr>
          <w:rStyle w:val="FootnoteReference"/>
        </w:rPr>
        <w:footnoteReference w:id="10"/>
      </w:r>
      <w:r w:rsidRPr="009D6A72">
        <w:t>, um valor muito abaixo da meta para 2030 de, pelo menos, 60 %, e que seria necessário que mais 50 milhões de trabalhadores recebessem formação para atingir a referida meta</w:t>
      </w:r>
      <w:r w:rsidRPr="009D6A72">
        <w:rPr>
          <w:rStyle w:val="FootnoteReference"/>
        </w:rPr>
        <w:footnoteReference w:id="11"/>
      </w:r>
      <w:r w:rsidRPr="009D6A72">
        <w:t>;</w:t>
      </w:r>
    </w:p>
    <w:p w14:paraId="5F408D19" w14:textId="5E383882" w:rsidR="00106A53" w:rsidRPr="009D6A72" w:rsidRDefault="00106A53" w:rsidP="00106A53">
      <w:pPr>
        <w:pStyle w:val="NormalHanging12a"/>
      </w:pPr>
      <w:r w:rsidRPr="009D6A72">
        <w:t>I.</w:t>
      </w:r>
      <w:r w:rsidRPr="009D6A72">
        <w:tab/>
        <w:t>Considerando que, através do investimento no desenvolvimento de competências de elevado nível, a UE pode promover um ciclo virtuoso de aumento da produtividade, salários mais elevados e maior igualdade económica</w:t>
      </w:r>
      <w:r w:rsidR="00C66393" w:rsidRPr="009D6A72">
        <w:t>; considerando que</w:t>
      </w:r>
      <w:r w:rsidRPr="009D6A72">
        <w:t xml:space="preserve"> quase 50 % dos adultos podem precisar de uma melhoria de competências e de requalificação</w:t>
      </w:r>
      <w:r w:rsidRPr="009D6A72">
        <w:rPr>
          <w:rStyle w:val="FootnoteReference"/>
        </w:rPr>
        <w:footnoteReference w:id="12"/>
      </w:r>
      <w:r w:rsidR="00C66393" w:rsidRPr="009D6A72">
        <w:t>; considerando que</w:t>
      </w:r>
      <w:r w:rsidRPr="009D6A72">
        <w:t xml:space="preserve"> só o setor da energia da UE precisará de, pelo menos, 145 000 trabalhadores qualificados até 2030</w:t>
      </w:r>
      <w:r w:rsidRPr="009D6A72">
        <w:rPr>
          <w:rStyle w:val="FootnoteReference"/>
        </w:rPr>
        <w:footnoteReference w:id="13"/>
      </w:r>
      <w:r w:rsidR="00C66393" w:rsidRPr="009D6A72">
        <w:t>; considerando que</w:t>
      </w:r>
      <w:r w:rsidRPr="009D6A72">
        <w:t xml:space="preserve"> as tecnologias limpas são um dos motores da prosperidade económica na Europa, contribuindo para 30 % do crescimento da UE e criando milhões de postos de trabalho, só em 2023</w:t>
      </w:r>
      <w:r w:rsidRPr="009D6A72">
        <w:rPr>
          <w:rStyle w:val="FootnoteReference"/>
        </w:rPr>
        <w:footnoteReference w:id="14"/>
      </w:r>
      <w:r w:rsidRPr="009D6A72">
        <w:t xml:space="preserve">; </w:t>
      </w:r>
    </w:p>
    <w:p w14:paraId="4A71E999" w14:textId="2DDCC8CA" w:rsidR="00106A53" w:rsidRPr="009D6A72" w:rsidRDefault="00106A53" w:rsidP="00106A53">
      <w:pPr>
        <w:pStyle w:val="NormalHanging12a"/>
      </w:pPr>
      <w:r w:rsidRPr="009D6A72">
        <w:t>J.</w:t>
      </w:r>
      <w:r w:rsidRPr="009D6A72">
        <w:tab/>
        <w:t>Considerando que as estratégias europeias em matéria de competências, competitividade e investimento devem criar oportunidades, tanto para as grandes empresas como para as PME, atendendo simultaneamente às necessidades nacionais, regionais e locais</w:t>
      </w:r>
      <w:r w:rsidR="00C66393" w:rsidRPr="009D6A72">
        <w:t>; considerando que</w:t>
      </w:r>
      <w:r w:rsidRPr="009D6A72">
        <w:t xml:space="preserve"> as políticas que reforçam a capacidade industrial, incentivam o empreendedorismo e desenvolvem uma mão de obra com competências adaptadas às realidades locais são essenciais para garantir que todos os europeus possam beneficiar do crescimento e da inovação;</w:t>
      </w:r>
    </w:p>
    <w:p w14:paraId="0F1B738B" w14:textId="1A5207C5" w:rsidR="00106A53" w:rsidRPr="009D6A72" w:rsidRDefault="00106A53" w:rsidP="00106A53">
      <w:pPr>
        <w:pStyle w:val="NormalHanging12a"/>
      </w:pPr>
      <w:r w:rsidRPr="009D6A72">
        <w:t>K.</w:t>
      </w:r>
      <w:r w:rsidRPr="009D6A72">
        <w:tab/>
        <w:t>Considerando que sistemas de assistência e proteção social adequadamente financiados são um pré-requisito para assegurar uma transição justa e equitativa para a neutralidade climática e a transformação digital</w:t>
      </w:r>
      <w:r w:rsidR="00C66393" w:rsidRPr="009D6A72">
        <w:t>; considerando que</w:t>
      </w:r>
      <w:r w:rsidRPr="009D6A72">
        <w:t xml:space="preserve"> o relatório </w:t>
      </w:r>
      <w:proofErr w:type="spellStart"/>
      <w:r w:rsidRPr="009D6A72">
        <w:t>Draghi</w:t>
      </w:r>
      <w:proofErr w:type="spellEnd"/>
      <w:r w:rsidRPr="009D6A72">
        <w:t xml:space="preserve"> salienta ainda a necessidade de assegurar que o crescimento da produtividade e a inclusão social sejam indissociáveis, sendo os sistemas de proteção social dos Estados-Membros essenciais para a prestação de serviços públicos sólidos, de proteção social, de habitação, de transportes e de estruturas de acolhimento de crianças durante a transição</w:t>
      </w:r>
      <w:r w:rsidR="00C66393" w:rsidRPr="009D6A72">
        <w:t>; considerando que</w:t>
      </w:r>
      <w:r w:rsidRPr="009D6A72">
        <w:t xml:space="preserve"> empregos de qualidade, condições de trabalho dignas, acesso à proteção social, diálogo social e negociação coletiva desempenham um papel crucial para atrair e reter a mão de obra e são importantes para a competitividade e a democracia no local de trabalho na União;</w:t>
      </w:r>
    </w:p>
    <w:p w14:paraId="2B2C509F" w14:textId="5800CFF4" w:rsidR="00106A53" w:rsidRPr="009D6A72" w:rsidRDefault="00106A53" w:rsidP="00106A53">
      <w:pPr>
        <w:pStyle w:val="NormalHanging12a"/>
      </w:pPr>
      <w:r w:rsidRPr="009D6A72">
        <w:t>L.</w:t>
      </w:r>
      <w:r w:rsidRPr="009D6A72">
        <w:tab/>
        <w:t>Considerando que, segundo o relatório da Comissão sobre o emprego e a situação social na Europa de 2024 (ESDE 2024)</w:t>
      </w:r>
      <w:r w:rsidRPr="009D6A72">
        <w:rPr>
          <w:rStyle w:val="FootnoteReference"/>
        </w:rPr>
        <w:footnoteReference w:id="15"/>
      </w:r>
      <w:r w:rsidRPr="009D6A72">
        <w:t xml:space="preserve">, as restrições à participação na educação e formação de adultos são atribuídas a obstáculos como a perceção de falta de necessidade, a oferta </w:t>
      </w:r>
      <w:r w:rsidRPr="009D6A72">
        <w:lastRenderedPageBreak/>
        <w:t>insuficiente ou as dificuldades de acesso a formação de qualidade pertinente, os problemas de calendário, o equilíbrio com as responsabilidades familiares e as limitações financeiras</w:t>
      </w:r>
      <w:r w:rsidR="00C66393" w:rsidRPr="009D6A72">
        <w:t>; considerando que</w:t>
      </w:r>
      <w:r w:rsidRPr="009D6A72">
        <w:t xml:space="preserve"> o relatório </w:t>
      </w:r>
      <w:proofErr w:type="spellStart"/>
      <w:r w:rsidRPr="009D6A72">
        <w:t>Draghi</w:t>
      </w:r>
      <w:proofErr w:type="spellEnd"/>
      <w:r w:rsidRPr="009D6A72">
        <w:t xml:space="preserve"> insta a UE a garantir que todos os trabalhadores tenham direito à educação e à requalificação, permitindo-lhes evoluir para novas funções à medida que as suas empresas adotam tecnologias, ou para empregos de qualidade em novos setores</w:t>
      </w:r>
      <w:r w:rsidRPr="009D6A72">
        <w:rPr>
          <w:rStyle w:val="FootnoteReference"/>
        </w:rPr>
        <w:footnoteReference w:id="16"/>
      </w:r>
      <w:r w:rsidRPr="009D6A72">
        <w:t>;</w:t>
      </w:r>
    </w:p>
    <w:p w14:paraId="5E1DB548" w14:textId="749A8C6C" w:rsidR="00106A53" w:rsidRPr="009D6A72" w:rsidRDefault="00106A53" w:rsidP="00106A53">
      <w:pPr>
        <w:pStyle w:val="NormalHanging12a"/>
      </w:pPr>
      <w:r w:rsidRPr="009D6A72">
        <w:t>M.</w:t>
      </w:r>
      <w:r w:rsidRPr="009D6A72">
        <w:tab/>
        <w:t>Considerando que um conjunto integrado de políticas que combine a educação, o desenvolvimento de competências, o financiamento e a política industrial é um fator essencial para a competitividade, a resiliência social e a justiça, a autonomia estratégica, o investimento e a criação de emprego sustentável na Europa</w:t>
      </w:r>
      <w:r w:rsidR="00C66393" w:rsidRPr="009D6A72">
        <w:t>; considerando que</w:t>
      </w:r>
      <w:r w:rsidRPr="009D6A72">
        <w:t xml:space="preserve"> a transição ecológica e digital exige investimentos significativos na requalificação e na melhoria de competências, no ensino e na formação profissionais e na aprendizagem ao longo da vida, de modo a dotar os trabalhadores das competências técnicas específicas de cada profissão e das competências sociais essenciais necessárias</w:t>
      </w:r>
      <w:r w:rsidR="00C66393" w:rsidRPr="009D6A72">
        <w:t>; considerando que</w:t>
      </w:r>
      <w:r w:rsidRPr="009D6A72">
        <w:t xml:space="preserve"> os trabalhadores de idade mais avançada, pouco qualificados e as mulheres podem ser vítimas de maiores obstáculos no processo de «melhoria das competências» e na luta por novos empregos</w:t>
      </w:r>
      <w:r w:rsidR="00C66393" w:rsidRPr="009D6A72">
        <w:t>; considerando que</w:t>
      </w:r>
      <w:r w:rsidRPr="009D6A72">
        <w:t xml:space="preserve"> os esforços nos domínios da educação e da formação devem, por conseguinte, estar estreitamente ligados às políticas relacionadas com a transição justa</w:t>
      </w:r>
      <w:r w:rsidR="00C66393" w:rsidRPr="009D6A72">
        <w:t>; considerando que</w:t>
      </w:r>
      <w:r w:rsidRPr="009D6A72">
        <w:t xml:space="preserve"> as comunidades e os trabalhadores desfavorecidos necessitarão de apoio específico para garantir que não sejam deixados para trás;</w:t>
      </w:r>
    </w:p>
    <w:p w14:paraId="34C07CF9" w14:textId="77777777" w:rsidR="00106A53" w:rsidRPr="009D6A72" w:rsidRDefault="00106A53" w:rsidP="00106A53">
      <w:pPr>
        <w:pStyle w:val="NormalHanging12a"/>
      </w:pPr>
      <w:r w:rsidRPr="009D6A72">
        <w:t>N.</w:t>
      </w:r>
      <w:r w:rsidRPr="009D6A72">
        <w:tab/>
        <w:t>Considerando que continuam a existir disparidades económicas importantes entre os Estados-Membros e as regiões da UE, com grandes diferenças em termos de PIB desde 2012, associadas ao peso da indústria na atividade económica;</w:t>
      </w:r>
    </w:p>
    <w:p w14:paraId="578732EC" w14:textId="390E1E07" w:rsidR="00106A53" w:rsidRPr="009D6A72" w:rsidRDefault="00106A53" w:rsidP="00106A53">
      <w:pPr>
        <w:pStyle w:val="NormalHanging12a"/>
      </w:pPr>
      <w:r w:rsidRPr="009D6A72">
        <w:t>O.</w:t>
      </w:r>
      <w:r w:rsidRPr="009D6A72">
        <w:tab/>
        <w:t xml:space="preserve">Considerando que o relatório </w:t>
      </w:r>
      <w:proofErr w:type="spellStart"/>
      <w:r w:rsidRPr="009D6A72">
        <w:t>Letta</w:t>
      </w:r>
      <w:proofErr w:type="spellEnd"/>
      <w:r w:rsidRPr="009D6A72">
        <w:t xml:space="preserve"> considera que a liberdade de circulação e a «liberdade de permanência» são duas faces da mesma moeda e devem ser desenvolvidas em conjunto</w:t>
      </w:r>
      <w:r w:rsidR="00C66393" w:rsidRPr="009D6A72">
        <w:t>; considerando que</w:t>
      </w:r>
      <w:r w:rsidRPr="009D6A72">
        <w:t xml:space="preserve"> o relatório </w:t>
      </w:r>
      <w:proofErr w:type="spellStart"/>
      <w:r w:rsidRPr="009D6A72">
        <w:t>Letta</w:t>
      </w:r>
      <w:proofErr w:type="spellEnd"/>
      <w:r w:rsidRPr="009D6A72">
        <w:t xml:space="preserve"> considera que o exercício da liberdade de circulação deve ser uma escolha livre, e não uma necessidade para compensar a falta de emprego em certas regiões</w:t>
      </w:r>
      <w:r w:rsidR="00C66393" w:rsidRPr="009D6A72">
        <w:t>; considerando que</w:t>
      </w:r>
      <w:r w:rsidRPr="009D6A72">
        <w:t xml:space="preserve"> o relatório salienta a necessidade de proporcionar oportunidades aos cidadãos em todas as regiões, em especial nas zonas rurais, inclusive empregos de qualidade, bem como de combater as desigualdades dentro dos países e entre eles</w:t>
      </w:r>
      <w:r w:rsidRPr="009D6A72">
        <w:rPr>
          <w:rStyle w:val="FootnoteReference"/>
        </w:rPr>
        <w:footnoteReference w:id="17"/>
      </w:r>
      <w:r w:rsidR="00C66393" w:rsidRPr="009D6A72">
        <w:t>; considerando que</w:t>
      </w:r>
      <w:r w:rsidRPr="009D6A72">
        <w:t>, se não for adequadamente concebida e apoiada, a transição ecológica pode afetar de forma desproporcionada as regiões vulneráveis da Europa Oriental e Meridional</w:t>
      </w:r>
      <w:r w:rsidRPr="009D6A72">
        <w:rPr>
          <w:rStyle w:val="FootnoteReference"/>
        </w:rPr>
        <w:footnoteReference w:id="18"/>
      </w:r>
      <w:r w:rsidRPr="009D6A72">
        <w:t xml:space="preserve"> em termos de riscos de desemprego e de perda de postos de trabalho. que a dependência do carvão de determinados territórios cria um nível adicional de vulnerabilidade, registando-se em certos casos taxas de emprego entre 10 e 15 % inferiores à média da UE</w:t>
      </w:r>
      <w:r w:rsidRPr="009D6A72">
        <w:rPr>
          <w:rStyle w:val="FootnoteReference"/>
        </w:rPr>
        <w:footnoteReference w:id="19"/>
      </w:r>
      <w:r w:rsidRPr="009D6A72">
        <w:t>;</w:t>
      </w:r>
    </w:p>
    <w:p w14:paraId="78B97919" w14:textId="7502BE1F" w:rsidR="00106A53" w:rsidRPr="009D6A72" w:rsidRDefault="00106A53" w:rsidP="00106A53">
      <w:pPr>
        <w:pStyle w:val="NormalHanging12a"/>
      </w:pPr>
      <w:r w:rsidRPr="009D6A72">
        <w:t>P.</w:t>
      </w:r>
      <w:r w:rsidRPr="009D6A72">
        <w:tab/>
        <w:t xml:space="preserve">Considerando que se espera que o Roteiro para Empregos de Qualidade promova medidas que apoiem os Estados-Membros e as indústrias na criação de condições de trabalho dignas e no acesso à formação, na definição de normas elevadas em matéria de </w:t>
      </w:r>
      <w:r w:rsidRPr="009D6A72">
        <w:lastRenderedPageBreak/>
        <w:t>saúde e segurança no trabalho, na garantia de transições profissionais justas para os trabalhadores por conta de outrem e por conta própria, nomeadamente, bem como na negociação coletiva, com vista a atrair talentos e contribuir para a competitividade das indústrias europeias</w:t>
      </w:r>
      <w:r w:rsidR="00C66393" w:rsidRPr="009D6A72">
        <w:t>; considerando que</w:t>
      </w:r>
      <w:r w:rsidRPr="009D6A72">
        <w:t xml:space="preserve">, neste contexto, se espera que a Comissão discuta com os parceiros sociais sobre um </w:t>
      </w:r>
      <w:r w:rsidR="00861A70" w:rsidRPr="009D6A72">
        <w:t xml:space="preserve">regime </w:t>
      </w:r>
      <w:r w:rsidRPr="009D6A72">
        <w:t>para apoiar os processos de reestruturação a nível da UE e dos Estados-Membros</w:t>
      </w:r>
      <w:r w:rsidR="00C66393" w:rsidRPr="009D6A72">
        <w:t>; considerando que</w:t>
      </w:r>
      <w:r w:rsidRPr="009D6A72">
        <w:t xml:space="preserve"> </w:t>
      </w:r>
      <w:r w:rsidR="00861A70" w:rsidRPr="009D6A72">
        <w:t>tal regime</w:t>
      </w:r>
      <w:r w:rsidRPr="009D6A72">
        <w:t xml:space="preserve"> se centrará na transição justa, na antecipação da mudança, na intervenção precoce em caso de ameaça de reestruturação e numa melhor informação e consulta;</w:t>
      </w:r>
    </w:p>
    <w:p w14:paraId="7E67AD76" w14:textId="4F963586" w:rsidR="00106A53" w:rsidRPr="009D6A72" w:rsidRDefault="00106A53" w:rsidP="00106A53">
      <w:pPr>
        <w:pStyle w:val="NormalHanging12a"/>
      </w:pPr>
      <w:r w:rsidRPr="009D6A72">
        <w:t>Q.</w:t>
      </w:r>
      <w:r w:rsidRPr="009D6A72">
        <w:tab/>
        <w:t>Considerando que é necessário reforçar a capacidade administrativa e técnica das partes interessadas locais implicadas na conceção e na execução da transição justa</w:t>
      </w:r>
      <w:r w:rsidR="00C66393" w:rsidRPr="009D6A72">
        <w:t>; considerando que</w:t>
      </w:r>
      <w:r w:rsidRPr="009D6A72">
        <w:t xml:space="preserve"> os Estados-Membros continuam a enfrentar desafios significativos na gestão e execução eficazes dos fundos da UE a nível local e na avaliação dos diferentes impactos das políticas climáticas</w:t>
      </w:r>
      <w:r w:rsidR="00C66393" w:rsidRPr="009D6A72">
        <w:t>; considerando que</w:t>
      </w:r>
      <w:r w:rsidRPr="009D6A72">
        <w:t xml:space="preserve"> a execução do Fundo para uma Transição Justa tem sido lenta, como demonstrado pela taxa de pagamento de apenas 32,2 % até ao final de 2024</w:t>
      </w:r>
      <w:r w:rsidRPr="009D6A72">
        <w:rPr>
          <w:rStyle w:val="FootnoteReference"/>
        </w:rPr>
        <w:footnoteReference w:id="20"/>
      </w:r>
      <w:r w:rsidR="00C66393" w:rsidRPr="009D6A72">
        <w:t>; considerando que</w:t>
      </w:r>
      <w:r w:rsidRPr="009D6A72">
        <w:t xml:space="preserve"> o número de postos de trabalho criados pelo FTJ não se afigura suscetível de cobrir o número de postos de trabalho cuja perda se prevê à medida que as indústrias com utilização intensiva de carbono transitam para tecnologias mais limpas</w:t>
      </w:r>
      <w:r w:rsidR="00C66393" w:rsidRPr="009D6A72">
        <w:t>; considerando que</w:t>
      </w:r>
      <w:r w:rsidRPr="009D6A72">
        <w:t xml:space="preserve"> as PME constituem a espinha dorsal da economia europeia e criam uma grande parte dos postos de trabalho permanentes a nível local</w:t>
      </w:r>
      <w:r w:rsidR="00C66393" w:rsidRPr="009D6A72">
        <w:t>; considerando que</w:t>
      </w:r>
      <w:r w:rsidRPr="009D6A72">
        <w:t xml:space="preserve"> são necessárias disposições específicas para as PME para reforçar o seu papel na transição justa;</w:t>
      </w:r>
    </w:p>
    <w:p w14:paraId="6A7691F5" w14:textId="481400A0" w:rsidR="00106A53" w:rsidRPr="009D6A72" w:rsidRDefault="00106A53" w:rsidP="00106A53">
      <w:pPr>
        <w:pStyle w:val="NormalHanging12a"/>
      </w:pPr>
      <w:r w:rsidRPr="009D6A72">
        <w:t>1.</w:t>
      </w:r>
      <w:r w:rsidRPr="009D6A72">
        <w:tab/>
        <w:t xml:space="preserve">Realça que a transição bem-sucedida para fontes de energia mais sustentáveis, indústrias modernizadas e uma economia mais digitalizada desempenhará um papel fundamental na competitividade a longo prazo das empresas da União no mercado mundial e deve resultar na criação de empregos de qualidade na União; sublinha a necessidade de assegurar que as empresas e os trabalhadores estejam bem preparados para tirar partido das oportunidades decorrentes da transição para soluções novas e inovadoras e frisa a importância do trabalho e de empregos dignos, abrangidos por convenções coletivas, indispensáveis para garantir o progresso social e a aceitação da transição; entende que um </w:t>
      </w:r>
      <w:r w:rsidR="00861A70" w:rsidRPr="009D6A72">
        <w:t xml:space="preserve">regime jurídico </w:t>
      </w:r>
      <w:r w:rsidRPr="009D6A72">
        <w:t>que se debruce sobre os desafios e as oportunidades de uma transição justa no local de trabalho é essencial para garantir normas mínimas adequadas que proporcionem, tanto aos trabalhadores como aos empregadores, a clareza e a estrutura necessárias para antecipar e gerir a mudança e que, em última análise, aumentem a resiliência, a competitividade e a convergência social ascendente e a justiça social da União; frisa que as regiões podem apoiar a transição justa combinando a proteção social, a diversificação económica e a coordenação territorial, por forma a reduzir os impactos negativos, reforçar as economias locais e promover o desenvolvimento inclusivo;</w:t>
      </w:r>
    </w:p>
    <w:p w14:paraId="61CA5B37" w14:textId="4268C9C6" w:rsidR="00106A53" w:rsidRPr="009D6A72" w:rsidRDefault="00106A53" w:rsidP="00106A53">
      <w:pPr>
        <w:pStyle w:val="NormalHanging12a"/>
      </w:pPr>
      <w:r w:rsidRPr="009D6A72">
        <w:t>2.</w:t>
      </w:r>
      <w:r w:rsidRPr="009D6A72">
        <w:tab/>
        <w:t xml:space="preserve">Salienta que o impacto da descarbonização no emprego vai além das diminuições nos setores dos combustíveis fósseis e terá um impacto mais amplo na redefinição do emprego e na transição global do mercado de trabalho; congratula-se, a este respeito, com o anúncio de legislação relativa aos empregos de qualidade, com o objetivo de assegurar que as práticas no domínio do emprego acompanhem a evolução da economia moderna; sublinha a necessidade de esta legislação, em conjugação com a próxima atualização do Plano de Ação sobre o Pilar Europeu dos Direitos Sociais e do novo Roteiro para Empregos de Qualidade, incluir um conjunto de medidas concretas que </w:t>
      </w:r>
      <w:r w:rsidRPr="009D6A72">
        <w:lastRenderedPageBreak/>
        <w:t xml:space="preserve">melhorem de forma tangível as condições de trabalho, a saúde e a segurança, a democracia no trabalho, o âmbito da negociação coletiva, bem como a formação e as competências dos trabalhadores por conta de outrem e por conta própria, assim como a aplicação efetiva da legislação da União em matéria de políticas laborais e sociais; destaca que essas medidas também proporcionam uma oportunidade para ajudar os empregadores da União, em particular as PME, a manterem e melhorarem a sua competitividade, proporcionando um </w:t>
      </w:r>
      <w:r w:rsidR="00861A70" w:rsidRPr="009D6A72">
        <w:t>regime</w:t>
      </w:r>
      <w:r w:rsidRPr="009D6A72">
        <w:t xml:space="preserve"> claro, incluindo orientações práticas e ferramentas de apoio para antecipar e gerir a mudança em parceria com os trabalhadores e investir no ensino e formação profissionais (EFP), na melhoria das competências e na requalificação dos trabalhadores, a fim de fazer face à escassez de competências e de mão de obra que impede a produtividade e o crescimento, mas também comprometem as perspetivas futuras dos trabalhadores;</w:t>
      </w:r>
    </w:p>
    <w:p w14:paraId="2B1A2672" w14:textId="77777777" w:rsidR="00106A53" w:rsidRPr="009D6A72" w:rsidRDefault="00106A53" w:rsidP="00106A53">
      <w:pPr>
        <w:pStyle w:val="NormalHanging12a"/>
      </w:pPr>
      <w:r w:rsidRPr="009D6A72">
        <w:t>3.</w:t>
      </w:r>
      <w:r w:rsidRPr="009D6A72">
        <w:tab/>
        <w:t>Salienta que a digitalização deve ser introduzida de forma centrada no ser humano, evitando uma vigilância excessiva dos trabalhadores e garantindo o direito a desligar, bem como disposições justas em matéria de horários de trabalho;</w:t>
      </w:r>
    </w:p>
    <w:p w14:paraId="08C1CA05" w14:textId="198EFB5E" w:rsidR="00106A53" w:rsidRPr="009D6A72" w:rsidRDefault="005D6D11" w:rsidP="00106A53">
      <w:pPr>
        <w:pStyle w:val="NormalHanging12a"/>
      </w:pPr>
      <w:r w:rsidRPr="009D6A72">
        <w:t>4</w:t>
      </w:r>
      <w:r w:rsidR="00106A53" w:rsidRPr="009D6A72">
        <w:t>.</w:t>
      </w:r>
      <w:r w:rsidR="00106A53" w:rsidRPr="009D6A72">
        <w:tab/>
        <w:t xml:space="preserve">Salienta que a antecipação e a gestão da mudança são fundamentais para que tanto os empregadores como os trabalhadores, os órgãos de poder local e regional e as comunidades enfrentem com êxito a transição ecológica e digital e sejam capazes de vencer de modo eficaz os desafios económicos decorrentes de acontecimentos geopolíticos adversos, convertendo-os em oportunidades; frisa que </w:t>
      </w:r>
      <w:r w:rsidR="00585748" w:rsidRPr="009D6A72">
        <w:t xml:space="preserve">prever </w:t>
      </w:r>
      <w:r w:rsidR="00106A53" w:rsidRPr="009D6A72">
        <w:t xml:space="preserve">antecipadamente planos para a transição pode contribuir de modo pró-ativo para evitar os despedimentos e conduzir à criação de emprego, criar uma resiliência duradoura nas empresas e tirar o melhor partido dos recursos disponíveis; realça que planos dessa natureza requerem decisões suscetíveis de conduzir a mudanças substanciais na organização do trabalho e que, por conseguinte, devem ser elaborados no âmbito de uma parceria alargada, com recurso ao </w:t>
      </w:r>
      <w:r w:rsidR="00861A70" w:rsidRPr="009D6A72">
        <w:t>regime</w:t>
      </w:r>
      <w:r w:rsidR="00106A53" w:rsidRPr="009D6A72">
        <w:t xml:space="preserve"> para o diálogo social e à negociação coletiva, no pleno respeito do direito à informação e à consulta; insta, neste contexto, a Comissão a acompanhar e a garantir a plena aplicação do </w:t>
      </w:r>
      <w:r w:rsidR="00861A70" w:rsidRPr="009D6A72">
        <w:t xml:space="preserve">regime previsto </w:t>
      </w:r>
      <w:r w:rsidR="00106A53" w:rsidRPr="009D6A72">
        <w:t xml:space="preserve">na Diretiva 2002/14/CE; exorta ainda os Estados-Membros a permitirem o diálogo social aos níveis pertinentes para facilitar as transições entre empregos, em especial no que diz respeito a profissões suscetíveis de desaparecerem ou de sofrerem reduções significativas; recorda os instrumentos de alerta precoce previstos na Diretiva </w:t>
      </w:r>
      <w:r w:rsidR="004060FD" w:rsidRPr="009D6A72">
        <w:t xml:space="preserve">(UE) </w:t>
      </w:r>
      <w:r w:rsidR="00106A53" w:rsidRPr="009D6A72">
        <w:t>2019/1023 e considera que a adaptação destes para também incluir circunstâncias pertinentes para a dupla transição asseguraria uma melhor deteção e resposta a futuras mudanças nas atividades das empresas; frisa a necessidade de incentivar as empresas a definirem os seus próprios planos de transição; destaca que as partes interessadas e a sociedade civil devem ser implicadas desde as primeiras fases do planeamento da transição, assegurando uma participação significativa em vez de uma consulta numa fase tardia;</w:t>
      </w:r>
    </w:p>
    <w:p w14:paraId="0D6FE182" w14:textId="1D4DF27C" w:rsidR="00106A53" w:rsidRPr="009D6A72" w:rsidRDefault="005D6D11" w:rsidP="00106A53">
      <w:pPr>
        <w:pStyle w:val="NormalHanging12a"/>
      </w:pPr>
      <w:r w:rsidRPr="009D6A72">
        <w:t>5</w:t>
      </w:r>
      <w:r w:rsidR="00106A53" w:rsidRPr="009D6A72">
        <w:t>.</w:t>
      </w:r>
      <w:r w:rsidR="00106A53" w:rsidRPr="009D6A72">
        <w:tab/>
        <w:t>Realça que a penúria de trabalhadores qualificados só poderá ser suplantada através de uma maior disponibilidade e acessibilidade da educação, da (</w:t>
      </w:r>
      <w:proofErr w:type="spellStart"/>
      <w:r w:rsidR="00106A53" w:rsidRPr="009D6A72">
        <w:t>re</w:t>
      </w:r>
      <w:proofErr w:type="spellEnd"/>
      <w:r w:rsidR="00106A53" w:rsidRPr="009D6A72">
        <w:t xml:space="preserve">)qualificação, de mais oportunidades de formação e da melhoria das condições de trabalho; destaca o caráter essencial do diálogo social entre trabalhadores e empregadores </w:t>
      </w:r>
      <w:r w:rsidR="00585748" w:rsidRPr="009D6A72">
        <w:t xml:space="preserve">relativo </w:t>
      </w:r>
      <w:r w:rsidR="00106A53" w:rsidRPr="009D6A72">
        <w:t>às possibilidades de formação que atendam às necessidades do mercado de trabalho e respeitem o equilíbrio entre a vida profissional e a vida privada e realça a necessidade de facilitar este diálogo</w:t>
      </w:r>
      <w:r w:rsidR="00106A53" w:rsidRPr="009D6A72">
        <w:rPr>
          <w:rStyle w:val="FootnoteReference"/>
        </w:rPr>
        <w:footnoteReference w:id="21"/>
      </w:r>
      <w:r w:rsidR="00106A53" w:rsidRPr="009D6A72">
        <w:t xml:space="preserve">; está firmemente convicção de que a concessão, aos trabalhadores, de um direito individual à formação durante o horário de trabalho — que </w:t>
      </w:r>
      <w:r w:rsidR="00106A53" w:rsidRPr="009D6A72">
        <w:lastRenderedPageBreak/>
        <w:t>permitiria superar os obstáculos à sua participação em ações de formação — poderá assegurar a qualidade do aperfeiçoamento e da requalificação profissionais, a formação dos trabalhadores e uma evolução de carreira favorável que garanta aos empregadores uma oferta previsível e estável de mão de obra qualificada; salienta a necessidade de abordar o obstáculo do custo assegurando que a formação seja gratuita para os trabalhadores e apoiada por financiamento, incentivos fiscais e parcerias; frisa que as instituições nacionais e os parceiros sociais são responsáveis pela formação dos trabalhadores e destaca o seu papel essencial na aplicação do direito à formação; insta, a este respeito, os Estados-Membros a darem prioridade e a promoverem regimes de formação desenvolvidos conjuntamente pelos trabalhadores e pelos respetivos empregadores, garantindo que a melhoria de competências e a requalificação respondam à procura real e contribuam para a progressão na carreira;</w:t>
      </w:r>
    </w:p>
    <w:p w14:paraId="182AFAD7" w14:textId="525C2E67" w:rsidR="00106A53" w:rsidRPr="009D6A72" w:rsidRDefault="005D6D11" w:rsidP="00106A53">
      <w:pPr>
        <w:pStyle w:val="NormalHanging12a"/>
      </w:pPr>
      <w:r w:rsidRPr="009D6A72">
        <w:t>6</w:t>
      </w:r>
      <w:r w:rsidR="00106A53" w:rsidRPr="009D6A72">
        <w:t>.</w:t>
      </w:r>
      <w:r w:rsidR="00106A53" w:rsidRPr="009D6A72">
        <w:tab/>
        <w:t>Sublinha a necessidade de envolver significativamente os jovens na conceção, na execução e no acompanhamento das políticas relacionadas com uma transição justa e equitativa; apela a esforços redobrados para aplicar a Garantia para a Juventude, garantindo um aumento da consignação dos Estados-Membros para que pelo menos 15 % dos seus recursos do FSE+ sejam consagrados a ações específicas e reformas estruturais que favoreçam o emprego de qualidade dos jovens e o ensino e a formação profissionais — em particular estágios e programas de aprendizagem remunerados e de qualidade — e que facilitem a transição da escola para o trabalho, a reinserção no mundo do ensino ou da formação e a educação de segunda oportunidade;</w:t>
      </w:r>
    </w:p>
    <w:p w14:paraId="43E5CFF0" w14:textId="356CF777" w:rsidR="00106A53" w:rsidRPr="009D6A72" w:rsidRDefault="005D6D11" w:rsidP="00106A53">
      <w:pPr>
        <w:pStyle w:val="NormalHanging12a"/>
      </w:pPr>
      <w:r w:rsidRPr="009D6A72">
        <w:t>7</w:t>
      </w:r>
      <w:r w:rsidR="00106A53" w:rsidRPr="009D6A72">
        <w:t>.</w:t>
      </w:r>
      <w:r w:rsidR="00106A53" w:rsidRPr="009D6A72">
        <w:tab/>
        <w:t>Salienta a necessidade de os Estados-Membros apoiarem as empresas e os trabalhadores, com a participação das regiões, através do desenvolvimento de estratégias e políticas globais para uma transição justa a nível nacional adaptada às especificidades locais; frisa que essas estratégias nacionais devem identificar o impacto das transições nas regiões, nos vários setores e na respetiva mão de obra e definir um plano abrangente e transversal de medidas para atenuar o referido impacto; sublinha a importância de conceber uma visão e uma estratégia a longo prazo para a transição económica local e regional, que conte com a participação dos intervenientes públicos e privados, da sociedade civil e da economia social; assinala que os investimentos diretos na inovação e na melhoria da atratividade regional através da modernização e da disponibilização de infraestruturas, serviços públicos e equipamentos de elevada qualidade, acessíveis e a preços módicos, são necessários para manter os trabalhadores e gerar empregos de qualidade;</w:t>
      </w:r>
    </w:p>
    <w:p w14:paraId="62670F1D" w14:textId="305E6619" w:rsidR="00106A53" w:rsidRPr="009D6A72" w:rsidRDefault="005D6D11" w:rsidP="00106A53">
      <w:pPr>
        <w:pStyle w:val="NormalHanging12a"/>
      </w:pPr>
      <w:r w:rsidRPr="009D6A72">
        <w:t>8</w:t>
      </w:r>
      <w:r w:rsidR="00106A53" w:rsidRPr="009D6A72">
        <w:t>.</w:t>
      </w:r>
      <w:r w:rsidR="00106A53" w:rsidRPr="009D6A72">
        <w:tab/>
        <w:t>Considera essencial promover a viabilidade económica das empresas industriais europeias e, na medida do possível, evitar os encerramentos e os despedimentos forçados; frisa a importância de apoiar as empresas, em particular as PME, para evitar despedimentos forçados, por exemplo através de programas de apoio temporário para proteger o emprego durante as transições, para evitar a perda de capacidade industrial estratégica e de mão de obra qualificada; observa que, quando é necessária uma transição entre empregos, é essencial manter os trabalhadores na mesma região, concedendo-lhes tempo suficiente para a reconversão e limitando as perdas financeiras pessoais; exige maior proteção face a despedimentos injustos e solicita que seja garantido aos trabalhadores afetados por reestruturações o acesso a compensação adequada, oportunidades de reconversão profissional e apoio para conseguir um novo emprego;</w:t>
      </w:r>
    </w:p>
    <w:p w14:paraId="26BBBF14" w14:textId="307FAD11" w:rsidR="00106A53" w:rsidRPr="009D6A72" w:rsidRDefault="005D6D11" w:rsidP="00106A53">
      <w:pPr>
        <w:pStyle w:val="NormalHanging12a"/>
      </w:pPr>
      <w:r w:rsidRPr="009D6A72">
        <w:t>9</w:t>
      </w:r>
      <w:r w:rsidR="00106A53" w:rsidRPr="009D6A72">
        <w:t>.</w:t>
      </w:r>
      <w:r w:rsidR="00106A53" w:rsidRPr="009D6A72">
        <w:tab/>
        <w:t xml:space="preserve">Salienta que as projeções regionais do Eurostat indicam um declínio contínuo da população em idade ativa em muitos territórios durante as décadas de 2020 e 2030, em </w:t>
      </w:r>
      <w:r w:rsidR="00106A53" w:rsidRPr="009D6A72">
        <w:lastRenderedPageBreak/>
        <w:t>particular nas regiões já afetadas pelo envelhecimento e pela mobilidade geográfica; sublinha que estas tendências são suscetíveis de enfraquecer a oferta de mão de obra e, consequentemente, pôr em causa o desenvolvimento a longo prazo, no preciso momento em que os trabalhadores qualificados são essenciais para as transições ecológica e digital; insiste na importância do «direito de permanência» das pessoas nas suas regiões ou zonas locais e a necessidade de estratégias específicas para as zonas rurais e periféricas; insta a Comissão e os Estados-Membros a apoiarem políticas de base local que criem oportunidades económicas, tanto para as pessoas como para as empresas, nas regiões rurais, atraiam investimento privado e criem empregos locais; frisa que as referidas estratégias são necessárias para reforçar as oportunidades económicas nas zonas rurais, apoiar a criação de emprego de qualidade, a inovação, a renovação industrial local e, em última análise, assegurar que os cidadãos possam construir o seu futuro nas suas comunidades;</w:t>
      </w:r>
    </w:p>
    <w:p w14:paraId="0B9E1931" w14:textId="2D1F32CE" w:rsidR="00106A53" w:rsidRPr="009D6A72" w:rsidRDefault="005D6D11" w:rsidP="00106A53">
      <w:pPr>
        <w:pStyle w:val="NormalHanging12a"/>
      </w:pPr>
      <w:r w:rsidRPr="009D6A72">
        <w:t>10</w:t>
      </w:r>
      <w:r w:rsidR="00106A53" w:rsidRPr="009D6A72">
        <w:t>.</w:t>
      </w:r>
      <w:r w:rsidR="00106A53" w:rsidRPr="009D6A72">
        <w:tab/>
        <w:t xml:space="preserve">Recorda que as PME são os principais geradores de emprego duradouro a nível local; destaca a necessidade de facilitar o acesso ao financiamento da transição, que deve ser simplificado, proporcionado e adaptado às PME, nomeadamente permitindo mecanismos de agrupamento para aceder a fundos e respeitar as obrigações em matéria de comunicação de informações, prevendo balcões digitais únicos e assistência técnica obrigatória para orientar os beneficiários na conceção dos projetos e na conformidade com a regulamentação; exorta os Estados-Membros e as autoridades regionais a elaborarem e reforçarem programas de apoio às empresas nas regiões afetadas, a fim de ajudar as empresas em fase de arranque e as PME a crescer e a prosperar; salienta que os incentivos ao investimento associados a condicionalidades sociais podem ajudar a atrair empresas para regiões vulneráveis e, ao mesmo tempo, assegurar o desenvolvimento sustentável da economia local; frisa a necessidade de ajudar as empresas, em particular as PME, a remediar a escassez de competências na União e a promover a requalificação e a melhoria de competências, ajudando as pessoas a adquirir as competências adequadas para empregos de qualidade; insta a Comissão Europeia a prever, no </w:t>
      </w:r>
      <w:r w:rsidR="00861A70" w:rsidRPr="009D6A72">
        <w:t xml:space="preserve">âmbito </w:t>
      </w:r>
      <w:r w:rsidR="00106A53" w:rsidRPr="009D6A72">
        <w:t>do futuro financiamento da transição, um apoio dedicado às PME; exorta ainda a Comissão Europeia a assegurar que não perde de vista a participação das PME nos programas de transição justa;</w:t>
      </w:r>
    </w:p>
    <w:p w14:paraId="4B3925BF" w14:textId="20ECC335" w:rsidR="00106A53" w:rsidRPr="009D6A72" w:rsidRDefault="005D6D11" w:rsidP="00106A53">
      <w:pPr>
        <w:pStyle w:val="NormalHanging12a"/>
      </w:pPr>
      <w:r w:rsidRPr="009D6A72">
        <w:t>11</w:t>
      </w:r>
      <w:r w:rsidR="00106A53" w:rsidRPr="009D6A72">
        <w:t>.</w:t>
      </w:r>
      <w:r w:rsidR="00106A53" w:rsidRPr="009D6A72">
        <w:tab/>
        <w:t>Salienta que a economia social, em especial as empresas sociais de inserção profissional, desempenham um papel crucial na garantia de transições inclusivas e justas; frisa a necessidade de apoio no acesso ao financiamento, ao reforço das capacidades e à assistência técnica;</w:t>
      </w:r>
    </w:p>
    <w:p w14:paraId="6A69EC06" w14:textId="36098ED6" w:rsidR="00106A53" w:rsidRPr="009D6A72" w:rsidRDefault="005D6D11" w:rsidP="00106A53">
      <w:pPr>
        <w:pStyle w:val="NormalHanging12a"/>
      </w:pPr>
      <w:r w:rsidRPr="009D6A72">
        <w:t>12</w:t>
      </w:r>
      <w:r w:rsidR="00106A53" w:rsidRPr="009D6A72">
        <w:t>.</w:t>
      </w:r>
      <w:r w:rsidR="00106A53" w:rsidRPr="009D6A72">
        <w:tab/>
        <w:t xml:space="preserve">Insta a Comissão e os Estados-Membros a facilitarem investimentos de larga e de pequena escala e a conceberem políticas que desbloqueiem oportunidades económicas para o setor privado, em particular para as PME, reduzindo os encargos administrativos, atenuando os requisitos de cofinanciamento e simplificando o acesso ao financiamento, respeitando simultaneamente os direitos dos trabalhadores e a proteção dos consumidores; sublinha que tais investimentos são essenciais para reforçar a base industrial e tecnológica da Europa, criar empregos de elevada qualidade e assegurar uma mão de obra qualificada e adaptada às realidades, aos recursos e às necessidades específicas a nível local, a fim de aproveitar plenamente o potencial regional e impulsionar a competitividade, o crescimento sustentável e a criação de valor a longo prazo; salienta que os empresários e as pequenas empresas são cruciais para o investimento, a inovação e a criação de emprego, em particular em regiões rurais e menos desenvolvidas, e que as vertentes de financiamento e assistência técnica devem ser adaptadas às suas necessidades de modo a aproveitar plenamente o seu potencial na </w:t>
      </w:r>
      <w:r w:rsidR="00106A53" w:rsidRPr="009D6A72">
        <w:lastRenderedPageBreak/>
        <w:t>economia ecológica e digital e impulsionar o crescimento sustentável e a criação de valor a longo prazo;</w:t>
      </w:r>
    </w:p>
    <w:p w14:paraId="7C9081A3" w14:textId="552BA1F5" w:rsidR="00106A53" w:rsidRPr="009D6A72" w:rsidRDefault="005D6D11" w:rsidP="00106A53">
      <w:pPr>
        <w:pStyle w:val="NormalHanging12a"/>
      </w:pPr>
      <w:r w:rsidRPr="009D6A72">
        <w:t>13</w:t>
      </w:r>
      <w:r w:rsidR="00106A53" w:rsidRPr="009D6A72">
        <w:t>.</w:t>
      </w:r>
      <w:r w:rsidR="00106A53" w:rsidRPr="009D6A72">
        <w:tab/>
        <w:t>Regista a falta de dados desagregados exatos sobre o número de postos de trabalho perdidos, criados ou afetados pela dupla transição; sublinha a importância de prever as alterações no mercado de trabalho e as tendências no que respeita a necessidades em termos de competências para respostas políticas eficazes e atempadas; salienta a necessidade de identificar, partilhar e promover boas práticas; apela à consolidação da recolha de dados pertinentes e à análise do impacto das políticas de transição; salienta que os indicadores de pobreza nos domínios da energia e dos transportes devem ser sistematicamente integrados nas estruturas de acompanhamento da transição justa, a fim de assegurar que as medidas de financiamento e de criação de emprego visem, em primeiro lugar, os agregados familiares vulneráveis;</w:t>
      </w:r>
    </w:p>
    <w:p w14:paraId="4ECA33CA" w14:textId="05F11677" w:rsidR="00106A53" w:rsidRPr="009D6A72" w:rsidRDefault="005D6D11" w:rsidP="00106A53">
      <w:pPr>
        <w:pStyle w:val="NormalHanging12a"/>
      </w:pPr>
      <w:r w:rsidRPr="009D6A72">
        <w:t>14</w:t>
      </w:r>
      <w:r w:rsidR="00106A53" w:rsidRPr="009D6A72">
        <w:t>.</w:t>
      </w:r>
      <w:r w:rsidR="00106A53" w:rsidRPr="009D6A72">
        <w:tab/>
        <w:t>Incentiva programas de renovação a nível comunitário que abranjam bairros ou aldeias, reduzam os custos, reforcem a coesão e acelerem a transição.</w:t>
      </w:r>
    </w:p>
    <w:p w14:paraId="3E31A3AD" w14:textId="0CF77A46" w:rsidR="00106A53" w:rsidRPr="009D6A72" w:rsidRDefault="005D6D11" w:rsidP="00106A53">
      <w:pPr>
        <w:pStyle w:val="NormalHanging12a"/>
      </w:pPr>
      <w:r w:rsidRPr="009D6A72">
        <w:t>15</w:t>
      </w:r>
      <w:r w:rsidR="00106A53" w:rsidRPr="009D6A72">
        <w:t>.</w:t>
      </w:r>
      <w:r w:rsidR="00106A53" w:rsidRPr="009D6A72">
        <w:tab/>
        <w:t xml:space="preserve">Lamenta que a proposta relativa ao Quadro Financeiro Plurianual 2028–2034 não inclua um instrumento autónomo para fazer face à transição justa; salienta que continua a ser necessário um financiamento específico para ajudar as regiões afetadas a enfrentar os desafios decorrentes da transição ecológica; solicita, a este respeito, um Fundo para uma Transição Justa alargado e ampliado para o período de programação pós-2027, assegurando que este funcione de acordo com os princípios da gestão partilhada e da parceria, no </w:t>
      </w:r>
      <w:r w:rsidR="00861A70" w:rsidRPr="009D6A72">
        <w:t xml:space="preserve">âmbito </w:t>
      </w:r>
      <w:r w:rsidR="00106A53" w:rsidRPr="009D6A72">
        <w:t>da política de coesão e com um orçamento reforçado; destaca que o novo fundo deve ajudar os empregadores a garantir o direito dos trabalhadores à formação, bem como a executar os planos de transição a nível empresarial; salienta que a formação deve ser de elevada qualidade, alinhada com as necessidades do mercado de trabalho, e conduzir a qualificações e credenciais validadas através de sistemas transparentes e claros de certificação que permitam o reconhecimento mútuo entre Estados-Membros; solicita que o financiamento da transição inclua condicionalidades sociais para apoiar a inclusão;</w:t>
      </w:r>
    </w:p>
    <w:p w14:paraId="1160EEC7" w14:textId="0D1A74E6" w:rsidR="00106A53" w:rsidRPr="009D6A72" w:rsidRDefault="005D6D11" w:rsidP="00106A53">
      <w:pPr>
        <w:pStyle w:val="NormalHanging12a"/>
      </w:pPr>
      <w:r w:rsidRPr="009D6A72">
        <w:t>16</w:t>
      </w:r>
      <w:r w:rsidR="00106A53" w:rsidRPr="009D6A72">
        <w:t>.</w:t>
      </w:r>
      <w:r w:rsidR="00106A53" w:rsidRPr="009D6A72">
        <w:tab/>
        <w:t>Recorda que, apesar das suas ambições transformadoras, o FTJ se deparou com desafios significativos na consecução dos seus objetivos, em particular na garantia de resultados equitativos e na concessão de acesso ao fundo às pequenas e médias empresas</w:t>
      </w:r>
      <w:r w:rsidR="00106A53" w:rsidRPr="009D6A72">
        <w:rPr>
          <w:rStyle w:val="FootnoteReference"/>
        </w:rPr>
        <w:footnoteReference w:id="22"/>
      </w:r>
      <w:r w:rsidR="00106A53" w:rsidRPr="009D6A72">
        <w:t>; apela a um acesso simplificado das PME ao Fundo para uma Transição Justa, através da prestação de assistência técnica e da redução dos encargos administrativos;</w:t>
      </w:r>
    </w:p>
    <w:p w14:paraId="4EB51458" w14:textId="4B034823" w:rsidR="00106A53" w:rsidRPr="009D6A72" w:rsidRDefault="005D6D11" w:rsidP="00106A53">
      <w:pPr>
        <w:pStyle w:val="NormalHanging12a"/>
      </w:pPr>
      <w:r w:rsidRPr="009D6A72">
        <w:t>17</w:t>
      </w:r>
      <w:r w:rsidR="00106A53" w:rsidRPr="009D6A72">
        <w:t>.</w:t>
      </w:r>
      <w:r w:rsidR="00106A53" w:rsidRPr="009D6A72">
        <w:tab/>
        <w:t>Salienta a importância do desenvolvimento de competências digitais de nível básico e avançado para os trabalhadores; sublinha a necessidade de dotar os cidadãos da literacia digital essencial, da sensibilização para os dados e da utilização segura de ferramentas em linha, a fim de conservar a sua empregabilidade e adaptabilidade, promovendo simultaneamente o desenvolvimento de competências mais avançadas;</w:t>
      </w:r>
    </w:p>
    <w:p w14:paraId="13DA5BD3" w14:textId="57F3437A" w:rsidR="00106A53" w:rsidRPr="009D6A72" w:rsidRDefault="005D6D11" w:rsidP="00106A53">
      <w:pPr>
        <w:pStyle w:val="NormalHanging12a"/>
      </w:pPr>
      <w:r w:rsidRPr="009D6A72">
        <w:t>18</w:t>
      </w:r>
      <w:r w:rsidR="00106A53" w:rsidRPr="009D6A72">
        <w:t>.</w:t>
      </w:r>
      <w:r w:rsidR="00106A53" w:rsidRPr="009D6A72">
        <w:tab/>
        <w:t xml:space="preserve">Frisa que as instituições de ensino e de formação devem reforçar a pertinência das suas formações para as necessidades dos mercados de trabalho concorrenciais e preparar os alunos, formadores e professores com os conhecimentos e as competências necessários </w:t>
      </w:r>
      <w:r w:rsidR="00106A53" w:rsidRPr="009D6A72">
        <w:lastRenderedPageBreak/>
        <w:t>para serem agentes ativos da mudança numa transição justa para economias sustentáveis do ponto de vista ambiental e uma sociedade para todos; salienta que uma formação eficaz depende da disponibilidade de professores e formadores com conhecimentos atuais em matéria de economia sustentável e ecológica, eficiência energética e tecnologias ecológicas e digitais; destaca que o seu papel é fundamental na promoção das competências adequadas, tanto para a geração mais jovem como para a geração mais velha de trabalhadores, bem como na oferta de formação adequada de requalificação e melhoria de competências para as pessoas afetadas pela transição ecológica; realça que a educação e a formação desses professores e formadores devem, por conseguinte, ser uma prioridade absoluta em qualquer estratégia de resposta às competências a nível europeu, nacional, regional e local;</w:t>
      </w:r>
    </w:p>
    <w:p w14:paraId="3B0157B0" w14:textId="2A707437" w:rsidR="00106A53" w:rsidRPr="009D6A72" w:rsidRDefault="005D6D11" w:rsidP="00106A53">
      <w:pPr>
        <w:pStyle w:val="NormalHanging12a"/>
      </w:pPr>
      <w:r w:rsidRPr="009D6A72">
        <w:t>19</w:t>
      </w:r>
      <w:r w:rsidR="00106A53" w:rsidRPr="009D6A72">
        <w:t>.</w:t>
      </w:r>
      <w:r w:rsidR="00106A53" w:rsidRPr="009D6A72">
        <w:tab/>
        <w:t>Salienta que o investimento público e privado direto em infraestruturas limpas, projetos de energias renováveis e atividades da economia circular é necessário para revitalizar as economias locais e contribuir para a criação de emprego de qualidade; sublinha a necessidade de valorizar os ativos regionais, investindo em setores nos quais as regiões já possuam pontos fortes ou vantagens comparativas; considera que a especialização regional pode constituir a base de polos industriais ecológicos; frisa que o apoio à investigação e à inovação e o incentivo à colaboração entre universidades e empresas podem impulsionar novos modelos empresariais sustentáveis;</w:t>
      </w:r>
    </w:p>
    <w:p w14:paraId="3D8DD0F5" w14:textId="3727341A" w:rsidR="00106A53" w:rsidRPr="009D6A72" w:rsidRDefault="005D6D11" w:rsidP="00106A53">
      <w:pPr>
        <w:pStyle w:val="NormalHanging12a"/>
      </w:pPr>
      <w:r w:rsidRPr="009D6A72">
        <w:t>20</w:t>
      </w:r>
      <w:r w:rsidR="00106A53" w:rsidRPr="009D6A72">
        <w:t>.</w:t>
      </w:r>
      <w:r w:rsidR="00106A53" w:rsidRPr="009D6A72">
        <w:tab/>
        <w:t>Destaca que é necessária uma combinação coerente e integrada de políticas para alcançar os objetivos da transição justa; solicita que as medidas climáticas e industriais da UE tenham em conta os objetivos em matéria de inclusão, proteção social e competências; frisa a importância de garantir que os fundos nacionais e europeus sejam utilizados para facilitar a transição ecológica e digital, inclusive promovendo o diálogo social e a negociação coletiva; solicita que o financiamento da UE e os auxílios estatais dos Estados-Membros sejam alinhados com a política industrial europeia, a fim de oferecer empregos de elevada qualidade, promover a negociação coletiva, respeitar os direitos e as normas laborais da UE, melhorar a competitividade das empresas europeias e assegurar melhores condições de trabalho;</w:t>
      </w:r>
    </w:p>
    <w:p w14:paraId="04960E90" w14:textId="7606A647" w:rsidR="00106A53" w:rsidRPr="009D6A72" w:rsidRDefault="005D6D11" w:rsidP="00106A53">
      <w:pPr>
        <w:pStyle w:val="NormalHanging12a"/>
      </w:pPr>
      <w:r w:rsidRPr="009D6A72">
        <w:t>21</w:t>
      </w:r>
      <w:r w:rsidR="00106A53" w:rsidRPr="009D6A72">
        <w:t>.</w:t>
      </w:r>
      <w:r w:rsidR="00106A53" w:rsidRPr="009D6A72">
        <w:tab/>
        <w:t xml:space="preserve">Insta os Estados-Membros a assegurarem financiamento suficiente para programas de competências e formação profissional de qualidade enquanto investimento a longo prazo na produtividade, no crescimento e na competitividade dos trabalhadores e das empresas; exorta os Estados-Membros, com o apoio da Comissão, a mobilizarem estrategicamente os instrumentos existentes da União para a introdução da União de Competências, em particular a Garantia de Competências; solicita aos Estados-Membros que aumentem o recurso às receitas dos sistemas de comércio de licenças de emissão nacionais para formar trabalhadores e </w:t>
      </w:r>
      <w:proofErr w:type="spellStart"/>
      <w:r w:rsidR="00106A53" w:rsidRPr="009D6A72">
        <w:t>reafetar</w:t>
      </w:r>
      <w:proofErr w:type="spellEnd"/>
      <w:r w:rsidR="00106A53" w:rsidRPr="009D6A72">
        <w:t xml:space="preserve"> a mão de obra, em especial em regiões com utilização intensiva de carbono; insta a Comissão a explorar e a emitir orientações sobre a forma como as parcerias público-privadas entre os Estados-Membros e as empresas podem financiar a formação, a requalificação e a melhoria de competências dos trabalhadores, em particular o direito à formação dos trabalhadores individuais;</w:t>
      </w:r>
    </w:p>
    <w:p w14:paraId="0BB96FB3" w14:textId="7825F404" w:rsidR="00106A53" w:rsidRPr="009D6A72" w:rsidRDefault="005D6D11" w:rsidP="00106A53">
      <w:pPr>
        <w:pStyle w:val="NormalHanging12a"/>
      </w:pPr>
      <w:r w:rsidRPr="009D6A72">
        <w:t>22</w:t>
      </w:r>
      <w:r w:rsidR="00106A53" w:rsidRPr="009D6A72">
        <w:t>.</w:t>
      </w:r>
      <w:r w:rsidR="00106A53" w:rsidRPr="009D6A72">
        <w:tab/>
        <w:t>Recorda que importa integrar as questões relativas à deficiência e uma abordagem interseccional que incida sobre os trabalhadores jovens, os trabalhadores mais velhos, os trabalhadores pouco qualificados e as trabalhadoras em todas as medidas políticas que digam respeito à dupla transição, tais como a disponibilização de adaptações razoáveis nos contextos da educação e da formação;</w:t>
      </w:r>
    </w:p>
    <w:p w14:paraId="63FEE125" w14:textId="630F31F7" w:rsidR="00106A53" w:rsidRPr="009D6A72" w:rsidRDefault="005D6D11" w:rsidP="00106A53">
      <w:pPr>
        <w:pStyle w:val="NormalHanging12a"/>
      </w:pPr>
      <w:r w:rsidRPr="009D6A72">
        <w:lastRenderedPageBreak/>
        <w:t>23</w:t>
      </w:r>
      <w:r w:rsidR="00106A53" w:rsidRPr="009D6A72">
        <w:t>.</w:t>
      </w:r>
      <w:r w:rsidR="00106A53" w:rsidRPr="009D6A72">
        <w:tab/>
        <w:t xml:space="preserve">Recorda o papel que o Fundo Europeu de Ajustamento à Globalização a favor dos Trabalhadores Despedidos (FEG) desempenha no apoio a trabalhadores afetados pelas transições ecológica e digital durante o período de programação remanescente e incentiva os Estados-Membros, com o apoio da Comissão, a utilizarem plenamente o Fundo; congratula-se com o objetivo da proposta de revisão do atual FEG de apoiar </w:t>
      </w:r>
      <w:proofErr w:type="spellStart"/>
      <w:r w:rsidR="00106A53" w:rsidRPr="009D6A72">
        <w:t>proativamente</w:t>
      </w:r>
      <w:proofErr w:type="spellEnd"/>
      <w:r w:rsidR="00106A53" w:rsidRPr="009D6A72">
        <w:t xml:space="preserve"> os trabalhadores cujo despedimento esteja iminente e de acelerar o processo de aprovação das candidaturas; salienta, no entanto, a importância de assegurar que as empresas em fase de reestruturação que pretendam candidatar-se ao Fundo o façam em plena consulta com os trabalhadores e os seus representantes, nomeadamente no âmbito da conceção do pacote personalizado de medidas; regista, com preocupação, a supressão do FEG na proposta relativa ao Quadro Financeiro Plurianual 2028–2034; salienta a importância de medidas ativas do mercado de trabalho e de proteção social para a reintegração dos trabalhadores despedidos no mercado de trabalho na sequência de importantes processos de reestruturação; insta a Comissão a prever, no próximo QFP, a continuidade do apoio específico aos trabalhadores despedidos ou em perigo de serem despedidos em consequência de um processo de reestruturação de grande envergadura;</w:t>
      </w:r>
    </w:p>
    <w:p w14:paraId="44102E58" w14:textId="58FCBBF4" w:rsidR="00106A53" w:rsidRPr="009D6A72" w:rsidRDefault="005D6D11" w:rsidP="00106A53">
      <w:pPr>
        <w:pStyle w:val="NormalHanging12a"/>
      </w:pPr>
      <w:r w:rsidRPr="009D6A72">
        <w:t>24</w:t>
      </w:r>
      <w:r w:rsidR="00106A53" w:rsidRPr="009D6A72">
        <w:t>.</w:t>
      </w:r>
      <w:r w:rsidR="00106A53" w:rsidRPr="009D6A72">
        <w:tab/>
        <w:t xml:space="preserve">Recorda a importância de garantir um elevado nível de saúde e segurança no trabalho; insiste na importância de, no contexto da dupla transição, prevenir de forma pró-ativa os riscos em matéria de segurança e saúde no trabalho, que vão evoluindo com as tarefas, os padrões e os locais de trabalho, em especial os riscos ambientais e psicossociais; insta a Comissão a proceder a uma revisão exaustiva do atual quadro estratégico em matéria de segurança e saúde no trabalho e do </w:t>
      </w:r>
      <w:r w:rsidR="00861A70" w:rsidRPr="009D6A72">
        <w:t>regime jurídico</w:t>
      </w:r>
      <w:r w:rsidR="00106A53" w:rsidRPr="009D6A72">
        <w:t xml:space="preserve"> em vigor neste domínio, a fim de identificar as lacunas remanescentes e garantir que o acervo da UE continue adequado à sua finalidade, bem como contribuir para a conceção do quadro estratégico pós-2027;</w:t>
      </w:r>
    </w:p>
    <w:p w14:paraId="3BCEC102" w14:textId="72C356B4" w:rsidR="00106A53" w:rsidRPr="009D6A72" w:rsidRDefault="005D6D11" w:rsidP="00106A53">
      <w:pPr>
        <w:pStyle w:val="NormalHanging12a"/>
      </w:pPr>
      <w:r w:rsidRPr="009D6A72">
        <w:t>25</w:t>
      </w:r>
      <w:r w:rsidR="00106A53" w:rsidRPr="009D6A72">
        <w:t>.</w:t>
      </w:r>
      <w:r w:rsidR="00106A53" w:rsidRPr="009D6A72">
        <w:tab/>
        <w:t>Frisa que as transformações e reestruturações no local de trabalho durante a dupla transição podem provocar riscos psicossociais, como o stress, a incerteza e a ameaça de perda de emprego; realça a necessidade de proteger a saúde mental e o bem-estar psicossocial dos trabalhadores durante as transições, inclusive através de avaliações dos riscos no local de trabalho e de serviços de apoio; solicita que os programas de apoio à saúde mental, incluindo o aconselhamento, a gestão do stress e os regimes de conciliação entre a vida profissional e a vida familiar sejam integrados nos planos de transição a nível das empresas.</w:t>
      </w:r>
    </w:p>
    <w:p w14:paraId="05CF37CE" w14:textId="4AE23A24" w:rsidR="00106A53" w:rsidRPr="009D6A72" w:rsidRDefault="005D6D11" w:rsidP="00106A53">
      <w:pPr>
        <w:pStyle w:val="NormalHanging12a"/>
      </w:pPr>
      <w:r w:rsidRPr="009D6A72">
        <w:t>26</w:t>
      </w:r>
      <w:r w:rsidR="00106A53" w:rsidRPr="009D6A72">
        <w:t>.</w:t>
      </w:r>
      <w:r w:rsidR="00106A53" w:rsidRPr="009D6A72">
        <w:tab/>
        <w:t>Salienta a importância de apoiar os trabalhadores no reforço das suas competências transformadoras, essenciais e cognitivas, como o pensamento criativo e crítico, a prospetiva, a resiliência, a flexibilidade e a agilidade, a motivação e a autoconsciência, a curiosidade e a aprendizagem ao longo da vida, em reconhecimento da importância da capacidade dos trabalhadores para se adaptarem a locais de trabalho perturbados, demonstrarem eficácia a nível pessoal e criarem as novas soluções que as transformações ecológica e digital exigem;</w:t>
      </w:r>
    </w:p>
    <w:p w14:paraId="799C97A6" w14:textId="63DD4F91" w:rsidR="00106A53" w:rsidRPr="009D6A72" w:rsidRDefault="005D6D11" w:rsidP="00106A53">
      <w:pPr>
        <w:pStyle w:val="NormalHanging12a"/>
      </w:pPr>
      <w:r w:rsidRPr="009D6A72">
        <w:t>27</w:t>
      </w:r>
      <w:r w:rsidR="00106A53" w:rsidRPr="009D6A72">
        <w:t>.</w:t>
      </w:r>
      <w:r w:rsidR="00106A53" w:rsidRPr="009D6A72">
        <w:tab/>
        <w:t xml:space="preserve">Congratula-se com a nota informativa do </w:t>
      </w:r>
      <w:proofErr w:type="spellStart"/>
      <w:r w:rsidR="00106A53" w:rsidRPr="009D6A72">
        <w:t>Cedefop</w:t>
      </w:r>
      <w:proofErr w:type="spellEnd"/>
      <w:r w:rsidR="00106A53" w:rsidRPr="009D6A72">
        <w:t xml:space="preserve"> sobre a elaboração de um mapa europeu de qualificações, que reforça a transparência, a comparabilidade e a portabilidade das qualificações em toda a Europa; salienta que o referido mapa deve ir além de um exercício académico e servir de instrumento prático em prol da competitividade, da pertinência face no mercado de trabalho e da mobilidade; insta a Comissão e os Estados-Membros a assegurarem que o </w:t>
      </w:r>
      <w:r w:rsidR="00585748" w:rsidRPr="009D6A72">
        <w:t xml:space="preserve">regime </w:t>
      </w:r>
      <w:r w:rsidR="00106A53" w:rsidRPr="009D6A72">
        <w:t xml:space="preserve">europeu de qualificações seja estreitamente associado às necessidades económicas, à política industrial e ao </w:t>
      </w:r>
      <w:r w:rsidR="00106A53" w:rsidRPr="009D6A72">
        <w:lastRenderedPageBreak/>
        <w:t>investimento nas competências, instando-os ainda a mapearem detalhada e sistematicamente as lacunas em termos de competências a nível regional, bem como a preverem a procura futura de competências; sublinha que o referido levantamento deve incluir uma análise de impacto e resultar em medidas setoriais e territoriais para aproveitar o potencial da transição ecológica em todas as regiões;</w:t>
      </w:r>
    </w:p>
    <w:p w14:paraId="0772B5E4" w14:textId="3C425B5F" w:rsidR="00106A53" w:rsidRPr="009D6A72" w:rsidRDefault="005D6D11" w:rsidP="00106A53">
      <w:pPr>
        <w:pStyle w:val="NormalHanging12a"/>
      </w:pPr>
      <w:r w:rsidRPr="009D6A72">
        <w:t>28</w:t>
      </w:r>
      <w:r w:rsidR="00106A53" w:rsidRPr="009D6A72">
        <w:t>.</w:t>
      </w:r>
      <w:r w:rsidR="00106A53" w:rsidRPr="009D6A72">
        <w:tab/>
        <w:t>Realça que é essencial dispor de redes de segurança social e sistemas de proteção social fortes para apoiar os trabalhadores e assegurar a coesão social durante os períodos de transição; exorta os Estados-Membros, em consulta com os parceiros sociais e as organizações pertinentes da sociedade civil, a modernizarem e reforçarem os seus sistemas de proteção social e serviços públicos essenciais, assegurando simultaneamente a sua sustentabilidade a longo prazo e sem agravar os encargos financeiros das PME, com especial ênfase nos cuidados de saúde, nos transportes, na educação, nas políticas de inclusão social, no apoio ao rendimento e na habitação a preços acessíveis, bem como a apoiarem os prestadores de serviços sociais sem fins lucrativos, a fim de assegurar a resiliência contra choques resultantes da dupla transição com impacto no mercado de trabalho, e a garantirem que os trabalhadores afetados pela perda de emprego possam manter o seu nível de vida, tanto quanto possível;</w:t>
      </w:r>
    </w:p>
    <w:p w14:paraId="56B8A599" w14:textId="58B8225A" w:rsidR="00106A53" w:rsidRPr="009D6A72" w:rsidRDefault="005D6D11" w:rsidP="00106A53">
      <w:pPr>
        <w:pStyle w:val="NormalHanging12a"/>
      </w:pPr>
      <w:r w:rsidRPr="009D6A72">
        <w:t>29</w:t>
      </w:r>
      <w:r w:rsidR="00106A53" w:rsidRPr="009D6A72">
        <w:t>.</w:t>
      </w:r>
      <w:r w:rsidR="00106A53" w:rsidRPr="009D6A72">
        <w:tab/>
        <w:t>Exorta os Estados-Membros a aplicarem plenamente a Recomendação do Conselho relativa à proteção social dos trabalhadores por conta de outrem e por conta própria; insta a Comissão a acompanhar os riscos e os progressos no sentido de tais ações através do painel de indicadores sociais e do Quadro de Convergência Social; salienta a importância de assegurar que as ofertas dos serviços públicos de emprego nacionais sejam pertinentes para a evolução do mercado de trabalho, a fim de assegurar o apoio e facilitar a mudança de emprego devido às transições;</w:t>
      </w:r>
    </w:p>
    <w:p w14:paraId="04B5BA26" w14:textId="2B0AC48B" w:rsidR="00106A53" w:rsidRPr="009D6A72" w:rsidRDefault="005D6D11" w:rsidP="00106A53">
      <w:pPr>
        <w:pStyle w:val="NormalHanging12a"/>
      </w:pPr>
      <w:r w:rsidRPr="009D6A72">
        <w:t>30</w:t>
      </w:r>
      <w:r w:rsidR="00106A53" w:rsidRPr="009D6A72">
        <w:t>.</w:t>
      </w:r>
      <w:r w:rsidR="00106A53" w:rsidRPr="009D6A72">
        <w:tab/>
        <w:t>Salienta a importância de políticas específicas para apoiar as pessoas mais afetadas pela dupla transição e, em particular, as que se encontram em situações de vulnerabilidade; sublinha que é necessário um apoio ativo e intervenções precoces para evitar que as pessoas em situações de vulnerabilidade passem por longos períodos de desemprego ou se tornem trabalhadores desmotivados; insta os Estados-Membros a aumentarem significativamente o apoio ativo ao emprego de qualidade, em particular apoiando o acesso a empregos de qualidade e a preservação dos mesmos, promovendo o empreendedorismo e estimulando a criação de empregos de qualidade; destaca o papel dos programas de inserção no trabalho, dos contratos públicos específicos e das obras públicas locais na criação de empregos de transição; frisa a necessidade de reforçar as capacidades dos órgãos de poder local e regional para mobilizar com êxito o investimento, colaborar com grupos-alvo no desenvolvimento e na introdução de regimes de apoio social e medir os efeitos distributivos;</w:t>
      </w:r>
    </w:p>
    <w:p w14:paraId="4AB2F5EE" w14:textId="5722C6E9" w:rsidR="00106A53" w:rsidRPr="009D6A72" w:rsidRDefault="005D6D11" w:rsidP="00106A53">
      <w:pPr>
        <w:pStyle w:val="NormalHanging12a"/>
      </w:pPr>
      <w:r w:rsidRPr="009D6A72">
        <w:t>31</w:t>
      </w:r>
      <w:r w:rsidR="00106A53" w:rsidRPr="009D6A72">
        <w:t>.</w:t>
      </w:r>
      <w:r w:rsidR="00106A53" w:rsidRPr="009D6A72">
        <w:tab/>
        <w:t>Sublinha a necessidade de apoiar os regimes de tempo de trabalho reduzido e a importância de um apoio específico aos trabalhadores afetados pelas transições, com base na experiência positiva do SURE; insta a Comissão a propor um mecanismo SURE reforçado específico para as transições ecológica e digital, uma vez que o apoio a tais medidas temporárias de proteção do emprego em tempos de crise pode estabilizar a despesa pública dedicada às políticas de emprego e às medidas de transição justa de modo a atenuar os impactos imediatos no emprego da transformação necessária da economia da UE em consonância com os objetivos da transição justa;</w:t>
      </w:r>
    </w:p>
    <w:p w14:paraId="4E919928" w14:textId="6C35BE3F" w:rsidR="00106A53" w:rsidRPr="009D6A72" w:rsidRDefault="005D6D11" w:rsidP="00106A53">
      <w:pPr>
        <w:pStyle w:val="NormalHanging12a"/>
      </w:pPr>
      <w:r w:rsidRPr="009D6A72">
        <w:t>32</w:t>
      </w:r>
      <w:r w:rsidR="00106A53" w:rsidRPr="009D6A72">
        <w:t>.</w:t>
      </w:r>
      <w:r w:rsidR="00106A53" w:rsidRPr="009D6A72">
        <w:tab/>
        <w:t xml:space="preserve">Destaca que o impacto no emprego variará consoante as regiões e as populações; frisa, a este respeito, a necessidade de envolver e capacitar os cidadãos e as partes interessadas </w:t>
      </w:r>
      <w:r w:rsidR="00106A53" w:rsidRPr="009D6A72">
        <w:lastRenderedPageBreak/>
        <w:t>locais, incluindo as organizações pertinentes da sociedade civil, para que sejam intervenientes ativos na transição; salienta que os órgãos de poder local e regional devem participar diretamente na conceção, na seleção e no acompanhamento dos projetos, a fim de assegurar que o financiamento dê resposta às necessidades locais específicas e apoie a diversificação das economias regionais; realça que as autoridades públicas devem participar na consulta estratégica e na cooperação com os parceiros sociais durante a gestão da transição; salienta que pode ser assegurada uma participação significativa através de consultas em fase inicial e de mandatos e direitos de voto claros para os parceiros sociais, as PME, a sociedade civil, a economia social e os jovens nos organismos de coordenação regional;</w:t>
      </w:r>
    </w:p>
    <w:p w14:paraId="42AD6A60" w14:textId="64D05C6A" w:rsidR="00106A53" w:rsidRPr="009D6A72" w:rsidRDefault="005D6D11" w:rsidP="00106A53">
      <w:pPr>
        <w:pStyle w:val="NormalHanging12a"/>
      </w:pPr>
      <w:r w:rsidRPr="009D6A72">
        <w:t>33</w:t>
      </w:r>
      <w:r w:rsidR="00106A53" w:rsidRPr="009D6A72">
        <w:t>.</w:t>
      </w:r>
      <w:r w:rsidR="00106A53" w:rsidRPr="009D6A72">
        <w:tab/>
        <w:t xml:space="preserve">Sublinha que a negociação coletiva é fundamental para salários justos, a justiça social e a democracia no trabalho, mas que a cobertura continua a ser desigual; recorda a obrigação de os Estados-Membros com uma cobertura da negociação coletiva inferior a 80 % </w:t>
      </w:r>
      <w:r w:rsidR="00585748" w:rsidRPr="009D6A72">
        <w:t xml:space="preserve">criarem </w:t>
      </w:r>
      <w:r w:rsidR="00106A53" w:rsidRPr="009D6A72">
        <w:t xml:space="preserve">planos nacionais de ação com prazos claros e medidas específicas para aumentar a cobertura; exorta a Comissão a </w:t>
      </w:r>
      <w:r w:rsidR="00585748" w:rsidRPr="009D6A72">
        <w:t xml:space="preserve">apresentar </w:t>
      </w:r>
      <w:r w:rsidR="00106A53" w:rsidRPr="009D6A72">
        <w:t>orientações e apoio aos Estados-Membros para reforçar os sistemas de negociação, em particular a nível setorial, com a plena participação dos parceiros sociais; salienta que a UE e os Estados-Membros devem apoiar o financiamento do reforço das capacidades dos parceiros sociais, em particular a nível regional, no âmbito da aplicação da recomendação do Conselho que visa assegurar uma transição justa para a neutralidade climática, para participar no diálogo social estruturado e na negociação coletiva relativos aos planos de transição a nível das empresas;</w:t>
      </w:r>
    </w:p>
    <w:p w14:paraId="739F03D6" w14:textId="3F6568C1" w:rsidR="00106A53" w:rsidRPr="009D6A72" w:rsidRDefault="005D6D11" w:rsidP="00106A53">
      <w:pPr>
        <w:pStyle w:val="NormalHanging12a"/>
      </w:pPr>
      <w:r w:rsidRPr="009D6A72">
        <w:t>34</w:t>
      </w:r>
      <w:r w:rsidR="00106A53" w:rsidRPr="009D6A72">
        <w:t>.</w:t>
      </w:r>
      <w:r w:rsidR="00106A53" w:rsidRPr="009D6A72">
        <w:tab/>
        <w:t>Entende que as incidências financeiras da proposta requerida devem ser cobertas por dotações orçamentais existentes;</w:t>
      </w:r>
    </w:p>
    <w:p w14:paraId="05D50804" w14:textId="30709A51" w:rsidR="00E365E1" w:rsidRPr="009D6A72" w:rsidRDefault="005D6D11" w:rsidP="00C66393">
      <w:pPr>
        <w:pStyle w:val="NormalHanging12a"/>
      </w:pPr>
      <w:r w:rsidRPr="009D6A72">
        <w:t>35</w:t>
      </w:r>
      <w:r w:rsidR="00106A53" w:rsidRPr="009D6A72">
        <w:t>.</w:t>
      </w:r>
      <w:r w:rsidR="00106A53" w:rsidRPr="009D6A72">
        <w:tab/>
        <w:t xml:space="preserve">Encarrega a sua Presidente de transmitir a presente resolução e as recomendações que figuram em anexo à Comissão e ao Conselho. </w:t>
      </w:r>
    </w:p>
    <w:p w14:paraId="496C0402" w14:textId="77777777" w:rsidR="00C66393" w:rsidRPr="009D6A72" w:rsidRDefault="00C66393" w:rsidP="00C66393">
      <w:pPr>
        <w:pStyle w:val="NormalHanging12a"/>
        <w:sectPr w:rsidR="00C66393" w:rsidRPr="009D6A72" w:rsidSect="0050170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FE298B1" w14:textId="386D4E30" w:rsidR="00C66393" w:rsidRPr="009D6A72" w:rsidRDefault="00C66393" w:rsidP="00C66393">
      <w:pPr>
        <w:pStyle w:val="PageHeading"/>
      </w:pPr>
      <w:bookmarkStart w:id="8" w:name="_Toc218775460"/>
      <w:r w:rsidRPr="009D6A72">
        <w:lastRenderedPageBreak/>
        <w:t>ANEXO À RESOLUÇÃO:</w:t>
      </w:r>
      <w:r w:rsidRPr="009D6A72">
        <w:br/>
        <w:t>RECOMENDAÇÕES QUANTO AO CONTEÚDO DA PROPOSTA REQUERIDA</w:t>
      </w:r>
      <w:bookmarkEnd w:id="8"/>
    </w:p>
    <w:p w14:paraId="4308A195" w14:textId="77777777" w:rsidR="00C66393" w:rsidRPr="009D6A72" w:rsidRDefault="00C66393" w:rsidP="00C66393">
      <w:pPr>
        <w:pStyle w:val="NormalHanging12a"/>
        <w:jc w:val="center"/>
        <w:rPr>
          <w:b/>
        </w:rPr>
      </w:pPr>
      <w:r w:rsidRPr="009D6A72">
        <w:rPr>
          <w:b/>
        </w:rPr>
        <w:t>Uma diretiva europeia relativa a uma transição justa no mundo do trabalho: garantir a criação de emprego e revitalizar as economias locais</w:t>
      </w:r>
    </w:p>
    <w:p w14:paraId="3D2B9E75" w14:textId="6ADCE5F9" w:rsidR="00C66393" w:rsidRPr="009D6A72" w:rsidRDefault="00C66393" w:rsidP="00C66393">
      <w:pPr>
        <w:pStyle w:val="NormalHanging12a"/>
        <w:ind w:left="0" w:firstLine="0"/>
      </w:pPr>
      <w:r w:rsidRPr="009D6A72">
        <w:t>O Parlamento Europeu considera que a Comissão deve prever os seguintes princípios e objetivos:</w:t>
      </w:r>
    </w:p>
    <w:p w14:paraId="4D6AB35D" w14:textId="77777777" w:rsidR="00C66393" w:rsidRPr="009D6A72" w:rsidRDefault="00C66393" w:rsidP="00C66393">
      <w:pPr>
        <w:pStyle w:val="NormalHanging12a"/>
        <w:ind w:left="720" w:hanging="720"/>
        <w:rPr>
          <w:i/>
          <w:szCs w:val="24"/>
        </w:rPr>
      </w:pPr>
      <w:r w:rsidRPr="009D6A72">
        <w:rPr>
          <w:b/>
          <w:i/>
        </w:rPr>
        <w:t>Recomendação 1: Objetivo geral da proposta</w:t>
      </w:r>
    </w:p>
    <w:p w14:paraId="116FCDDB" w14:textId="1CB383E0" w:rsidR="00C66393" w:rsidRPr="009D6A72" w:rsidRDefault="00C66393" w:rsidP="00C66393">
      <w:pPr>
        <w:pStyle w:val="NormalHanging12a"/>
        <w:ind w:left="0" w:firstLine="0"/>
      </w:pPr>
      <w:r w:rsidRPr="009D6A72">
        <w:t xml:space="preserve">O objetivo geral da proposta </w:t>
      </w:r>
      <w:r w:rsidR="00585748" w:rsidRPr="009D6A72">
        <w:t xml:space="preserve">consiste em criar </w:t>
      </w:r>
      <w:r w:rsidRPr="009D6A72">
        <w:t xml:space="preserve">um </w:t>
      </w:r>
      <w:r w:rsidR="00585748" w:rsidRPr="009D6A72">
        <w:t xml:space="preserve">regime </w:t>
      </w:r>
      <w:r w:rsidRPr="009D6A72">
        <w:t>da União de medidas políticas que possam ser aplicadas nas regiões afetadas pela transição ecológica e digital com o intuito de assegurar uma transição socialmente justa e inclusiva e a criação e proteção de empregos de qualidade.</w:t>
      </w:r>
    </w:p>
    <w:p w14:paraId="09390096" w14:textId="77777777" w:rsidR="00C66393" w:rsidRPr="009D6A72" w:rsidRDefault="00C66393" w:rsidP="00C66393">
      <w:pPr>
        <w:pStyle w:val="NormalHanging12a"/>
        <w:ind w:left="720" w:hanging="720"/>
        <w:rPr>
          <w:i/>
          <w:szCs w:val="24"/>
        </w:rPr>
      </w:pPr>
      <w:r w:rsidRPr="009D6A72">
        <w:rPr>
          <w:b/>
          <w:i/>
        </w:rPr>
        <w:t>Recomendação 2: Forma da proposta</w:t>
      </w:r>
    </w:p>
    <w:p w14:paraId="0231B73A" w14:textId="77777777" w:rsidR="00C66393" w:rsidRPr="009D6A72" w:rsidRDefault="00C66393" w:rsidP="00C66393">
      <w:pPr>
        <w:rPr>
          <w:i/>
          <w:szCs w:val="24"/>
        </w:rPr>
      </w:pPr>
      <w:r w:rsidRPr="009D6A72">
        <w:t>Dada a necessidade de um pacote abrangente de medidas necessárias para alcançar este objetivo, a proposta deve incluir elementos nos seguintes domínios:</w:t>
      </w:r>
    </w:p>
    <w:p w14:paraId="484EE0BF" w14:textId="77777777" w:rsidR="00C66393" w:rsidRPr="009D6A72" w:rsidRDefault="00C66393" w:rsidP="00C66393">
      <w:pPr>
        <w:ind w:left="851" w:hanging="425"/>
      </w:pPr>
      <w:r w:rsidRPr="009D6A72">
        <w:t>(a)</w:t>
      </w:r>
      <w:r w:rsidRPr="009D6A72">
        <w:tab/>
        <w:t>Condições de trabalho;</w:t>
      </w:r>
    </w:p>
    <w:p w14:paraId="1510CD78" w14:textId="77777777" w:rsidR="00C66393" w:rsidRPr="009D6A72" w:rsidRDefault="00C66393" w:rsidP="00C66393">
      <w:pPr>
        <w:ind w:left="851" w:hanging="425"/>
      </w:pPr>
      <w:r w:rsidRPr="009D6A72">
        <w:t>(b)</w:t>
      </w:r>
      <w:r w:rsidRPr="009D6A72">
        <w:tab/>
        <w:t>Integração das pessoas excluídas do mercado de trabalho;</w:t>
      </w:r>
    </w:p>
    <w:p w14:paraId="40A7230D" w14:textId="77777777" w:rsidR="00C66393" w:rsidRPr="009D6A72" w:rsidRDefault="00C66393" w:rsidP="00C66393">
      <w:pPr>
        <w:ind w:left="851" w:hanging="425"/>
      </w:pPr>
      <w:r w:rsidRPr="009D6A72">
        <w:t>(c)</w:t>
      </w:r>
      <w:r w:rsidRPr="009D6A72">
        <w:tab/>
        <w:t>Informação e consulta dos trabalhadores;</w:t>
      </w:r>
    </w:p>
    <w:p w14:paraId="66F874E0" w14:textId="77777777" w:rsidR="00C66393" w:rsidRPr="009D6A72" w:rsidRDefault="00C66393" w:rsidP="00C66393">
      <w:pPr>
        <w:pStyle w:val="NormalHanging12a"/>
        <w:ind w:left="851" w:hanging="425"/>
        <w:rPr>
          <w:szCs w:val="24"/>
        </w:rPr>
      </w:pPr>
      <w:r w:rsidRPr="009D6A72">
        <w:t>(d)</w:t>
      </w:r>
      <w:r w:rsidRPr="009D6A72">
        <w:tab/>
        <w:t xml:space="preserve">Melhoria do ambiente de trabalho, a fim de proteger a saúde e a segurança dos trabalhadores. </w:t>
      </w:r>
    </w:p>
    <w:p w14:paraId="64A89655" w14:textId="77777777" w:rsidR="00C66393" w:rsidRPr="009D6A72" w:rsidRDefault="00C66393" w:rsidP="00C66393">
      <w:pPr>
        <w:pStyle w:val="NormalHanging12a"/>
        <w:ind w:left="720" w:hanging="720"/>
        <w:rPr>
          <w:i/>
          <w:szCs w:val="24"/>
        </w:rPr>
      </w:pPr>
      <w:r w:rsidRPr="009D6A72">
        <w:rPr>
          <w:b/>
          <w:i/>
        </w:rPr>
        <w:t>Recomendação 3: Objeto da proposta</w:t>
      </w:r>
    </w:p>
    <w:p w14:paraId="329C165E" w14:textId="77777777" w:rsidR="00C66393" w:rsidRPr="009D6A72" w:rsidRDefault="00C66393" w:rsidP="00C66393">
      <w:r w:rsidRPr="009D6A72">
        <w:t>A proposta deve centrar-se nas seguintes medidas políticas:</w:t>
      </w:r>
    </w:p>
    <w:p w14:paraId="2912E5AC" w14:textId="2DD6F9E6" w:rsidR="00C66393" w:rsidRPr="009D6A72" w:rsidRDefault="00C66393" w:rsidP="00C66393">
      <w:r w:rsidRPr="009D6A72">
        <w:t>(a)</w:t>
      </w:r>
      <w:r w:rsidRPr="009D6A72">
        <w:tab/>
      </w:r>
      <w:r w:rsidR="00585748" w:rsidRPr="009D6A72">
        <w:t>Prever um regime</w:t>
      </w:r>
      <w:r w:rsidRPr="009D6A72">
        <w:t xml:space="preserve"> específico para antecipar e gerir a mudança nas regiões e nos setores confrontados com as transições, com base nos princípios da informação e da consulta obrigatória e atempada dos trabalhadores e dos seus representantes, do diálogo social e da negociação coletiva;</w:t>
      </w:r>
    </w:p>
    <w:p w14:paraId="5501C2F0" w14:textId="2B3DB802" w:rsidR="00C66393" w:rsidRPr="009D6A72" w:rsidRDefault="00C66393" w:rsidP="00C66393">
      <w:r w:rsidRPr="009D6A72">
        <w:t>(b)</w:t>
      </w:r>
      <w:r w:rsidRPr="009D6A72">
        <w:tab/>
        <w:t xml:space="preserve">Assegurar, no contexto das transições, a aplicação efetiva do direito dos trabalhadores e dos seus representantes à informação e à consulta, conforme </w:t>
      </w:r>
      <w:r w:rsidR="00585748" w:rsidRPr="009D6A72">
        <w:t xml:space="preserve">previsto </w:t>
      </w:r>
      <w:r w:rsidRPr="009D6A72">
        <w:t>na Diretiva 2002/14/CE e nas disposições nacionais;</w:t>
      </w:r>
    </w:p>
    <w:p w14:paraId="3FA047A8" w14:textId="77777777" w:rsidR="00C66393" w:rsidRPr="009D6A72" w:rsidRDefault="00C66393" w:rsidP="00C66393">
      <w:r w:rsidRPr="009D6A72">
        <w:t>(c)</w:t>
      </w:r>
      <w:r w:rsidRPr="009D6A72">
        <w:tab/>
        <w:t>Conceder aos trabalhadores o direito individual à formação durante o horário de trabalho;</w:t>
      </w:r>
    </w:p>
    <w:p w14:paraId="02E9C30A" w14:textId="77777777" w:rsidR="00C66393" w:rsidRPr="009D6A72" w:rsidRDefault="00C66393" w:rsidP="00C66393">
      <w:r w:rsidRPr="009D6A72">
        <w:t>(d)</w:t>
      </w:r>
      <w:r w:rsidRPr="009D6A72">
        <w:tab/>
        <w:t>Adotar estratégias nacionais de transição justa que coloquem a ênfase na conceção de uma visão a longo prazo para as economias e a mão de obra a nível local em todas as regiões e em todos os setores afetados, elaboradas e executadas com a verdadeira participação dos parceiros sociais e dos agentes locais;</w:t>
      </w:r>
    </w:p>
    <w:p w14:paraId="5CEC034A" w14:textId="77777777" w:rsidR="00C66393" w:rsidRPr="009D6A72" w:rsidRDefault="00C66393" w:rsidP="00C66393">
      <w:r w:rsidRPr="009D6A72">
        <w:t>(e)</w:t>
      </w:r>
      <w:r w:rsidRPr="009D6A72">
        <w:tab/>
        <w:t>Elaborar programas de apoio às empresas, mormente as PME e os agentes locais, a fim de incentivar a criação de emprego a nível local;</w:t>
      </w:r>
    </w:p>
    <w:p w14:paraId="6547119D" w14:textId="77777777" w:rsidR="00C66393" w:rsidRPr="009D6A72" w:rsidRDefault="00C66393" w:rsidP="00C66393">
      <w:r w:rsidRPr="009D6A72">
        <w:t>(f)</w:t>
      </w:r>
      <w:r w:rsidRPr="009D6A72">
        <w:tab/>
        <w:t>Assegurar a correspondência entre a oferta e a procura de mão de obra e de competências através do recurso combinado a informações sobre o mercado de trabalho, do reforço da colaboração dos agentes locais e dos parceiros sociais com os prestadores de formação e do incentivo à elaboração de planos de transição a nível das empresas;</w:t>
      </w:r>
    </w:p>
    <w:p w14:paraId="727B9BCF" w14:textId="77777777" w:rsidR="00C66393" w:rsidRPr="009D6A72" w:rsidRDefault="00C66393" w:rsidP="00C66393">
      <w:r w:rsidRPr="009D6A72">
        <w:t>(g)</w:t>
      </w:r>
      <w:r w:rsidRPr="009D6A72">
        <w:tab/>
        <w:t>Criar uma estrutura de acompanhamento para realizar uma prospetiva estratégica sobre as repercussões da transição e a evolução do mercado de trabalho.</w:t>
      </w:r>
    </w:p>
    <w:p w14:paraId="49DE4169" w14:textId="77777777" w:rsidR="00C66393" w:rsidRPr="009D6A72" w:rsidRDefault="00C66393" w:rsidP="009D6A72">
      <w:pPr>
        <w:pStyle w:val="NormalHanging12a"/>
        <w:spacing w:before="240"/>
        <w:ind w:left="720" w:hanging="720"/>
        <w:rPr>
          <w:i/>
          <w:szCs w:val="24"/>
        </w:rPr>
      </w:pPr>
      <w:r w:rsidRPr="009D6A72">
        <w:rPr>
          <w:b/>
          <w:i/>
        </w:rPr>
        <w:t>Recomendação 4: Aplicação e execução</w:t>
      </w:r>
    </w:p>
    <w:p w14:paraId="6E8046B0" w14:textId="2DD912EF" w:rsidR="00C66393" w:rsidRPr="009D6A72" w:rsidRDefault="00571A6B" w:rsidP="00C66393">
      <w:pPr>
        <w:pStyle w:val="NormalHanging12a"/>
        <w:ind w:left="0" w:firstLine="0"/>
        <w:rPr>
          <w:bCs/>
          <w:iCs/>
          <w:szCs w:val="24"/>
        </w:rPr>
      </w:pPr>
      <w:r>
        <w:lastRenderedPageBreak/>
        <w:t>1</w:t>
      </w:r>
      <w:r w:rsidR="00C66393" w:rsidRPr="009D6A72">
        <w:t>.</w:t>
      </w:r>
      <w:r w:rsidR="00C66393" w:rsidRPr="009D6A72">
        <w:tab/>
        <w:t>A proposta deve respeitar a prerrogativa dos Estados-Membros de aplicarem ou introduzirem disposições legislativas, regulamentares ou administrativas mais favoráveis aos trabalhadores ou de fomentarem ou permitirem a aplicação de convenções coletivas que sejam mais favoráveis aos trabalhadores e não deve constituir um motivo válido para reduzir o nível global de proteção já concedido aos trabalhadores nos Estados-Membros.</w:t>
      </w:r>
    </w:p>
    <w:p w14:paraId="4A24BD35" w14:textId="50C98596" w:rsidR="00C66393" w:rsidRPr="009D6A72" w:rsidRDefault="00571A6B" w:rsidP="00C66393">
      <w:r>
        <w:t>2</w:t>
      </w:r>
      <w:r w:rsidR="00C66393" w:rsidRPr="009D6A72">
        <w:t>.</w:t>
      </w:r>
      <w:r w:rsidR="00C66393" w:rsidRPr="009D6A72">
        <w:tab/>
        <w:t>A proposta deve respeitar a autonomia dos parceiros sociais, incluindo o direito de negociar e celebrar convenções coletivas, e deve permitir que a sua aplicação lhes seja confiada, mediante pedido conjunto, desde que o sistema nacional possa, em qualquer momento, garantir os resultados pretendidos no âmbito da proposta.</w:t>
      </w:r>
    </w:p>
    <w:p w14:paraId="70978B9C" w14:textId="77777777" w:rsidR="00C66393" w:rsidRPr="009D6A72" w:rsidRDefault="00C66393" w:rsidP="00C66393">
      <w:pPr>
        <w:pStyle w:val="NormalHanging12a"/>
      </w:pPr>
    </w:p>
    <w:sectPr w:rsidR="00C66393" w:rsidRPr="009D6A72" w:rsidSect="0050170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6BD88" w14:textId="77777777" w:rsidR="00F659EF" w:rsidRPr="00501702" w:rsidRDefault="00F659EF">
      <w:r w:rsidRPr="00501702">
        <w:separator/>
      </w:r>
    </w:p>
  </w:endnote>
  <w:endnote w:type="continuationSeparator" w:id="0">
    <w:p w14:paraId="7C54F46A" w14:textId="77777777" w:rsidR="00F659EF" w:rsidRPr="00501702" w:rsidRDefault="00F659EF">
      <w:r w:rsidRPr="005017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B0479" w14:textId="77777777" w:rsidR="00F659EF" w:rsidRPr="00501702" w:rsidRDefault="00F659EF">
      <w:r w:rsidRPr="00501702">
        <w:separator/>
      </w:r>
    </w:p>
  </w:footnote>
  <w:footnote w:type="continuationSeparator" w:id="0">
    <w:p w14:paraId="5B3467EC" w14:textId="77777777" w:rsidR="00F659EF" w:rsidRPr="00501702" w:rsidRDefault="00F659EF">
      <w:r w:rsidRPr="00501702">
        <w:continuationSeparator/>
      </w:r>
    </w:p>
  </w:footnote>
  <w:footnote w:id="1">
    <w:p w14:paraId="112A2B80" w14:textId="029CD774" w:rsidR="00106A53" w:rsidRPr="007A5BA4" w:rsidRDefault="00106A53" w:rsidP="00501702">
      <w:pPr>
        <w:pStyle w:val="NormalHanging12a"/>
        <w:spacing w:after="0"/>
        <w:rPr>
          <w:lang w:val="da-DK"/>
        </w:rPr>
      </w:pPr>
      <w:r w:rsidRPr="00501702">
        <w:rPr>
          <w:rStyle w:val="FootnoteReference"/>
        </w:rPr>
        <w:footnoteRef/>
      </w:r>
      <w:r w:rsidR="00501702" w:rsidRPr="007A5BA4">
        <w:rPr>
          <w:lang w:val="da-DK"/>
        </w:rPr>
        <w:t xml:space="preserve"> </w:t>
      </w:r>
      <w:r w:rsidR="00501702" w:rsidRPr="007A5BA4">
        <w:rPr>
          <w:lang w:val="da-DK"/>
        </w:rPr>
        <w:tab/>
      </w:r>
      <w:r w:rsidRPr="007A5BA4">
        <w:rPr>
          <w:lang w:val="da-DK"/>
        </w:rPr>
        <w:t>JO L 57 de 18.2.2021, p. 17.</w:t>
      </w:r>
    </w:p>
  </w:footnote>
  <w:footnote w:id="2">
    <w:p w14:paraId="19D385B3" w14:textId="2E15834E" w:rsidR="00106A53" w:rsidRPr="007A5BA4" w:rsidRDefault="00106A53" w:rsidP="00501702">
      <w:pPr>
        <w:pStyle w:val="FootnoteText"/>
        <w:ind w:left="567" w:hanging="567"/>
        <w:rPr>
          <w:sz w:val="24"/>
          <w:lang w:val="da-DK"/>
        </w:rPr>
      </w:pPr>
      <w:r w:rsidRPr="00501702">
        <w:rPr>
          <w:rStyle w:val="FootnoteReference"/>
          <w:sz w:val="24"/>
          <w:lang w:val="pt-PT"/>
        </w:rPr>
        <w:footnoteRef/>
      </w:r>
      <w:r w:rsidR="00501702" w:rsidRPr="007A5BA4">
        <w:rPr>
          <w:sz w:val="24"/>
          <w:lang w:val="da-DK"/>
        </w:rPr>
        <w:t xml:space="preserve"> </w:t>
      </w:r>
      <w:r w:rsidR="00501702" w:rsidRPr="007A5BA4">
        <w:rPr>
          <w:sz w:val="24"/>
          <w:lang w:val="da-DK"/>
        </w:rPr>
        <w:tab/>
      </w:r>
      <w:r w:rsidRPr="007A5BA4">
        <w:rPr>
          <w:sz w:val="24"/>
          <w:lang w:val="da-DK"/>
        </w:rPr>
        <w:t>JO L 231 de 30.6.2021, p. 1.</w:t>
      </w:r>
    </w:p>
  </w:footnote>
  <w:footnote w:id="3">
    <w:p w14:paraId="62BCE058" w14:textId="6400996F" w:rsidR="00106A53" w:rsidRPr="007A5BA4" w:rsidRDefault="00106A53" w:rsidP="00501702">
      <w:pPr>
        <w:pStyle w:val="FootnoteText"/>
        <w:ind w:left="567" w:hanging="567"/>
        <w:rPr>
          <w:sz w:val="24"/>
          <w:lang w:val="da-DK"/>
        </w:rPr>
      </w:pPr>
      <w:r w:rsidRPr="00501702">
        <w:rPr>
          <w:rStyle w:val="FootnoteReference"/>
          <w:sz w:val="24"/>
          <w:lang w:val="pt-PT"/>
        </w:rPr>
        <w:footnoteRef/>
      </w:r>
      <w:r w:rsidR="00501702" w:rsidRPr="007A5BA4">
        <w:rPr>
          <w:sz w:val="24"/>
          <w:lang w:val="da-DK"/>
        </w:rPr>
        <w:t xml:space="preserve"> </w:t>
      </w:r>
      <w:r w:rsidR="00501702" w:rsidRPr="007A5BA4">
        <w:rPr>
          <w:sz w:val="24"/>
          <w:lang w:val="da-DK"/>
        </w:rPr>
        <w:tab/>
      </w:r>
      <w:r w:rsidRPr="007A5BA4">
        <w:rPr>
          <w:sz w:val="24"/>
          <w:lang w:val="da-DK"/>
        </w:rPr>
        <w:t>JO L 231 de 30.6.2021, p. 21.</w:t>
      </w:r>
    </w:p>
  </w:footnote>
  <w:footnote w:id="4">
    <w:p w14:paraId="02F77247" w14:textId="7358F603" w:rsidR="00106A53" w:rsidRPr="007A5BA4" w:rsidRDefault="00106A53" w:rsidP="00501702">
      <w:pPr>
        <w:pStyle w:val="FootnoteText"/>
        <w:ind w:left="567" w:hanging="567"/>
        <w:rPr>
          <w:sz w:val="24"/>
          <w:lang w:val="da-DK"/>
        </w:rPr>
      </w:pPr>
      <w:r w:rsidRPr="00501702">
        <w:rPr>
          <w:rStyle w:val="FootnoteReference"/>
          <w:sz w:val="24"/>
          <w:lang w:val="pt-PT"/>
        </w:rPr>
        <w:footnoteRef/>
      </w:r>
      <w:r w:rsidR="00501702" w:rsidRPr="007A5BA4">
        <w:rPr>
          <w:sz w:val="24"/>
          <w:lang w:val="da-DK"/>
        </w:rPr>
        <w:t xml:space="preserve"> </w:t>
      </w:r>
      <w:r w:rsidR="00501702" w:rsidRPr="007A5BA4">
        <w:rPr>
          <w:sz w:val="24"/>
          <w:lang w:val="da-DK"/>
        </w:rPr>
        <w:tab/>
      </w:r>
      <w:r w:rsidRPr="007A5BA4">
        <w:rPr>
          <w:sz w:val="24"/>
          <w:lang w:val="da-DK"/>
        </w:rPr>
        <w:t>JO L 153 de 3.5.2021, p. 48.</w:t>
      </w:r>
    </w:p>
  </w:footnote>
  <w:footnote w:id="5">
    <w:p w14:paraId="69E7CD41" w14:textId="3353A0B9" w:rsidR="00106A53" w:rsidRPr="007A5BA4" w:rsidRDefault="00106A53" w:rsidP="00501702">
      <w:pPr>
        <w:pStyle w:val="FootnoteText"/>
        <w:ind w:left="567" w:hanging="567"/>
        <w:rPr>
          <w:sz w:val="24"/>
          <w:lang w:val="da-DK"/>
        </w:rPr>
      </w:pPr>
      <w:r w:rsidRPr="00501702">
        <w:rPr>
          <w:rStyle w:val="FootnoteReference"/>
          <w:sz w:val="24"/>
          <w:lang w:val="pt-PT"/>
        </w:rPr>
        <w:footnoteRef/>
      </w:r>
      <w:r w:rsidR="00501702" w:rsidRPr="007A5BA4">
        <w:rPr>
          <w:sz w:val="24"/>
          <w:lang w:val="da-DK"/>
        </w:rPr>
        <w:t xml:space="preserve"> </w:t>
      </w:r>
      <w:r w:rsidR="00501702" w:rsidRPr="007A5BA4">
        <w:rPr>
          <w:sz w:val="24"/>
          <w:lang w:val="da-DK"/>
        </w:rPr>
        <w:tab/>
      </w:r>
      <w:r w:rsidRPr="007A5BA4">
        <w:rPr>
          <w:sz w:val="24"/>
          <w:lang w:val="da-DK"/>
        </w:rPr>
        <w:t>JO L 130 de 16.5.2023, p. 1.</w:t>
      </w:r>
    </w:p>
  </w:footnote>
  <w:footnote w:id="6">
    <w:p w14:paraId="7CBA310C" w14:textId="668C5A5E" w:rsidR="00106A53" w:rsidRPr="007A5BA4" w:rsidRDefault="00106A53" w:rsidP="00501702">
      <w:pPr>
        <w:pStyle w:val="FootnoteText"/>
        <w:ind w:left="567" w:hanging="567"/>
        <w:rPr>
          <w:sz w:val="24"/>
          <w:lang w:val="da-DK"/>
        </w:rPr>
      </w:pPr>
      <w:r w:rsidRPr="00501702">
        <w:rPr>
          <w:rStyle w:val="FootnoteReference"/>
          <w:sz w:val="24"/>
          <w:lang w:val="pt-PT"/>
        </w:rPr>
        <w:footnoteRef/>
      </w:r>
      <w:r w:rsidR="00501702" w:rsidRPr="007A5BA4">
        <w:rPr>
          <w:sz w:val="24"/>
          <w:lang w:val="da-DK"/>
        </w:rPr>
        <w:t xml:space="preserve"> </w:t>
      </w:r>
      <w:r w:rsidR="00501702" w:rsidRPr="007A5BA4">
        <w:rPr>
          <w:sz w:val="24"/>
          <w:lang w:val="da-DK"/>
        </w:rPr>
        <w:tab/>
      </w:r>
      <w:r w:rsidRPr="007A5BA4">
        <w:rPr>
          <w:sz w:val="24"/>
          <w:lang w:val="da-DK"/>
        </w:rPr>
        <w:t>JO L 275 de 25.10.2003, p. 32</w:t>
      </w:r>
      <w:r w:rsidRPr="007A5BA4">
        <w:rPr>
          <w:rStyle w:val="Emphasis"/>
          <w:color w:val="333333"/>
          <w:sz w:val="24"/>
          <w:shd w:val="clear" w:color="auto" w:fill="FFFFFF"/>
          <w:lang w:val="da-DK"/>
        </w:rPr>
        <w:t>.</w:t>
      </w:r>
    </w:p>
  </w:footnote>
  <w:footnote w:id="7">
    <w:p w14:paraId="0DF88290" w14:textId="40336961" w:rsidR="00106A53" w:rsidRPr="00501702" w:rsidRDefault="00106A53" w:rsidP="00501702">
      <w:pPr>
        <w:pStyle w:val="FootnoteText"/>
        <w:ind w:left="567" w:hanging="567"/>
        <w:rPr>
          <w:sz w:val="24"/>
          <w:lang w:val="pt-PT"/>
        </w:rPr>
      </w:pPr>
      <w:r w:rsidRPr="00501702">
        <w:rPr>
          <w:rStyle w:val="FootnoteReference"/>
          <w:sz w:val="24"/>
          <w:lang w:val="pt-PT"/>
        </w:rPr>
        <w:footnoteRef/>
      </w:r>
      <w:r w:rsidR="00501702" w:rsidRPr="00501702">
        <w:rPr>
          <w:sz w:val="24"/>
          <w:lang w:val="pt-PT"/>
        </w:rPr>
        <w:t xml:space="preserve"> </w:t>
      </w:r>
      <w:r w:rsidR="00501702" w:rsidRPr="00501702">
        <w:rPr>
          <w:sz w:val="24"/>
          <w:lang w:val="pt-PT"/>
        </w:rPr>
        <w:tab/>
      </w:r>
      <w:r w:rsidRPr="00501702">
        <w:rPr>
          <w:sz w:val="24"/>
          <w:lang w:val="pt-PT"/>
        </w:rPr>
        <w:t>ILC.111/Resolução V, de 16 de junho de 2023.</w:t>
      </w:r>
    </w:p>
  </w:footnote>
  <w:footnote w:id="8">
    <w:p w14:paraId="11B582B1" w14:textId="279AD76E" w:rsidR="00106A53" w:rsidRPr="00501702" w:rsidRDefault="00106A53" w:rsidP="00501702">
      <w:pPr>
        <w:pStyle w:val="FootnoteText"/>
        <w:ind w:left="567" w:hanging="567"/>
        <w:rPr>
          <w:sz w:val="24"/>
          <w:lang w:val="pt-PT"/>
        </w:rPr>
      </w:pPr>
      <w:r w:rsidRPr="00501702">
        <w:rPr>
          <w:rStyle w:val="FootnoteReference"/>
          <w:sz w:val="24"/>
          <w:lang w:val="pt-PT"/>
        </w:rPr>
        <w:footnoteRef/>
      </w:r>
      <w:r w:rsidR="00501702" w:rsidRPr="00501702">
        <w:rPr>
          <w:sz w:val="24"/>
          <w:lang w:val="pt-PT"/>
        </w:rPr>
        <w:t xml:space="preserve"> </w:t>
      </w:r>
      <w:r w:rsidR="00501702" w:rsidRPr="00501702">
        <w:rPr>
          <w:sz w:val="24"/>
          <w:lang w:val="pt-PT"/>
        </w:rPr>
        <w:tab/>
      </w:r>
      <w:r w:rsidR="00571A6B">
        <w:fldChar w:fldCharType="begin"/>
      </w:r>
      <w:r w:rsidR="00571A6B" w:rsidRPr="00571A6B">
        <w:rPr>
          <w:lang w:val="pt-PT"/>
        </w:rPr>
        <w:instrText>HYPERLINK "https://www.europarl.europa.eu/RegData/etudes/BRIE/2025/774668/EPRS_BRI(2025)774668_EN.pdf"</w:instrText>
      </w:r>
      <w:r w:rsidR="00571A6B">
        <w:fldChar w:fldCharType="separate"/>
      </w:r>
      <w:r w:rsidRPr="00B53BC8">
        <w:rPr>
          <w:rStyle w:val="Hyperlink"/>
          <w:sz w:val="24"/>
          <w:lang w:val="pt-PT"/>
        </w:rPr>
        <w:t>https://www.europarl.europa.eu/RegData/etudes/BRIE/2025/774668/EPRS_BRI(2025)774668_EN.pdf</w:t>
      </w:r>
      <w:r w:rsidR="00571A6B">
        <w:rPr>
          <w:rStyle w:val="Hyperlink"/>
          <w:sz w:val="24"/>
          <w:lang w:val="pt-PT"/>
        </w:rPr>
        <w:fldChar w:fldCharType="end"/>
      </w:r>
      <w:r w:rsidR="00B53BC8">
        <w:rPr>
          <w:sz w:val="24"/>
          <w:lang w:val="pt-PT"/>
        </w:rPr>
        <w:t>.</w:t>
      </w:r>
    </w:p>
  </w:footnote>
  <w:footnote w:id="9">
    <w:p w14:paraId="7B637280" w14:textId="0CE008CC" w:rsidR="00106A53" w:rsidRPr="00501702" w:rsidRDefault="00106A53" w:rsidP="00501702">
      <w:pPr>
        <w:pStyle w:val="FootnoteText"/>
        <w:ind w:left="567" w:hanging="567"/>
        <w:rPr>
          <w:sz w:val="24"/>
          <w:lang w:val="pt-PT"/>
        </w:rPr>
      </w:pPr>
      <w:r w:rsidRPr="00501702">
        <w:rPr>
          <w:rStyle w:val="FootnoteReference"/>
          <w:sz w:val="24"/>
          <w:lang w:val="pt-PT"/>
        </w:rPr>
        <w:footnoteRef/>
      </w:r>
      <w:r w:rsidR="00501702" w:rsidRPr="007A5BA4">
        <w:rPr>
          <w:sz w:val="24"/>
          <w:lang w:val="en-GB"/>
        </w:rPr>
        <w:t xml:space="preserve"> </w:t>
      </w:r>
      <w:r w:rsidR="00501702" w:rsidRPr="007A5BA4">
        <w:rPr>
          <w:sz w:val="24"/>
          <w:lang w:val="en-GB"/>
        </w:rPr>
        <w:tab/>
      </w:r>
      <w:proofErr w:type="spellStart"/>
      <w:r w:rsidRPr="007A5BA4">
        <w:rPr>
          <w:sz w:val="24"/>
          <w:lang w:val="en-GB"/>
        </w:rPr>
        <w:t>Eurofound</w:t>
      </w:r>
      <w:proofErr w:type="spellEnd"/>
      <w:r w:rsidRPr="007A5BA4">
        <w:rPr>
          <w:sz w:val="24"/>
          <w:lang w:val="en-GB"/>
        </w:rPr>
        <w:t xml:space="preserve"> (2024), «Creating a new social contract for the just transition: Is partnership </w:t>
      </w:r>
      <w:proofErr w:type="gramStart"/>
      <w:r w:rsidRPr="007A5BA4">
        <w:rPr>
          <w:sz w:val="24"/>
          <w:lang w:val="en-GB"/>
        </w:rPr>
        <w:t>working?»</w:t>
      </w:r>
      <w:proofErr w:type="gramEnd"/>
      <w:r w:rsidRPr="007A5BA4">
        <w:rPr>
          <w:sz w:val="24"/>
          <w:lang w:val="en-GB"/>
        </w:rPr>
        <w:t xml:space="preserve"> </w:t>
      </w:r>
      <w:r w:rsidRPr="00501702">
        <w:rPr>
          <w:sz w:val="24"/>
          <w:lang w:val="pt-PT"/>
        </w:rPr>
        <w:t>[</w:t>
      </w:r>
      <w:proofErr w:type="gramStart"/>
      <w:r w:rsidRPr="00501702">
        <w:rPr>
          <w:sz w:val="24"/>
          <w:lang w:val="pt-PT"/>
        </w:rPr>
        <w:t>Criar um novo</w:t>
      </w:r>
      <w:proofErr w:type="gramEnd"/>
      <w:r w:rsidRPr="00501702">
        <w:rPr>
          <w:sz w:val="24"/>
          <w:lang w:val="pt-PT"/>
        </w:rPr>
        <w:t xml:space="preserve"> contrato social para a transição justa: A parceria funciona?], Serviço das Publicações da União Europeia, Luxemburgo</w:t>
      </w:r>
      <w:r w:rsidR="004060FD">
        <w:rPr>
          <w:sz w:val="24"/>
          <w:lang w:val="pt-PT"/>
        </w:rPr>
        <w:t>.</w:t>
      </w:r>
    </w:p>
  </w:footnote>
  <w:footnote w:id="10">
    <w:p w14:paraId="312C8D2A" w14:textId="0B9B7558" w:rsidR="00106A53" w:rsidRPr="00501702" w:rsidRDefault="00106A53" w:rsidP="00501702">
      <w:pPr>
        <w:pStyle w:val="FootnoteText"/>
        <w:ind w:left="567" w:hanging="567"/>
        <w:rPr>
          <w:sz w:val="24"/>
          <w:lang w:val="pt-PT"/>
        </w:rPr>
      </w:pPr>
      <w:r w:rsidRPr="00501702">
        <w:rPr>
          <w:rStyle w:val="FootnoteReference"/>
          <w:sz w:val="24"/>
          <w:lang w:val="pt-PT"/>
        </w:rPr>
        <w:footnoteRef/>
      </w:r>
      <w:r w:rsidR="00501702" w:rsidRPr="00501702">
        <w:rPr>
          <w:sz w:val="24"/>
          <w:lang w:val="pt-PT"/>
        </w:rPr>
        <w:t xml:space="preserve"> </w:t>
      </w:r>
      <w:r w:rsidR="00501702" w:rsidRPr="00501702">
        <w:rPr>
          <w:sz w:val="24"/>
          <w:lang w:val="pt-PT"/>
        </w:rPr>
        <w:tab/>
      </w:r>
      <w:r w:rsidR="00571A6B">
        <w:fldChar w:fldCharType="begin"/>
      </w:r>
      <w:r w:rsidR="00571A6B" w:rsidRPr="00571A6B">
        <w:rPr>
          <w:lang w:val="pt-PT"/>
        </w:rPr>
        <w:instrText>HYPERLINK "https://eur-lex.europa.eu/legal-content/PT/TXT/PDF/?uri=CELEX%3A52025DC0090"</w:instrText>
      </w:r>
      <w:r w:rsidR="00571A6B">
        <w:fldChar w:fldCharType="separate"/>
      </w:r>
      <w:r w:rsidRPr="00B53BC8">
        <w:rPr>
          <w:rStyle w:val="Hyperlink"/>
          <w:sz w:val="24"/>
          <w:lang w:val="pt-PT"/>
        </w:rPr>
        <w:t>https://eur-lex.europa.eu/legal-content/PT/TXT/PDF/?uri=CELEX%3A52025DC0090</w:t>
      </w:r>
      <w:r w:rsidR="00571A6B">
        <w:rPr>
          <w:rStyle w:val="Hyperlink"/>
          <w:sz w:val="24"/>
          <w:lang w:val="pt-PT"/>
        </w:rPr>
        <w:fldChar w:fldCharType="end"/>
      </w:r>
      <w:r w:rsidR="00B53BC8">
        <w:rPr>
          <w:sz w:val="24"/>
          <w:lang w:val="pt-PT"/>
        </w:rPr>
        <w:t>.</w:t>
      </w:r>
    </w:p>
  </w:footnote>
  <w:footnote w:id="11">
    <w:p w14:paraId="1530570E" w14:textId="68107EF0" w:rsidR="00106A53" w:rsidRPr="00501702" w:rsidRDefault="00106A53" w:rsidP="00501702">
      <w:pPr>
        <w:pStyle w:val="FootnoteText"/>
        <w:ind w:left="567" w:hanging="567"/>
        <w:rPr>
          <w:sz w:val="24"/>
          <w:lang w:val="pt-PT"/>
        </w:rPr>
      </w:pPr>
      <w:r w:rsidRPr="00501702">
        <w:rPr>
          <w:rStyle w:val="FootnoteReference"/>
          <w:sz w:val="24"/>
          <w:lang w:val="pt-PT"/>
        </w:rPr>
        <w:footnoteRef/>
      </w:r>
      <w:r w:rsidR="00501702" w:rsidRPr="00501702">
        <w:rPr>
          <w:sz w:val="24"/>
          <w:lang w:val="pt-PT"/>
        </w:rPr>
        <w:t xml:space="preserve"> </w:t>
      </w:r>
      <w:r w:rsidR="00501702" w:rsidRPr="00501702">
        <w:rPr>
          <w:sz w:val="24"/>
          <w:lang w:val="pt-PT"/>
        </w:rPr>
        <w:tab/>
      </w:r>
      <w:r w:rsidRPr="00501702">
        <w:rPr>
          <w:sz w:val="24"/>
          <w:lang w:val="pt-PT"/>
        </w:rPr>
        <w:t xml:space="preserve">Relatório </w:t>
      </w:r>
      <w:proofErr w:type="spellStart"/>
      <w:r w:rsidRPr="00501702">
        <w:rPr>
          <w:sz w:val="24"/>
          <w:lang w:val="pt-PT"/>
        </w:rPr>
        <w:t>Draghi</w:t>
      </w:r>
      <w:proofErr w:type="spellEnd"/>
      <w:r w:rsidRPr="00501702">
        <w:rPr>
          <w:sz w:val="24"/>
          <w:lang w:val="pt-PT"/>
        </w:rPr>
        <w:t>, p. 37.</w:t>
      </w:r>
    </w:p>
  </w:footnote>
  <w:footnote w:id="12">
    <w:p w14:paraId="7A8882E8" w14:textId="5C526FCE" w:rsidR="00106A53" w:rsidRPr="00501702" w:rsidRDefault="00106A53" w:rsidP="00501702">
      <w:pPr>
        <w:pStyle w:val="FootnoteText"/>
        <w:ind w:left="567" w:hanging="567"/>
        <w:rPr>
          <w:sz w:val="24"/>
          <w:lang w:val="pt-PT"/>
        </w:rPr>
      </w:pPr>
      <w:r w:rsidRPr="00501702">
        <w:rPr>
          <w:rStyle w:val="FootnoteReference"/>
          <w:sz w:val="24"/>
          <w:lang w:val="pt-PT"/>
        </w:rPr>
        <w:footnoteRef/>
      </w:r>
      <w:r w:rsidR="00501702" w:rsidRPr="00501702">
        <w:rPr>
          <w:sz w:val="24"/>
          <w:lang w:val="pt-PT"/>
        </w:rPr>
        <w:t xml:space="preserve"> </w:t>
      </w:r>
      <w:r w:rsidR="00501702" w:rsidRPr="00501702">
        <w:rPr>
          <w:sz w:val="24"/>
          <w:lang w:val="pt-PT"/>
        </w:rPr>
        <w:tab/>
      </w:r>
      <w:r w:rsidR="00571A6B">
        <w:fldChar w:fldCharType="begin"/>
      </w:r>
      <w:r w:rsidR="00571A6B" w:rsidRPr="00571A6B">
        <w:rPr>
          <w:lang w:val="pt-PT"/>
        </w:rPr>
        <w:instrText>HYPERLINK "https://www.cedefop.europa.eu/en/publications/4223" \l "group-downloads"</w:instrText>
      </w:r>
      <w:r w:rsidR="00571A6B">
        <w:fldChar w:fldCharType="separate"/>
      </w:r>
      <w:r w:rsidRPr="00B53BC8">
        <w:rPr>
          <w:rStyle w:val="Hyperlink"/>
          <w:sz w:val="24"/>
          <w:lang w:val="pt-PT"/>
        </w:rPr>
        <w:t>https://www.cedefop.europa.eu/en/publications/4223#group-downloads</w:t>
      </w:r>
      <w:r w:rsidR="00571A6B">
        <w:rPr>
          <w:rStyle w:val="Hyperlink"/>
          <w:sz w:val="24"/>
          <w:lang w:val="pt-PT"/>
        </w:rPr>
        <w:fldChar w:fldCharType="end"/>
      </w:r>
      <w:r w:rsidR="00B53BC8">
        <w:rPr>
          <w:sz w:val="24"/>
          <w:lang w:val="pt-PT"/>
        </w:rPr>
        <w:t>.</w:t>
      </w:r>
    </w:p>
  </w:footnote>
  <w:footnote w:id="13">
    <w:p w14:paraId="621301C7" w14:textId="768013A3" w:rsidR="00106A53" w:rsidRPr="00501702" w:rsidRDefault="00106A53" w:rsidP="00501702">
      <w:pPr>
        <w:pStyle w:val="FootnoteText"/>
        <w:ind w:left="567" w:hanging="567"/>
        <w:rPr>
          <w:sz w:val="24"/>
          <w:lang w:val="pt-PT"/>
        </w:rPr>
      </w:pPr>
      <w:r w:rsidRPr="00501702">
        <w:rPr>
          <w:rStyle w:val="FootnoteReference"/>
          <w:sz w:val="24"/>
          <w:lang w:val="pt-PT"/>
        </w:rPr>
        <w:footnoteRef/>
      </w:r>
      <w:r w:rsidR="00501702" w:rsidRPr="00501702">
        <w:rPr>
          <w:sz w:val="24"/>
          <w:lang w:val="pt-PT"/>
        </w:rPr>
        <w:t xml:space="preserve"> </w:t>
      </w:r>
      <w:r w:rsidR="00501702" w:rsidRPr="00501702">
        <w:rPr>
          <w:sz w:val="24"/>
          <w:lang w:val="pt-PT"/>
        </w:rPr>
        <w:tab/>
      </w:r>
      <w:r w:rsidR="00571A6B">
        <w:fldChar w:fldCharType="begin"/>
      </w:r>
      <w:r w:rsidR="00571A6B" w:rsidRPr="00571A6B">
        <w:rPr>
          <w:lang w:val="pt-PT"/>
        </w:rPr>
        <w:instrText>HYPERLINK "https://op.europa.eu/en/publication-detail/-/publication/4826f429-0545-11f0-b1a3-01aa75ed71a1/language-en"</w:instrText>
      </w:r>
      <w:r w:rsidR="00571A6B">
        <w:fldChar w:fldCharType="separate"/>
      </w:r>
      <w:r w:rsidRPr="00B53BC8">
        <w:rPr>
          <w:rStyle w:val="Hyperlink"/>
          <w:sz w:val="24"/>
          <w:lang w:val="pt-PT"/>
        </w:rPr>
        <w:t>https://op.europa.eu/en/publication-detail/-/publication/4826f429-0545-11f0-b1a3-01aa75ed71a1/language-en</w:t>
      </w:r>
      <w:r w:rsidR="00571A6B">
        <w:rPr>
          <w:rStyle w:val="Hyperlink"/>
          <w:sz w:val="24"/>
          <w:lang w:val="pt-PT"/>
        </w:rPr>
        <w:fldChar w:fldCharType="end"/>
      </w:r>
      <w:r w:rsidR="00B53BC8">
        <w:rPr>
          <w:sz w:val="24"/>
          <w:lang w:val="pt-PT"/>
        </w:rPr>
        <w:t>.</w:t>
      </w:r>
    </w:p>
  </w:footnote>
  <w:footnote w:id="14">
    <w:p w14:paraId="0E38271B" w14:textId="4BF59BB1" w:rsidR="00106A53" w:rsidRPr="00501702" w:rsidRDefault="00106A53" w:rsidP="00501702">
      <w:pPr>
        <w:pStyle w:val="FootnoteText"/>
        <w:ind w:left="567" w:hanging="567"/>
        <w:rPr>
          <w:sz w:val="24"/>
          <w:lang w:val="pt-PT"/>
        </w:rPr>
      </w:pPr>
      <w:r w:rsidRPr="00501702">
        <w:rPr>
          <w:rStyle w:val="FootnoteReference"/>
          <w:sz w:val="24"/>
          <w:lang w:val="pt-PT"/>
        </w:rPr>
        <w:footnoteRef/>
      </w:r>
      <w:r w:rsidR="00501702" w:rsidRPr="00501702">
        <w:rPr>
          <w:sz w:val="24"/>
          <w:lang w:val="pt-PT"/>
        </w:rPr>
        <w:t xml:space="preserve"> </w:t>
      </w:r>
      <w:r w:rsidR="00501702" w:rsidRPr="00501702">
        <w:rPr>
          <w:sz w:val="24"/>
          <w:lang w:val="pt-PT"/>
        </w:rPr>
        <w:tab/>
      </w:r>
      <w:r w:rsidR="00571A6B">
        <w:fldChar w:fldCharType="begin"/>
      </w:r>
      <w:r w:rsidR="00571A6B" w:rsidRPr="00571A6B">
        <w:rPr>
          <w:lang w:val="pt-PT"/>
        </w:rPr>
        <w:instrText>HYPERLINK "https://www.cedefop.europa.eu/en/news/green-transition-creates-more-jobs-it-destroys"</w:instrText>
      </w:r>
      <w:r w:rsidR="00571A6B">
        <w:fldChar w:fldCharType="separate"/>
      </w:r>
      <w:r w:rsidRPr="00B53BC8">
        <w:rPr>
          <w:rStyle w:val="Hyperlink"/>
          <w:sz w:val="24"/>
          <w:lang w:val="pt-PT"/>
        </w:rPr>
        <w:t>https://www.cedefop.europa.eu/en/news/green-transition-creates-more-jobs-it-destroys</w:t>
      </w:r>
      <w:r w:rsidR="00571A6B">
        <w:rPr>
          <w:rStyle w:val="Hyperlink"/>
          <w:sz w:val="24"/>
          <w:lang w:val="pt-PT"/>
        </w:rPr>
        <w:fldChar w:fldCharType="end"/>
      </w:r>
      <w:r w:rsidR="00B53BC8">
        <w:rPr>
          <w:sz w:val="24"/>
          <w:lang w:val="pt-PT"/>
        </w:rPr>
        <w:t>.</w:t>
      </w:r>
    </w:p>
  </w:footnote>
  <w:footnote w:id="15">
    <w:p w14:paraId="1B40FB4C" w14:textId="68FFF2FF" w:rsidR="00106A53" w:rsidRPr="00501702" w:rsidRDefault="00106A53" w:rsidP="00501702">
      <w:pPr>
        <w:pStyle w:val="FootnoteText"/>
        <w:ind w:left="567" w:hanging="567"/>
        <w:rPr>
          <w:sz w:val="24"/>
          <w:lang w:val="pt-PT"/>
        </w:rPr>
      </w:pPr>
      <w:r w:rsidRPr="00501702">
        <w:rPr>
          <w:rStyle w:val="FootnoteReference"/>
          <w:sz w:val="24"/>
          <w:lang w:val="pt-PT"/>
        </w:rPr>
        <w:footnoteRef/>
      </w:r>
      <w:r w:rsidR="00501702" w:rsidRPr="00501702">
        <w:rPr>
          <w:sz w:val="24"/>
          <w:lang w:val="pt-PT"/>
        </w:rPr>
        <w:t xml:space="preserve"> </w:t>
      </w:r>
      <w:r w:rsidR="00501702" w:rsidRPr="00501702">
        <w:rPr>
          <w:sz w:val="24"/>
          <w:lang w:val="pt-PT"/>
        </w:rPr>
        <w:tab/>
      </w:r>
      <w:r w:rsidR="00571A6B">
        <w:fldChar w:fldCharType="begin"/>
      </w:r>
      <w:r w:rsidR="00571A6B" w:rsidRPr="00571A6B">
        <w:rPr>
          <w:lang w:val="pt-PT"/>
        </w:rPr>
        <w:instrText>HYPERLINK "https://employment-social-affairs.ec.europa.eu/employment-and-social-developments-europe-2024-upward-social-convergence-eu-and-role-social_en"</w:instrText>
      </w:r>
      <w:r w:rsidR="00571A6B">
        <w:fldChar w:fldCharType="separate"/>
      </w:r>
      <w:r w:rsidRPr="00B53BC8">
        <w:rPr>
          <w:rStyle w:val="Hyperlink"/>
          <w:sz w:val="24"/>
          <w:lang w:val="pt-PT"/>
        </w:rPr>
        <w:t>https://employment-social-affairs.ec.europa.eu/employment-and-social-developments-europe-2024-upward-social-convergence-eu-and-role-social_en</w:t>
      </w:r>
      <w:r w:rsidR="00571A6B">
        <w:rPr>
          <w:rStyle w:val="Hyperlink"/>
          <w:sz w:val="24"/>
          <w:lang w:val="pt-PT"/>
        </w:rPr>
        <w:fldChar w:fldCharType="end"/>
      </w:r>
      <w:r w:rsidR="00B53BC8">
        <w:rPr>
          <w:sz w:val="24"/>
          <w:lang w:val="pt-PT"/>
        </w:rPr>
        <w:t>.</w:t>
      </w:r>
    </w:p>
  </w:footnote>
  <w:footnote w:id="16">
    <w:p w14:paraId="26F546D6" w14:textId="73BFDBBF" w:rsidR="00106A53" w:rsidRPr="00501702" w:rsidRDefault="00106A53" w:rsidP="00501702">
      <w:pPr>
        <w:pStyle w:val="FootnoteText"/>
        <w:ind w:left="567" w:hanging="567"/>
        <w:rPr>
          <w:sz w:val="24"/>
          <w:lang w:val="pt-PT"/>
        </w:rPr>
      </w:pPr>
      <w:r w:rsidRPr="00501702">
        <w:rPr>
          <w:rStyle w:val="FootnoteReference"/>
          <w:sz w:val="24"/>
          <w:lang w:val="pt-PT"/>
        </w:rPr>
        <w:footnoteRef/>
      </w:r>
      <w:r w:rsidR="00501702" w:rsidRPr="00501702">
        <w:rPr>
          <w:sz w:val="24"/>
          <w:lang w:val="pt-PT"/>
        </w:rPr>
        <w:t xml:space="preserve"> </w:t>
      </w:r>
      <w:r w:rsidR="00501702" w:rsidRPr="00501702">
        <w:rPr>
          <w:sz w:val="24"/>
          <w:lang w:val="pt-PT"/>
        </w:rPr>
        <w:tab/>
      </w:r>
      <w:r w:rsidRPr="00501702">
        <w:rPr>
          <w:sz w:val="24"/>
          <w:lang w:val="pt-PT"/>
        </w:rPr>
        <w:t xml:space="preserve">Relatório </w:t>
      </w:r>
      <w:proofErr w:type="spellStart"/>
      <w:r w:rsidRPr="00501702">
        <w:rPr>
          <w:sz w:val="24"/>
          <w:lang w:val="pt-PT"/>
        </w:rPr>
        <w:t>Draghi</w:t>
      </w:r>
      <w:proofErr w:type="spellEnd"/>
      <w:r w:rsidRPr="00501702">
        <w:rPr>
          <w:sz w:val="24"/>
          <w:lang w:val="pt-PT"/>
        </w:rPr>
        <w:t>, p. 19.</w:t>
      </w:r>
    </w:p>
  </w:footnote>
  <w:footnote w:id="17">
    <w:p w14:paraId="2AAB4A5F" w14:textId="5DDF157F" w:rsidR="00106A53" w:rsidRPr="00501702" w:rsidRDefault="00106A53" w:rsidP="00501702">
      <w:pPr>
        <w:pStyle w:val="FootnoteText"/>
        <w:ind w:left="567" w:hanging="567"/>
        <w:rPr>
          <w:sz w:val="24"/>
          <w:lang w:val="pt-PT"/>
        </w:rPr>
      </w:pPr>
      <w:r w:rsidRPr="00501702">
        <w:rPr>
          <w:rStyle w:val="FootnoteReference"/>
          <w:sz w:val="24"/>
          <w:lang w:val="pt-PT"/>
        </w:rPr>
        <w:footnoteRef/>
      </w:r>
      <w:r w:rsidR="00501702" w:rsidRPr="00501702">
        <w:rPr>
          <w:sz w:val="24"/>
          <w:lang w:val="pt-PT"/>
        </w:rPr>
        <w:t xml:space="preserve"> </w:t>
      </w:r>
      <w:r w:rsidR="00501702" w:rsidRPr="00501702">
        <w:rPr>
          <w:sz w:val="24"/>
          <w:lang w:val="pt-PT"/>
        </w:rPr>
        <w:tab/>
      </w:r>
      <w:r w:rsidR="00571A6B">
        <w:fldChar w:fldCharType="begin"/>
      </w:r>
      <w:r w:rsidR="00571A6B" w:rsidRPr="00571A6B">
        <w:rPr>
          <w:lang w:val="pt-PT"/>
        </w:rPr>
        <w:instrText>HYPERLINK "https://cohesiondata.ec.europa.eu/stories/s/py4s-5ad4"</w:instrText>
      </w:r>
      <w:r w:rsidR="00571A6B">
        <w:fldChar w:fldCharType="separate"/>
      </w:r>
      <w:r w:rsidRPr="00B53BC8">
        <w:rPr>
          <w:rStyle w:val="Hyperlink"/>
          <w:sz w:val="24"/>
          <w:lang w:val="pt-PT"/>
        </w:rPr>
        <w:t>https://cohesiondata.ec.europa.eu/stories/s/py4s-5ad4</w:t>
      </w:r>
      <w:r w:rsidR="00571A6B">
        <w:rPr>
          <w:rStyle w:val="Hyperlink"/>
          <w:sz w:val="24"/>
          <w:lang w:val="pt-PT"/>
        </w:rPr>
        <w:fldChar w:fldCharType="end"/>
      </w:r>
      <w:r w:rsidR="00B53BC8">
        <w:rPr>
          <w:sz w:val="24"/>
          <w:lang w:val="pt-PT"/>
        </w:rPr>
        <w:t>.</w:t>
      </w:r>
    </w:p>
  </w:footnote>
  <w:footnote w:id="18">
    <w:p w14:paraId="0850F50F" w14:textId="79ABC960" w:rsidR="00106A53" w:rsidRPr="00501702" w:rsidRDefault="00106A53" w:rsidP="00501702">
      <w:pPr>
        <w:pStyle w:val="FootnoteText"/>
        <w:ind w:left="567" w:hanging="567"/>
        <w:rPr>
          <w:sz w:val="24"/>
          <w:lang w:val="pt-PT"/>
        </w:rPr>
      </w:pPr>
      <w:r w:rsidRPr="00501702">
        <w:rPr>
          <w:rStyle w:val="FootnoteReference"/>
          <w:sz w:val="24"/>
          <w:lang w:val="pt-PT"/>
        </w:rPr>
        <w:footnoteRef/>
      </w:r>
      <w:r w:rsidR="00501702" w:rsidRPr="00501702">
        <w:rPr>
          <w:sz w:val="24"/>
          <w:lang w:val="pt-PT"/>
        </w:rPr>
        <w:t xml:space="preserve"> </w:t>
      </w:r>
      <w:r w:rsidR="00501702" w:rsidRPr="00501702">
        <w:rPr>
          <w:sz w:val="24"/>
          <w:lang w:val="pt-PT"/>
        </w:rPr>
        <w:tab/>
      </w:r>
      <w:r w:rsidR="00571A6B">
        <w:fldChar w:fldCharType="begin"/>
      </w:r>
      <w:r w:rsidR="00571A6B" w:rsidRPr="00571A6B">
        <w:rPr>
          <w:lang w:val="pt-PT"/>
        </w:rPr>
        <w:instrText>HYPERLINK "https://op.europa.eu/en/publication-detail/-/publication/24c7aa49-2451-11ee-94cb-01aa75ed71a1/language-en"</w:instrText>
      </w:r>
      <w:r w:rsidR="00571A6B">
        <w:fldChar w:fldCharType="separate"/>
      </w:r>
      <w:r w:rsidRPr="00B53BC8">
        <w:rPr>
          <w:rStyle w:val="Hyperlink"/>
          <w:sz w:val="24"/>
          <w:lang w:val="pt-PT"/>
        </w:rPr>
        <w:t>https://op.europa.eu/en/publication-detail/-/publication/24c7aa49-2451-11ee-94cb-01aa75ed71a1/language-en</w:t>
      </w:r>
      <w:r w:rsidR="00571A6B">
        <w:rPr>
          <w:rStyle w:val="Hyperlink"/>
          <w:sz w:val="24"/>
          <w:lang w:val="pt-PT"/>
        </w:rPr>
        <w:fldChar w:fldCharType="end"/>
      </w:r>
      <w:r w:rsidR="00B53BC8">
        <w:rPr>
          <w:sz w:val="24"/>
          <w:lang w:val="pt-PT"/>
        </w:rPr>
        <w:t>.</w:t>
      </w:r>
    </w:p>
  </w:footnote>
  <w:footnote w:id="19">
    <w:p w14:paraId="24D5EC0F" w14:textId="4EED596C" w:rsidR="00106A53" w:rsidRPr="00501702" w:rsidRDefault="00106A53" w:rsidP="00501702">
      <w:pPr>
        <w:pStyle w:val="FootnoteText"/>
        <w:ind w:left="567" w:hanging="567"/>
        <w:rPr>
          <w:sz w:val="24"/>
          <w:lang w:val="pt-PT"/>
        </w:rPr>
      </w:pPr>
      <w:r w:rsidRPr="00501702">
        <w:rPr>
          <w:rStyle w:val="FootnoteReference"/>
          <w:sz w:val="24"/>
          <w:lang w:val="pt-PT"/>
        </w:rPr>
        <w:footnoteRef/>
      </w:r>
      <w:r w:rsidR="00501702" w:rsidRPr="00501702">
        <w:rPr>
          <w:sz w:val="24"/>
          <w:lang w:val="pt-PT"/>
        </w:rPr>
        <w:t xml:space="preserve"> </w:t>
      </w:r>
      <w:r w:rsidR="00501702" w:rsidRPr="00501702">
        <w:rPr>
          <w:sz w:val="24"/>
          <w:lang w:val="pt-PT"/>
        </w:rPr>
        <w:tab/>
      </w:r>
      <w:r w:rsidR="00571A6B">
        <w:fldChar w:fldCharType="begin"/>
      </w:r>
      <w:r w:rsidR="00571A6B" w:rsidRPr="00571A6B">
        <w:rPr>
          <w:lang w:val="pt-PT"/>
        </w:rPr>
        <w:instrText>HYPERLINK "https://www.europarl.europa.eu/RegData/etudes/STUD/2025/759354/CASP_STU(2025)759354_EN.pdf"</w:instrText>
      </w:r>
      <w:r w:rsidR="00571A6B">
        <w:fldChar w:fldCharType="separate"/>
      </w:r>
      <w:r w:rsidRPr="00B53BC8">
        <w:rPr>
          <w:rStyle w:val="Hyperlink"/>
          <w:sz w:val="24"/>
          <w:lang w:val="pt-PT"/>
        </w:rPr>
        <w:t>https://www.europarl.europa.eu/RegData/etudes/STUD/2025/759354/CASP_STU(2025)759354_EN.pdf</w:t>
      </w:r>
      <w:r w:rsidR="00571A6B">
        <w:rPr>
          <w:rStyle w:val="Hyperlink"/>
          <w:sz w:val="24"/>
          <w:lang w:val="pt-PT"/>
        </w:rPr>
        <w:fldChar w:fldCharType="end"/>
      </w:r>
      <w:r w:rsidR="00B53BC8">
        <w:rPr>
          <w:sz w:val="24"/>
          <w:lang w:val="pt-PT"/>
        </w:rPr>
        <w:t>.</w:t>
      </w:r>
    </w:p>
  </w:footnote>
  <w:footnote w:id="20">
    <w:p w14:paraId="3DCDCA59" w14:textId="5C53BEF8" w:rsidR="00106A53" w:rsidRPr="00501702" w:rsidRDefault="00106A53" w:rsidP="00501702">
      <w:pPr>
        <w:pStyle w:val="FootnoteText"/>
        <w:ind w:left="567" w:hanging="567"/>
        <w:rPr>
          <w:sz w:val="24"/>
          <w:lang w:val="pt-PT"/>
        </w:rPr>
      </w:pPr>
      <w:r w:rsidRPr="00501702">
        <w:rPr>
          <w:rStyle w:val="FootnoteReference"/>
          <w:sz w:val="24"/>
          <w:lang w:val="pt-PT"/>
        </w:rPr>
        <w:footnoteRef/>
      </w:r>
      <w:r w:rsidR="00501702" w:rsidRPr="00501702">
        <w:rPr>
          <w:sz w:val="24"/>
          <w:lang w:val="pt-PT"/>
        </w:rPr>
        <w:t xml:space="preserve"> </w:t>
      </w:r>
      <w:r w:rsidR="00501702" w:rsidRPr="00501702">
        <w:rPr>
          <w:sz w:val="24"/>
          <w:lang w:val="pt-PT"/>
        </w:rPr>
        <w:tab/>
      </w:r>
      <w:r w:rsidRPr="00501702">
        <w:rPr>
          <w:sz w:val="24"/>
          <w:lang w:val="pt-PT"/>
        </w:rPr>
        <w:t>«</w:t>
      </w:r>
      <w:proofErr w:type="spellStart"/>
      <w:r w:rsidRPr="00501702">
        <w:rPr>
          <w:sz w:val="24"/>
          <w:lang w:val="pt-PT"/>
        </w:rPr>
        <w:t>Just</w:t>
      </w:r>
      <w:proofErr w:type="spellEnd"/>
      <w:r w:rsidRPr="00501702">
        <w:rPr>
          <w:sz w:val="24"/>
          <w:lang w:val="pt-PT"/>
        </w:rPr>
        <w:t xml:space="preserve"> </w:t>
      </w:r>
      <w:proofErr w:type="spellStart"/>
      <w:r w:rsidRPr="00501702">
        <w:rPr>
          <w:sz w:val="24"/>
          <w:lang w:val="pt-PT"/>
        </w:rPr>
        <w:t>Transition</w:t>
      </w:r>
      <w:proofErr w:type="spellEnd"/>
      <w:r w:rsidRPr="00501702">
        <w:rPr>
          <w:sz w:val="24"/>
          <w:lang w:val="pt-PT"/>
        </w:rPr>
        <w:t xml:space="preserve"> </w:t>
      </w:r>
      <w:proofErr w:type="spellStart"/>
      <w:r w:rsidRPr="00501702">
        <w:rPr>
          <w:sz w:val="24"/>
          <w:lang w:val="pt-PT"/>
        </w:rPr>
        <w:t>Mechanism</w:t>
      </w:r>
      <w:proofErr w:type="spellEnd"/>
      <w:r w:rsidRPr="00501702">
        <w:rPr>
          <w:sz w:val="24"/>
          <w:lang w:val="pt-PT"/>
        </w:rPr>
        <w:t xml:space="preserve"> - Performance 2025» [Mecanismo para uma Transição Justa – Desempenho em 2025], Comissão Europeia.</w:t>
      </w:r>
    </w:p>
  </w:footnote>
  <w:footnote w:id="21">
    <w:p w14:paraId="02F641F1" w14:textId="797E4907" w:rsidR="00106A53" w:rsidRPr="00501702" w:rsidRDefault="00106A53" w:rsidP="00501702">
      <w:pPr>
        <w:pStyle w:val="FootnoteText"/>
        <w:ind w:left="567" w:hanging="567"/>
        <w:rPr>
          <w:sz w:val="24"/>
          <w:lang w:val="pt-PT"/>
        </w:rPr>
      </w:pPr>
      <w:r w:rsidRPr="00501702">
        <w:rPr>
          <w:rStyle w:val="FootnoteReference"/>
          <w:sz w:val="24"/>
          <w:lang w:val="pt-PT"/>
        </w:rPr>
        <w:footnoteRef/>
      </w:r>
      <w:r w:rsidR="00501702" w:rsidRPr="00501702">
        <w:rPr>
          <w:sz w:val="24"/>
          <w:lang w:val="pt-PT"/>
        </w:rPr>
        <w:t xml:space="preserve"> </w:t>
      </w:r>
      <w:r w:rsidR="00501702" w:rsidRPr="00501702">
        <w:rPr>
          <w:sz w:val="24"/>
          <w:lang w:val="pt-PT"/>
        </w:rPr>
        <w:tab/>
      </w:r>
      <w:r w:rsidRPr="00501702">
        <w:rPr>
          <w:sz w:val="24"/>
          <w:lang w:val="pt-PT"/>
        </w:rPr>
        <w:t>«</w:t>
      </w:r>
      <w:proofErr w:type="spellStart"/>
      <w:r w:rsidRPr="00501702">
        <w:rPr>
          <w:sz w:val="24"/>
          <w:lang w:val="pt-PT"/>
        </w:rPr>
        <w:t>Employment</w:t>
      </w:r>
      <w:proofErr w:type="spellEnd"/>
      <w:r w:rsidRPr="00501702">
        <w:rPr>
          <w:sz w:val="24"/>
          <w:lang w:val="pt-PT"/>
        </w:rPr>
        <w:t xml:space="preserve"> </w:t>
      </w:r>
      <w:proofErr w:type="spellStart"/>
      <w:r w:rsidRPr="00501702">
        <w:rPr>
          <w:sz w:val="24"/>
          <w:lang w:val="pt-PT"/>
        </w:rPr>
        <w:t>and</w:t>
      </w:r>
      <w:proofErr w:type="spellEnd"/>
      <w:r w:rsidRPr="00501702">
        <w:rPr>
          <w:sz w:val="24"/>
          <w:lang w:val="pt-PT"/>
        </w:rPr>
        <w:t xml:space="preserve"> Social </w:t>
      </w:r>
      <w:proofErr w:type="spellStart"/>
      <w:r w:rsidRPr="00501702">
        <w:rPr>
          <w:sz w:val="24"/>
          <w:lang w:val="pt-PT"/>
        </w:rPr>
        <w:t>Developments</w:t>
      </w:r>
      <w:proofErr w:type="spellEnd"/>
      <w:r w:rsidRPr="00501702">
        <w:rPr>
          <w:sz w:val="24"/>
          <w:lang w:val="pt-PT"/>
        </w:rPr>
        <w:t xml:space="preserve"> in </w:t>
      </w:r>
      <w:proofErr w:type="spellStart"/>
      <w:r w:rsidRPr="00501702">
        <w:rPr>
          <w:sz w:val="24"/>
          <w:lang w:val="pt-PT"/>
        </w:rPr>
        <w:t>Europe</w:t>
      </w:r>
      <w:proofErr w:type="spellEnd"/>
      <w:r w:rsidRPr="00501702">
        <w:rPr>
          <w:sz w:val="24"/>
          <w:lang w:val="pt-PT"/>
        </w:rPr>
        <w:t xml:space="preserve"> 2024» [Evolução do emprego e da situação social na Europa 2025], Comissão Europeia, p. 20.</w:t>
      </w:r>
    </w:p>
  </w:footnote>
  <w:footnote w:id="22">
    <w:p w14:paraId="3C4C7871" w14:textId="2E59782B" w:rsidR="00106A53" w:rsidRPr="00571A6B" w:rsidRDefault="00106A53" w:rsidP="00501702">
      <w:pPr>
        <w:pStyle w:val="FootnoteText"/>
        <w:ind w:left="567" w:hanging="567"/>
        <w:rPr>
          <w:sz w:val="24"/>
          <w:lang w:val="pt-PT"/>
        </w:rPr>
      </w:pPr>
      <w:r w:rsidRPr="00501702">
        <w:rPr>
          <w:rStyle w:val="FootnoteReference"/>
          <w:sz w:val="24"/>
          <w:lang w:val="pt-PT"/>
        </w:rPr>
        <w:footnoteRef/>
      </w:r>
      <w:r w:rsidR="00501702" w:rsidRPr="00501702">
        <w:rPr>
          <w:sz w:val="24"/>
          <w:lang w:val="pt-PT"/>
        </w:rPr>
        <w:t xml:space="preserve"> </w:t>
      </w:r>
      <w:r w:rsidR="00501702" w:rsidRPr="00501702">
        <w:rPr>
          <w:sz w:val="24"/>
          <w:lang w:val="pt-PT"/>
        </w:rPr>
        <w:tab/>
      </w:r>
      <w:r w:rsidRPr="00501702">
        <w:rPr>
          <w:sz w:val="24"/>
          <w:lang w:val="pt-PT"/>
        </w:rPr>
        <w:t>«</w:t>
      </w:r>
      <w:proofErr w:type="spellStart"/>
      <w:r w:rsidRPr="00501702">
        <w:rPr>
          <w:sz w:val="24"/>
          <w:lang w:val="pt-PT"/>
        </w:rPr>
        <w:t>Just</w:t>
      </w:r>
      <w:proofErr w:type="spellEnd"/>
      <w:r w:rsidRPr="00501702">
        <w:rPr>
          <w:sz w:val="24"/>
          <w:lang w:val="pt-PT"/>
        </w:rPr>
        <w:t xml:space="preserve"> </w:t>
      </w:r>
      <w:proofErr w:type="spellStart"/>
      <w:r w:rsidRPr="00501702">
        <w:rPr>
          <w:sz w:val="24"/>
          <w:lang w:val="pt-PT"/>
        </w:rPr>
        <w:t>Transition</w:t>
      </w:r>
      <w:proofErr w:type="spellEnd"/>
      <w:r w:rsidRPr="00501702">
        <w:rPr>
          <w:sz w:val="24"/>
          <w:lang w:val="pt-PT"/>
        </w:rPr>
        <w:t xml:space="preserve"> in </w:t>
      </w:r>
      <w:proofErr w:type="spellStart"/>
      <w:r w:rsidRPr="00501702">
        <w:rPr>
          <w:sz w:val="24"/>
          <w:lang w:val="pt-PT"/>
        </w:rPr>
        <w:t>the</w:t>
      </w:r>
      <w:proofErr w:type="spellEnd"/>
      <w:r w:rsidRPr="00501702">
        <w:rPr>
          <w:sz w:val="24"/>
          <w:lang w:val="pt-PT"/>
        </w:rPr>
        <w:t xml:space="preserve"> </w:t>
      </w:r>
      <w:proofErr w:type="spellStart"/>
      <w:r w:rsidRPr="00501702">
        <w:rPr>
          <w:sz w:val="24"/>
          <w:lang w:val="pt-PT"/>
        </w:rPr>
        <w:t>World</w:t>
      </w:r>
      <w:proofErr w:type="spellEnd"/>
      <w:r w:rsidRPr="00501702">
        <w:rPr>
          <w:sz w:val="24"/>
          <w:lang w:val="pt-PT"/>
        </w:rPr>
        <w:t xml:space="preserve"> </w:t>
      </w:r>
      <w:proofErr w:type="spellStart"/>
      <w:r w:rsidRPr="00501702">
        <w:rPr>
          <w:sz w:val="24"/>
          <w:lang w:val="pt-PT"/>
        </w:rPr>
        <w:t>of</w:t>
      </w:r>
      <w:proofErr w:type="spellEnd"/>
      <w:r w:rsidRPr="00501702">
        <w:rPr>
          <w:sz w:val="24"/>
          <w:lang w:val="pt-PT"/>
        </w:rPr>
        <w:t xml:space="preserve"> </w:t>
      </w:r>
      <w:proofErr w:type="spellStart"/>
      <w:r w:rsidRPr="00501702">
        <w:rPr>
          <w:sz w:val="24"/>
          <w:lang w:val="pt-PT"/>
        </w:rPr>
        <w:t>Work</w:t>
      </w:r>
      <w:proofErr w:type="spellEnd"/>
      <w:r w:rsidRPr="00501702">
        <w:rPr>
          <w:sz w:val="24"/>
          <w:lang w:val="pt-PT"/>
        </w:rPr>
        <w:t>» [Transição justa no mundo do trabalho], EPRS, setembro de 2025.</w:t>
      </w:r>
      <w:r w:rsidR="00C51729">
        <w:rPr>
          <w:sz w:val="24"/>
          <w:lang w:val="pt-PT"/>
        </w:rPr>
        <w:t xml:space="preserve"> </w:t>
      </w:r>
      <w:r w:rsidR="00571A6B">
        <w:fldChar w:fldCharType="begin"/>
      </w:r>
      <w:r w:rsidR="00571A6B" w:rsidRPr="00571A6B">
        <w:rPr>
          <w:lang w:val="pt-PT"/>
        </w:rPr>
        <w:instrText>HYPERLINK "https://www.europarl.europa.eu/RegData/etudes/BRIE/2025/774668/EPRS_BRI(2025)774668_EN.pdf"</w:instrText>
      </w:r>
      <w:r w:rsidR="00571A6B">
        <w:fldChar w:fldCharType="separate"/>
      </w:r>
      <w:r w:rsidR="00C51729" w:rsidRPr="00571A6B">
        <w:rPr>
          <w:rStyle w:val="Hyperlink"/>
          <w:sz w:val="24"/>
          <w:lang w:val="pt-PT"/>
        </w:rPr>
        <w:t>https://www.europarl.europa.eu/RegData/etudes/BRIE/2025/774668/EPRS_BRI(2025)774668_EN.pdf</w:t>
      </w:r>
      <w:r w:rsidR="00571A6B">
        <w:rPr>
          <w:rStyle w:val="Hyperlink"/>
          <w:sz w:val="24"/>
        </w:rPr>
        <w:fldChar w:fldCharType="end"/>
      </w:r>
      <w:r w:rsidR="00C51729" w:rsidRPr="00571A6B">
        <w:rPr>
          <w:sz w:val="24"/>
          <w:lang w:val="pt-P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65093711">
    <w:abstractNumId w:val="9"/>
  </w:num>
  <w:num w:numId="2" w16cid:durableId="606229110">
    <w:abstractNumId w:val="9"/>
  </w:num>
  <w:num w:numId="3" w16cid:durableId="1576820389">
    <w:abstractNumId w:val="7"/>
  </w:num>
  <w:num w:numId="4" w16cid:durableId="151144430">
    <w:abstractNumId w:val="7"/>
  </w:num>
  <w:num w:numId="5" w16cid:durableId="341707549">
    <w:abstractNumId w:val="6"/>
  </w:num>
  <w:num w:numId="6" w16cid:durableId="1824620381">
    <w:abstractNumId w:val="6"/>
  </w:num>
  <w:num w:numId="7" w16cid:durableId="1581789087">
    <w:abstractNumId w:val="5"/>
  </w:num>
  <w:num w:numId="8" w16cid:durableId="1610965905">
    <w:abstractNumId w:val="5"/>
  </w:num>
  <w:num w:numId="9" w16cid:durableId="1517036370">
    <w:abstractNumId w:val="4"/>
  </w:num>
  <w:num w:numId="10" w16cid:durableId="501240040">
    <w:abstractNumId w:val="4"/>
  </w:num>
  <w:num w:numId="11" w16cid:durableId="1164278683">
    <w:abstractNumId w:val="8"/>
  </w:num>
  <w:num w:numId="12" w16cid:durableId="435440497">
    <w:abstractNumId w:val="8"/>
  </w:num>
  <w:num w:numId="13" w16cid:durableId="710347051">
    <w:abstractNumId w:val="3"/>
  </w:num>
  <w:num w:numId="14" w16cid:durableId="64643023">
    <w:abstractNumId w:val="3"/>
  </w:num>
  <w:num w:numId="15" w16cid:durableId="1893079432">
    <w:abstractNumId w:val="2"/>
  </w:num>
  <w:num w:numId="16" w16cid:durableId="1169978459">
    <w:abstractNumId w:val="2"/>
  </w:num>
  <w:num w:numId="17" w16cid:durableId="1183205495">
    <w:abstractNumId w:val="1"/>
  </w:num>
  <w:num w:numId="18" w16cid:durableId="243611418">
    <w:abstractNumId w:val="1"/>
  </w:num>
  <w:num w:numId="19" w16cid:durableId="630743238">
    <w:abstractNumId w:val="0"/>
  </w:num>
  <w:num w:numId="20" w16cid:durableId="853422408">
    <w:abstractNumId w:val="0"/>
  </w:num>
  <w:num w:numId="21" w16cid:durableId="2047172876">
    <w:abstractNumId w:val="9"/>
  </w:num>
  <w:num w:numId="22" w16cid:durableId="706368707">
    <w:abstractNumId w:val="7"/>
  </w:num>
  <w:num w:numId="23" w16cid:durableId="1938756180">
    <w:abstractNumId w:val="6"/>
  </w:num>
  <w:num w:numId="24" w16cid:durableId="1681812389">
    <w:abstractNumId w:val="5"/>
  </w:num>
  <w:num w:numId="25" w16cid:durableId="407969996">
    <w:abstractNumId w:val="4"/>
  </w:num>
  <w:num w:numId="26" w16cid:durableId="166487727">
    <w:abstractNumId w:val="8"/>
  </w:num>
  <w:num w:numId="27" w16cid:durableId="944312895">
    <w:abstractNumId w:val="3"/>
  </w:num>
  <w:num w:numId="28" w16cid:durableId="169301812">
    <w:abstractNumId w:val="2"/>
  </w:num>
  <w:num w:numId="29" w16cid:durableId="632252971">
    <w:abstractNumId w:val="1"/>
  </w:num>
  <w:num w:numId="30" w16cid:durableId="1610700003">
    <w:abstractNumId w:val="0"/>
  </w:num>
  <w:num w:numId="31" w16cid:durableId="933823301">
    <w:abstractNumId w:val="9"/>
  </w:num>
  <w:num w:numId="32" w16cid:durableId="1110859899">
    <w:abstractNumId w:val="7"/>
  </w:num>
  <w:num w:numId="33" w16cid:durableId="2093744875">
    <w:abstractNumId w:val="6"/>
  </w:num>
  <w:num w:numId="34" w16cid:durableId="346031041">
    <w:abstractNumId w:val="5"/>
  </w:num>
  <w:num w:numId="35" w16cid:durableId="1907764979">
    <w:abstractNumId w:val="4"/>
  </w:num>
  <w:num w:numId="36" w16cid:durableId="23214867">
    <w:abstractNumId w:val="8"/>
  </w:num>
  <w:num w:numId="37" w16cid:durableId="907688587">
    <w:abstractNumId w:val="3"/>
  </w:num>
  <w:num w:numId="38" w16cid:durableId="1418133595">
    <w:abstractNumId w:val="2"/>
  </w:num>
  <w:num w:numId="39" w16cid:durableId="875581008">
    <w:abstractNumId w:val="1"/>
  </w:num>
  <w:num w:numId="40" w16cid:durableId="849293291">
    <w:abstractNumId w:val="0"/>
  </w:num>
  <w:num w:numId="41" w16cid:durableId="1761411389">
    <w:abstractNumId w:val="10"/>
  </w:num>
  <w:num w:numId="42" w16cid:durableId="353729134">
    <w:abstractNumId w:val="10"/>
  </w:num>
  <w:num w:numId="43" w16cid:durableId="1523931069">
    <w:abstractNumId w:val="10"/>
  </w:num>
  <w:num w:numId="44" w16cid:durableId="19877804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1/2025"/>
    <w:docVar w:name="dvlangue" w:val="PT"/>
    <w:docVar w:name="dvnumam" w:val="0"/>
    <w:docVar w:name="dvpe" w:val="775.632"/>
    <w:docVar w:name="dvrapporteur" w:val="Relatora: "/>
    <w:docVar w:name="dvtitre" w:val="Resolução legislativa do Parlamento Europeu, de ... de ... de 2026,_x000d__x000a_ que contém recomendações à Comissão sobre a Diretiva relativa a uma transição justa no mundo do trabalho: garantir a criação de emprego e revitalizar as economias locais(2025/2131(INL))"/>
  </w:docVars>
  <w:rsids>
    <w:rsidRoot w:val="00F659EF"/>
    <w:rsid w:val="00002272"/>
    <w:rsid w:val="00064002"/>
    <w:rsid w:val="000677B9"/>
    <w:rsid w:val="000831BA"/>
    <w:rsid w:val="0008651B"/>
    <w:rsid w:val="000A42CC"/>
    <w:rsid w:val="000B669E"/>
    <w:rsid w:val="000E7DD9"/>
    <w:rsid w:val="0010095E"/>
    <w:rsid w:val="00106A53"/>
    <w:rsid w:val="00125B37"/>
    <w:rsid w:val="00187494"/>
    <w:rsid w:val="001F32AE"/>
    <w:rsid w:val="00206A20"/>
    <w:rsid w:val="002767FF"/>
    <w:rsid w:val="002805F0"/>
    <w:rsid w:val="002B18FE"/>
    <w:rsid w:val="002B5493"/>
    <w:rsid w:val="00343214"/>
    <w:rsid w:val="00361C00"/>
    <w:rsid w:val="00395FA1"/>
    <w:rsid w:val="003E15D4"/>
    <w:rsid w:val="004060FD"/>
    <w:rsid w:val="00411CCE"/>
    <w:rsid w:val="0041666E"/>
    <w:rsid w:val="00421060"/>
    <w:rsid w:val="00471C19"/>
    <w:rsid w:val="004867E3"/>
    <w:rsid w:val="00494A28"/>
    <w:rsid w:val="004C0004"/>
    <w:rsid w:val="004C5D52"/>
    <w:rsid w:val="00501702"/>
    <w:rsid w:val="0050519A"/>
    <w:rsid w:val="005072A1"/>
    <w:rsid w:val="00514517"/>
    <w:rsid w:val="00545827"/>
    <w:rsid w:val="00560270"/>
    <w:rsid w:val="00563E64"/>
    <w:rsid w:val="00571A6B"/>
    <w:rsid w:val="00585748"/>
    <w:rsid w:val="005C2568"/>
    <w:rsid w:val="005D6D11"/>
    <w:rsid w:val="005F1B17"/>
    <w:rsid w:val="006037C0"/>
    <w:rsid w:val="006631B6"/>
    <w:rsid w:val="00680577"/>
    <w:rsid w:val="00682815"/>
    <w:rsid w:val="006D2A96"/>
    <w:rsid w:val="006F74FA"/>
    <w:rsid w:val="00731ADD"/>
    <w:rsid w:val="00734777"/>
    <w:rsid w:val="0074578E"/>
    <w:rsid w:val="00747932"/>
    <w:rsid w:val="00751A4A"/>
    <w:rsid w:val="00756632"/>
    <w:rsid w:val="00762C74"/>
    <w:rsid w:val="00786EC0"/>
    <w:rsid w:val="007A5BA4"/>
    <w:rsid w:val="007D1690"/>
    <w:rsid w:val="007E22AD"/>
    <w:rsid w:val="00817416"/>
    <w:rsid w:val="00842779"/>
    <w:rsid w:val="00845AD2"/>
    <w:rsid w:val="00861A70"/>
    <w:rsid w:val="00865F67"/>
    <w:rsid w:val="00881A7B"/>
    <w:rsid w:val="008840E5"/>
    <w:rsid w:val="00887B3E"/>
    <w:rsid w:val="008C2AC6"/>
    <w:rsid w:val="008C5FF7"/>
    <w:rsid w:val="00930C23"/>
    <w:rsid w:val="0093193B"/>
    <w:rsid w:val="009509D8"/>
    <w:rsid w:val="00950B64"/>
    <w:rsid w:val="00960109"/>
    <w:rsid w:val="00981893"/>
    <w:rsid w:val="009D6A72"/>
    <w:rsid w:val="00A062A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BC8"/>
    <w:rsid w:val="00B558F0"/>
    <w:rsid w:val="00BD48FE"/>
    <w:rsid w:val="00BD7BD8"/>
    <w:rsid w:val="00BE6ADC"/>
    <w:rsid w:val="00C05BFE"/>
    <w:rsid w:val="00C23CD4"/>
    <w:rsid w:val="00C51729"/>
    <w:rsid w:val="00C61C0C"/>
    <w:rsid w:val="00C6639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19AE"/>
    <w:rsid w:val="00EB006A"/>
    <w:rsid w:val="00EB4772"/>
    <w:rsid w:val="00ED169E"/>
    <w:rsid w:val="00ED4235"/>
    <w:rsid w:val="00F04346"/>
    <w:rsid w:val="00F075DC"/>
    <w:rsid w:val="00F149E9"/>
    <w:rsid w:val="00F5134D"/>
    <w:rsid w:val="00F659EF"/>
    <w:rsid w:val="00F74202"/>
    <w:rsid w:val="00F87713"/>
    <w:rsid w:val="00FB4360"/>
    <w:rsid w:val="00FC473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154550"/>
  <w15:chartTrackingRefBased/>
  <w15:docId w15:val="{665FBFF2-530F-4595-A1C8-659B36C79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notenzeichen Car,-E Fußnotenzeichen Car,BVI fnr Car,FR,Footnote Car,Footnote Reference Superscript Car,Footnote number Car,Footnote reference number Car,Footnote symbol Car,Ref Car,SUPERS Car,de nota al pie Car,note TESI Car,o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06A53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106A53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106A53"/>
    <w:rPr>
      <w:sz w:val="24"/>
      <w:lang w:val="pt-PT"/>
    </w:rPr>
  </w:style>
  <w:style w:type="character" w:styleId="Emphasis">
    <w:name w:val="Emphasis"/>
    <w:basedOn w:val="DefaultParagraphFont"/>
    <w:uiPriority w:val="20"/>
    <w:qFormat/>
    <w:rsid w:val="00106A53"/>
    <w:rPr>
      <w:i/>
      <w:iCs/>
    </w:rPr>
  </w:style>
  <w:style w:type="paragraph" w:styleId="Revision">
    <w:name w:val="Revision"/>
    <w:hidden/>
    <w:uiPriority w:val="99"/>
    <w:semiHidden/>
    <w:rsid w:val="00EA19AE"/>
    <w:rPr>
      <w:sz w:val="24"/>
      <w:lang w:val="pt-PT"/>
    </w:rPr>
  </w:style>
  <w:style w:type="character" w:styleId="CommentReference">
    <w:name w:val="annotation reference"/>
    <w:basedOn w:val="DefaultParagraphFont"/>
    <w:rsid w:val="00EA19AE"/>
    <w:rPr>
      <w:sz w:val="16"/>
      <w:szCs w:val="16"/>
    </w:rPr>
  </w:style>
  <w:style w:type="paragraph" w:styleId="CommentText">
    <w:name w:val="annotation text"/>
    <w:basedOn w:val="Normal"/>
    <w:link w:val="CommentTextChar"/>
    <w:rsid w:val="00EA19A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A19A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A19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A19AE"/>
    <w:rPr>
      <w:b/>
      <w:bCs/>
      <w:lang w:val="pt-PT"/>
    </w:rPr>
  </w:style>
  <w:style w:type="character" w:styleId="Hyperlink">
    <w:name w:val="Hyperlink"/>
    <w:basedOn w:val="DefaultParagraphFont"/>
    <w:rsid w:val="00EA19AE"/>
    <w:rPr>
      <w:color w:val="0563C1" w:themeColor="hyperlink"/>
      <w:u w:val="single"/>
    </w:rPr>
  </w:style>
  <w:style w:type="paragraph" w:customStyle="1" w:styleId="PageHeading">
    <w:name w:val="PageHeading"/>
    <w:basedOn w:val="Normal"/>
    <w:link w:val="PageHeadingChar"/>
    <w:rsid w:val="00C66393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Char">
    <w:name w:val="PageHeading Char"/>
    <w:basedOn w:val="DefaultParagraphFont"/>
    <w:link w:val="PageHeading"/>
    <w:rsid w:val="00C66393"/>
    <w:rPr>
      <w:rFonts w:ascii="Arial" w:hAnsi="Arial" w:cs="Arial"/>
      <w:b/>
      <w:sz w:val="24"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B53BC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B53B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7919</Words>
  <Characters>43785</Characters>
  <Application>Microsoft Office Word</Application>
  <DocSecurity>0</DocSecurity>
  <Lines>364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2026-01-22T09:00:00Z</dcterms:created>
  <dcterms:modified xsi:type="dcterms:W3CDTF">2026-01-22T09:00:00Z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P10_TA(2026)0003_</vt:lpwstr>
  </property>
  <property fmtid="{D5CDD505-2E9C-101B-9397-08002B2CF9AE}" pid="4" name="&lt;Type&gt;">
    <vt:lpwstr>RR</vt:lpwstr>
  </property>
</Properties>
</file>