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4C2B" w14:paraId="4DB9CE0C" w14:textId="77777777" w:rsidTr="0010095E">
        <w:trPr>
          <w:trHeight w:hRule="exact" w:val="1418"/>
        </w:trPr>
        <w:tc>
          <w:tcPr>
            <w:tcW w:w="6804" w:type="dxa"/>
            <w:shd w:val="clear" w:color="auto" w:fill="auto"/>
            <w:vAlign w:val="center"/>
          </w:tcPr>
          <w:p w14:paraId="672BCE8D" w14:textId="6AEC81E8" w:rsidR="00751A4A" w:rsidRPr="007B4C2B" w:rsidRDefault="00D72D0C" w:rsidP="0010095E">
            <w:pPr>
              <w:pStyle w:val="EPName"/>
            </w:pPr>
            <w:r w:rsidRPr="007B4C2B">
              <w:t>Parlamentul European</w:t>
            </w:r>
          </w:p>
          <w:p w14:paraId="169FD82F" w14:textId="77777777" w:rsidR="00751A4A" w:rsidRPr="007B4C2B" w:rsidRDefault="005F1B17" w:rsidP="005F1B17">
            <w:pPr>
              <w:pStyle w:val="EPTerm"/>
              <w:rPr>
                <w:rStyle w:val="HideTWBExt"/>
                <w:noProof w:val="0"/>
                <w:vanish w:val="0"/>
                <w:color w:val="auto"/>
              </w:rPr>
            </w:pPr>
            <w:r w:rsidRPr="007B4C2B">
              <w:t>2024</w:t>
            </w:r>
            <w:r w:rsidR="00817416" w:rsidRPr="007B4C2B">
              <w:t>-202</w:t>
            </w:r>
            <w:r w:rsidRPr="007B4C2B">
              <w:t>9</w:t>
            </w:r>
          </w:p>
        </w:tc>
        <w:tc>
          <w:tcPr>
            <w:tcW w:w="2268" w:type="dxa"/>
            <w:shd w:val="clear" w:color="auto" w:fill="auto"/>
          </w:tcPr>
          <w:p w14:paraId="0D353834" w14:textId="77777777" w:rsidR="00751A4A" w:rsidRPr="007B4C2B" w:rsidRDefault="00187494" w:rsidP="0010095E">
            <w:pPr>
              <w:pStyle w:val="EPLogo"/>
            </w:pPr>
            <w:r w:rsidRPr="007B4C2B">
              <w:rPr>
                <w:noProof/>
                <w:lang w:eastAsia="ja-JP"/>
              </w:rPr>
              <w:drawing>
                <wp:inline distT="0" distB="0" distL="0" distR="0" wp14:anchorId="37562BCD" wp14:editId="7FDB32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22942C" w14:textId="77777777" w:rsidR="00D058B8" w:rsidRPr="007B4C2B" w:rsidRDefault="00D058B8" w:rsidP="004C5D52">
      <w:pPr>
        <w:pStyle w:val="LineTop"/>
      </w:pPr>
    </w:p>
    <w:p w14:paraId="059B58D2" w14:textId="5B7AFD87" w:rsidR="00680577" w:rsidRPr="007B4C2B" w:rsidRDefault="00D72D0C" w:rsidP="00680577">
      <w:pPr>
        <w:pStyle w:val="EPBodyTA1"/>
      </w:pPr>
      <w:r w:rsidRPr="007B4C2B">
        <w:t>TEXTE ADOPTATE</w:t>
      </w:r>
    </w:p>
    <w:p w14:paraId="33AB1514" w14:textId="77777777" w:rsidR="00D058B8" w:rsidRPr="007B4C2B" w:rsidRDefault="00D058B8" w:rsidP="00D058B8">
      <w:pPr>
        <w:pStyle w:val="LineBottom"/>
      </w:pPr>
    </w:p>
    <w:p w14:paraId="44C4759F" w14:textId="0E4AE1D7" w:rsidR="00D72D0C" w:rsidRPr="007B4C2B" w:rsidRDefault="00D72D0C" w:rsidP="00D72D0C">
      <w:pPr>
        <w:pStyle w:val="ATHeading1"/>
      </w:pPr>
      <w:bookmarkStart w:id="0" w:name="TANumber"/>
      <w:r w:rsidRPr="007B4C2B">
        <w:t>P10_TA(2026)000</w:t>
      </w:r>
      <w:bookmarkEnd w:id="0"/>
      <w:r w:rsidR="00BB49B2" w:rsidRPr="007B4C2B">
        <w:t>3</w:t>
      </w:r>
    </w:p>
    <w:p w14:paraId="4CBD124A" w14:textId="77777777" w:rsidR="00D72D0C" w:rsidRPr="007B4C2B" w:rsidRDefault="00D72D0C" w:rsidP="00D72D0C">
      <w:pPr>
        <w:pStyle w:val="ATHeading2"/>
      </w:pPr>
      <w:bookmarkStart w:id="1" w:name="title"/>
      <w:r w:rsidRPr="007B4C2B">
        <w:t>Directiva privind tranziția justă în lumea muncii: asigurarea creării de locuri de muncă și revitalizarea economiilor locale</w:t>
      </w:r>
      <w:bookmarkEnd w:id="1"/>
    </w:p>
    <w:p w14:paraId="7F21BCCE" w14:textId="77777777" w:rsidR="00D72D0C" w:rsidRPr="007B4C2B" w:rsidRDefault="00D72D0C" w:rsidP="00D72D0C">
      <w:pPr>
        <w:rPr>
          <w:i/>
          <w:vanish/>
        </w:rPr>
      </w:pPr>
      <w:r w:rsidRPr="007B4C2B">
        <w:rPr>
          <w:i/>
        </w:rPr>
        <w:fldChar w:fldCharType="begin"/>
      </w:r>
      <w:r w:rsidRPr="007B4C2B">
        <w:rPr>
          <w:i/>
        </w:rPr>
        <w:instrText xml:space="preserve"> TC"(</w:instrText>
      </w:r>
      <w:bookmarkStart w:id="2" w:name="DocNumber"/>
      <w:r w:rsidRPr="007B4C2B">
        <w:rPr>
          <w:i/>
        </w:rPr>
        <w:instrText>A10-0261/2025</w:instrText>
      </w:r>
      <w:bookmarkEnd w:id="2"/>
      <w:r w:rsidRPr="007B4C2B">
        <w:rPr>
          <w:i/>
        </w:rPr>
        <w:instrText xml:space="preserve"> - Raportoare: Jana Toom)"\l3 \n&gt; \* MERGEFORMAT </w:instrText>
      </w:r>
      <w:r w:rsidRPr="007B4C2B">
        <w:rPr>
          <w:i/>
        </w:rPr>
        <w:fldChar w:fldCharType="end"/>
      </w:r>
    </w:p>
    <w:p w14:paraId="2BA1D186" w14:textId="77777777" w:rsidR="00D72D0C" w:rsidRPr="007B4C2B" w:rsidRDefault="00D72D0C" w:rsidP="00D72D0C">
      <w:pPr>
        <w:rPr>
          <w:vanish/>
        </w:rPr>
      </w:pPr>
      <w:bookmarkStart w:id="3" w:name="Commission"/>
      <w:r w:rsidRPr="007B4C2B">
        <w:rPr>
          <w:vanish/>
        </w:rPr>
        <w:t>Comisia pentru ocuparea forței de muncă și afaceri sociale</w:t>
      </w:r>
      <w:bookmarkEnd w:id="3"/>
    </w:p>
    <w:p w14:paraId="2D257FE2" w14:textId="77777777" w:rsidR="00D72D0C" w:rsidRPr="007B4C2B" w:rsidRDefault="00D72D0C" w:rsidP="00D72D0C">
      <w:pPr>
        <w:rPr>
          <w:vanish/>
        </w:rPr>
      </w:pPr>
      <w:bookmarkStart w:id="4" w:name="PE"/>
      <w:r w:rsidRPr="007B4C2B">
        <w:rPr>
          <w:vanish/>
        </w:rPr>
        <w:t>PE775.632</w:t>
      </w:r>
      <w:bookmarkEnd w:id="4"/>
    </w:p>
    <w:p w14:paraId="44CEBD36" w14:textId="083368B6" w:rsidR="00D72D0C" w:rsidRPr="007B4C2B" w:rsidRDefault="00D72D0C" w:rsidP="00D72D0C">
      <w:pPr>
        <w:pStyle w:val="ATHeading3"/>
      </w:pPr>
      <w:bookmarkStart w:id="5" w:name="Sujet"/>
      <w:r w:rsidRPr="007B4C2B">
        <w:t xml:space="preserve">Rezoluția Parlamentului European din </w:t>
      </w:r>
      <w:r w:rsidR="00E80AE9" w:rsidRPr="007B4C2B">
        <w:t>20</w:t>
      </w:r>
      <w:r w:rsidRPr="007B4C2B">
        <w:t xml:space="preserve"> ianuarie 2026 conținând recomandări adresate Comisiei referitoare la Directiva privind tranziția justă în lumea muncii: asigurarea creării de locuri de muncă și revitalizarea economiilor locale</w:t>
      </w:r>
      <w:bookmarkEnd w:id="5"/>
      <w:r w:rsidRPr="007B4C2B">
        <w:t xml:space="preserve"> </w:t>
      </w:r>
      <w:bookmarkStart w:id="6" w:name="References"/>
      <w:r w:rsidRPr="007B4C2B">
        <w:t>(2025/2131(INL))</w:t>
      </w:r>
      <w:bookmarkEnd w:id="6"/>
    </w:p>
    <w:p w14:paraId="478A731C" w14:textId="77777777" w:rsidR="009F6BED" w:rsidRPr="007B4C2B" w:rsidRDefault="009F6BED" w:rsidP="009F6BED">
      <w:pPr>
        <w:pStyle w:val="EPComma"/>
      </w:pPr>
      <w:bookmarkStart w:id="7" w:name="TextBodyBegin"/>
      <w:bookmarkEnd w:id="7"/>
      <w:r w:rsidRPr="007B4C2B">
        <w:rPr>
          <w:i/>
          <w:iCs/>
        </w:rPr>
        <w:t>Parlamentul European</w:t>
      </w:r>
      <w:r w:rsidRPr="007B4C2B">
        <w:t>,</w:t>
      </w:r>
    </w:p>
    <w:p w14:paraId="256ED290" w14:textId="77777777" w:rsidR="009F6BED" w:rsidRPr="007B4C2B" w:rsidRDefault="009F6BED" w:rsidP="009F6BED">
      <w:pPr>
        <w:pStyle w:val="NormalHanging12a"/>
      </w:pPr>
      <w:r w:rsidRPr="007B4C2B">
        <w:t>–</w:t>
      </w:r>
      <w:r w:rsidRPr="007B4C2B">
        <w:tab/>
        <w:t>având în vedere articolele 153 și 225 din Tratatul privind funcționarea Uniunii Europene (TFUE),</w:t>
      </w:r>
    </w:p>
    <w:p w14:paraId="2790AC8A" w14:textId="77777777" w:rsidR="009F6BED" w:rsidRPr="007B4C2B" w:rsidRDefault="009F6BED" w:rsidP="009F6BED">
      <w:pPr>
        <w:pStyle w:val="NormalHanging12a"/>
      </w:pPr>
      <w:r w:rsidRPr="007B4C2B">
        <w:t>–</w:t>
      </w:r>
      <w:r w:rsidRPr="007B4C2B">
        <w:tab/>
        <w:t>având în vedere avizul Comisiei pentru afaceri juridice privind temeiul juridic propus,</w:t>
      </w:r>
    </w:p>
    <w:p w14:paraId="7437F5E2" w14:textId="77777777" w:rsidR="009F6BED" w:rsidRPr="007B4C2B" w:rsidRDefault="009F6BED" w:rsidP="009F6BED">
      <w:pPr>
        <w:pStyle w:val="NormalHanging12a"/>
      </w:pPr>
      <w:r w:rsidRPr="007B4C2B">
        <w:t>–</w:t>
      </w:r>
      <w:r w:rsidRPr="007B4C2B">
        <w:tab/>
        <w:t>având în vedere articolele 47 și 55 din Regulamentul său de procedură,</w:t>
      </w:r>
    </w:p>
    <w:p w14:paraId="21E0D172" w14:textId="77777777" w:rsidR="009F6BED" w:rsidRPr="007B4C2B" w:rsidRDefault="009F6BED" w:rsidP="009F6BED">
      <w:pPr>
        <w:pStyle w:val="NormalHanging12a"/>
      </w:pPr>
      <w:r w:rsidRPr="007B4C2B">
        <w:t>–</w:t>
      </w:r>
      <w:r w:rsidRPr="007B4C2B">
        <w:tab/>
        <w:t>având în vedere articolele 4, 9, 46, 149, 151, 153, 162, 164, 174-178 și 349 din TFUE,</w:t>
      </w:r>
    </w:p>
    <w:p w14:paraId="48CFBD15" w14:textId="77777777" w:rsidR="009F6BED" w:rsidRPr="007B4C2B" w:rsidRDefault="009F6BED" w:rsidP="009F6BED">
      <w:pPr>
        <w:pStyle w:val="NormalHanging12a"/>
      </w:pPr>
      <w:r w:rsidRPr="007B4C2B">
        <w:t>–</w:t>
      </w:r>
      <w:r w:rsidRPr="007B4C2B">
        <w:tab/>
        <w:t>având în vedere comunicarea Comisiei din 11 decembrie 2019 privind Pactul verde european (COM(2019)0640),</w:t>
      </w:r>
    </w:p>
    <w:p w14:paraId="6495B115" w14:textId="77777777" w:rsidR="009F6BED" w:rsidRPr="007B4C2B" w:rsidRDefault="009F6BED" w:rsidP="009F6BED">
      <w:pPr>
        <w:pStyle w:val="NormalHanging12a"/>
      </w:pPr>
      <w:r w:rsidRPr="007B4C2B">
        <w:t>–</w:t>
      </w:r>
      <w:r w:rsidRPr="007B4C2B">
        <w:tab/>
        <w:t>având în vedere comunicarea Comisiei din 4 martie 2021 intitulată „Plan de acțiune privind Pilonul european al drepturilor sociale” (COM(2021)0102),</w:t>
      </w:r>
    </w:p>
    <w:p w14:paraId="5DB76664" w14:textId="77777777" w:rsidR="009F6BED" w:rsidRPr="007B4C2B" w:rsidRDefault="009F6BED" w:rsidP="009F6BED">
      <w:pPr>
        <w:pStyle w:val="NormalHanging12a"/>
      </w:pPr>
      <w:r w:rsidRPr="007B4C2B">
        <w:t>–</w:t>
      </w:r>
      <w:r w:rsidRPr="007B4C2B">
        <w:tab/>
        <w:t>având în vedere Regulamentul (UE) 2021/241 al Parlamentului European și al Consiliului din 12 februarie 2021 de instituire a Mecanismului de redresare și reziliență</w:t>
      </w:r>
      <w:r w:rsidRPr="007B4C2B">
        <w:rPr>
          <w:rStyle w:val="FootnoteReference"/>
        </w:rPr>
        <w:footnoteReference w:id="1"/>
      </w:r>
      <w:r w:rsidRPr="007B4C2B">
        <w:t xml:space="preserve"> (MRR),</w:t>
      </w:r>
    </w:p>
    <w:p w14:paraId="5FDFFC84" w14:textId="77777777" w:rsidR="009F6BED" w:rsidRPr="007B4C2B" w:rsidRDefault="009F6BED" w:rsidP="009F6BED">
      <w:pPr>
        <w:pStyle w:val="NormalHanging12a"/>
      </w:pPr>
      <w:r w:rsidRPr="007B4C2B">
        <w:t>–</w:t>
      </w:r>
      <w:r w:rsidRPr="007B4C2B">
        <w:tab/>
        <w:t>având în vedere Regulamentul (UE) 2021/1056 al Parlamentului European și al Consiliului din 24 iunie 2021 de instituire a Fondului pentru o tranziție justă</w:t>
      </w:r>
      <w:r w:rsidRPr="007B4C2B">
        <w:rPr>
          <w:rStyle w:val="FootnoteReference"/>
        </w:rPr>
        <w:footnoteReference w:id="2"/>
      </w:r>
      <w:r w:rsidRPr="007B4C2B">
        <w:t xml:space="preserve"> (FTJ),</w:t>
      </w:r>
    </w:p>
    <w:p w14:paraId="2EE74D43" w14:textId="77777777" w:rsidR="009F6BED" w:rsidRPr="007B4C2B" w:rsidRDefault="009F6BED" w:rsidP="009F6BED">
      <w:pPr>
        <w:pStyle w:val="NormalHanging12a"/>
      </w:pPr>
      <w:r w:rsidRPr="007B4C2B">
        <w:t>–</w:t>
      </w:r>
      <w:r w:rsidRPr="007B4C2B">
        <w:tab/>
        <w:t xml:space="preserve">având în vedere Regulamentul (UE) 2021/1057 al Parlamentului European și al Consiliului din 24 iunie 2021 de instituire a Fondului social european Plus (FSE+) și de </w:t>
      </w:r>
      <w:r w:rsidRPr="007B4C2B">
        <w:lastRenderedPageBreak/>
        <w:t>abrogare a Regulamentului (UE) nr. 1296/2013</w:t>
      </w:r>
      <w:r w:rsidRPr="007B4C2B">
        <w:rPr>
          <w:rStyle w:val="FootnoteReference"/>
        </w:rPr>
        <w:footnoteReference w:id="3"/>
      </w:r>
      <w:r w:rsidRPr="007B4C2B">
        <w:t>,</w:t>
      </w:r>
    </w:p>
    <w:p w14:paraId="7A8BE019" w14:textId="77777777" w:rsidR="009F6BED" w:rsidRPr="007B4C2B" w:rsidRDefault="009F6BED" w:rsidP="009F6BED">
      <w:pPr>
        <w:pStyle w:val="NormalHanging12a"/>
      </w:pPr>
      <w:r w:rsidRPr="007B4C2B">
        <w:t>–</w:t>
      </w:r>
      <w:r w:rsidRPr="007B4C2B">
        <w:tab/>
        <w:t>având în vedere Regulamentul (UE) 2021/691 al Parlamentului European și al Consiliului din 28 aprilie 2021 privind Fondul european de ajustare la globalizare pentru lucrătorii disponibilizați (FEG) și de abrogare a Regulamentului (UE) nr. 1309/2013</w:t>
      </w:r>
      <w:r w:rsidRPr="007B4C2B">
        <w:rPr>
          <w:rStyle w:val="FootnoteReference"/>
        </w:rPr>
        <w:footnoteReference w:id="4"/>
      </w:r>
      <w:r w:rsidRPr="007B4C2B">
        <w:t>,</w:t>
      </w:r>
    </w:p>
    <w:p w14:paraId="63211A56" w14:textId="77777777" w:rsidR="009F6BED" w:rsidRPr="007B4C2B" w:rsidRDefault="009F6BED" w:rsidP="009F6BED">
      <w:pPr>
        <w:pStyle w:val="NormalHanging12a"/>
      </w:pPr>
      <w:r w:rsidRPr="007B4C2B">
        <w:t>–</w:t>
      </w:r>
      <w:r w:rsidRPr="007B4C2B">
        <w:tab/>
        <w:t>având în vedere Regulamentul (UE) 2023/955 al Parlamentului European și al Consiliului din 10 mai 2023 de instituire a Fondului social pentru climă și de modificare a Regulamentului (UE) 2021/1060</w:t>
      </w:r>
      <w:r w:rsidRPr="007B4C2B">
        <w:rPr>
          <w:rStyle w:val="FootnoteReference"/>
        </w:rPr>
        <w:footnoteReference w:id="5"/>
      </w:r>
      <w:r w:rsidRPr="007B4C2B">
        <w:t>,</w:t>
      </w:r>
    </w:p>
    <w:p w14:paraId="07FC4DCE" w14:textId="77777777" w:rsidR="009F6BED" w:rsidRPr="007B4C2B" w:rsidRDefault="009F6BED" w:rsidP="009F6BED">
      <w:pPr>
        <w:pStyle w:val="NormalHanging12a"/>
      </w:pPr>
      <w:r w:rsidRPr="007B4C2B">
        <w:t>–</w:t>
      </w:r>
      <w:r w:rsidRPr="007B4C2B">
        <w:tab/>
        <w:t>având în vedere Directiva 2003/87/CE a Parlamentului European și a Consiliului din 13 octombrie 2003 de stabilire a unui sistem de comercializare a cotelor de emisie de gaze cu efect de seră în cadrul Comunității și de modificare a Directivei 96/61/CE a Consiliului</w:t>
      </w:r>
      <w:r w:rsidRPr="007B4C2B">
        <w:rPr>
          <w:rStyle w:val="FootnoteReference"/>
        </w:rPr>
        <w:footnoteReference w:id="6"/>
      </w:r>
      <w:r w:rsidRPr="007B4C2B">
        <w:t>,</w:t>
      </w:r>
    </w:p>
    <w:p w14:paraId="75419546" w14:textId="77777777" w:rsidR="009F6BED" w:rsidRPr="007B4C2B" w:rsidRDefault="009F6BED" w:rsidP="009F6BED">
      <w:pPr>
        <w:pStyle w:val="NormalHanging12a"/>
      </w:pPr>
      <w:r w:rsidRPr="007B4C2B">
        <w:t>–</w:t>
      </w:r>
      <w:r w:rsidRPr="007B4C2B">
        <w:tab/>
        <w:t>având în vedere nota de informare din septembrie 2025 privind evaluarea valorii adăugate europene, intitulată „Directiva privind tranziția justă în lumea muncii: asigurarea creării de locuri de muncă și revitalizarea economiilor locale”,</w:t>
      </w:r>
    </w:p>
    <w:p w14:paraId="70089C88" w14:textId="77777777" w:rsidR="009F6BED" w:rsidRPr="007B4C2B" w:rsidRDefault="009F6BED" w:rsidP="009F6BED">
      <w:pPr>
        <w:pStyle w:val="NormalHanging12a"/>
      </w:pPr>
      <w:r w:rsidRPr="007B4C2B">
        <w:t>–</w:t>
      </w:r>
      <w:r w:rsidRPr="007B4C2B">
        <w:tab/>
        <w:t>având în vedere rezoluția sa din 23 noiembrie 2023 referitoare la crearea de locuri de muncă – tranziție justă și investiții cu impact,</w:t>
      </w:r>
    </w:p>
    <w:p w14:paraId="156A0239" w14:textId="77777777" w:rsidR="009F6BED" w:rsidRPr="007B4C2B" w:rsidRDefault="009F6BED" w:rsidP="009F6BED">
      <w:pPr>
        <w:pStyle w:val="NormalHanging12a"/>
      </w:pPr>
      <w:r w:rsidRPr="007B4C2B">
        <w:t>–</w:t>
      </w:r>
      <w:r w:rsidRPr="007B4C2B">
        <w:tab/>
        <w:t>având în vedere rezoluția Organizației Internaționale a Muncii (OIM) privind o tranziție justă către economii și societăți sustenabile din punctul de vedere al mediului pentru toți</w:t>
      </w:r>
      <w:r w:rsidRPr="007B4C2B">
        <w:rPr>
          <w:rStyle w:val="FootnoteReference"/>
        </w:rPr>
        <w:footnoteReference w:id="7"/>
      </w:r>
      <w:r w:rsidRPr="007B4C2B">
        <w:t>,</w:t>
      </w:r>
    </w:p>
    <w:p w14:paraId="1EE3FF14" w14:textId="77777777" w:rsidR="009F6BED" w:rsidRPr="007B4C2B" w:rsidRDefault="009F6BED" w:rsidP="009F6BED">
      <w:pPr>
        <w:pStyle w:val="NormalHanging12a"/>
      </w:pPr>
      <w:r w:rsidRPr="007B4C2B">
        <w:t>–</w:t>
      </w:r>
      <w:r w:rsidRPr="007B4C2B">
        <w:tab/>
        <w:t xml:space="preserve">având în vedere raportul lui Enrico </w:t>
      </w:r>
      <w:proofErr w:type="spellStart"/>
      <w:r w:rsidRPr="007B4C2B">
        <w:t>Letta</w:t>
      </w:r>
      <w:proofErr w:type="spellEnd"/>
      <w:r w:rsidRPr="007B4C2B">
        <w:t xml:space="preserve"> din 10 aprilie 2024 intitulat „</w:t>
      </w:r>
      <w:proofErr w:type="spellStart"/>
      <w:r w:rsidRPr="007B4C2B">
        <w:t>Much</w:t>
      </w:r>
      <w:proofErr w:type="spellEnd"/>
      <w:r w:rsidRPr="007B4C2B">
        <w:t xml:space="preserve"> more </w:t>
      </w:r>
      <w:proofErr w:type="spellStart"/>
      <w:r w:rsidRPr="007B4C2B">
        <w:t>than</w:t>
      </w:r>
      <w:proofErr w:type="spellEnd"/>
      <w:r w:rsidRPr="007B4C2B">
        <w:t xml:space="preserve"> a market” (Mult mai mult decât o piață),</w:t>
      </w:r>
    </w:p>
    <w:p w14:paraId="2BBD68DA" w14:textId="74EAF51D" w:rsidR="009F6BED" w:rsidRPr="007B4C2B" w:rsidRDefault="009F6BED" w:rsidP="009F6BED">
      <w:pPr>
        <w:pStyle w:val="NormalHanging12a"/>
      </w:pPr>
      <w:r w:rsidRPr="007B4C2B">
        <w:t>–</w:t>
      </w:r>
      <w:r w:rsidRPr="007B4C2B">
        <w:tab/>
        <w:t xml:space="preserve">având în vedere raportul lui Mario </w:t>
      </w:r>
      <w:proofErr w:type="spellStart"/>
      <w:r w:rsidRPr="007B4C2B">
        <w:t>Draghi</w:t>
      </w:r>
      <w:proofErr w:type="spellEnd"/>
      <w:r w:rsidRPr="007B4C2B">
        <w:t xml:space="preserve"> din </w:t>
      </w:r>
      <w:r w:rsidR="00224C83" w:rsidRPr="007B4C2B">
        <w:t xml:space="preserve">9 </w:t>
      </w:r>
      <w:r w:rsidRPr="007B4C2B">
        <w:t xml:space="preserve">septembrie 2024 privind viitorul competitivității europene („raportul </w:t>
      </w:r>
      <w:proofErr w:type="spellStart"/>
      <w:r w:rsidRPr="007B4C2B">
        <w:t>Draghi</w:t>
      </w:r>
      <w:proofErr w:type="spellEnd"/>
      <w:r w:rsidRPr="007B4C2B">
        <w:t>”),</w:t>
      </w:r>
    </w:p>
    <w:p w14:paraId="1C6C2AB8" w14:textId="77777777" w:rsidR="009F6BED" w:rsidRPr="007B4C2B" w:rsidRDefault="009F6BED" w:rsidP="009F6BED">
      <w:pPr>
        <w:pStyle w:val="NormalHanging12a"/>
      </w:pPr>
      <w:r w:rsidRPr="007B4C2B">
        <w:t>–</w:t>
      </w:r>
      <w:r w:rsidRPr="007B4C2B">
        <w:tab/>
        <w:t xml:space="preserve">având în vedere Foaia de parcurs privind locurile de muncă de calitate, </w:t>
      </w:r>
    </w:p>
    <w:p w14:paraId="7CAF9F2B" w14:textId="77777777" w:rsidR="009F6BED" w:rsidRPr="007B4C2B" w:rsidRDefault="009F6BED" w:rsidP="009F6BED">
      <w:pPr>
        <w:pStyle w:val="NormalHanging12a"/>
      </w:pPr>
      <w:r w:rsidRPr="007B4C2B">
        <w:t>–</w:t>
      </w:r>
      <w:r w:rsidRPr="007B4C2B">
        <w:tab/>
        <w:t>având în vedere rezoluția sa din 10 septembrie 2025 referitoare la rolul politicii de coeziune în sprijinirea tranziției juste,</w:t>
      </w:r>
    </w:p>
    <w:p w14:paraId="787A3C03" w14:textId="77777777" w:rsidR="009F6BED" w:rsidRPr="007B4C2B" w:rsidRDefault="009F6BED" w:rsidP="009F6BED">
      <w:pPr>
        <w:pStyle w:val="NormalHanging12a"/>
      </w:pPr>
      <w:r w:rsidRPr="007B4C2B">
        <w:t>–</w:t>
      </w:r>
      <w:r w:rsidRPr="007B4C2B">
        <w:tab/>
        <w:t>având în vedere Recomandarea Consiliului din 2022 privind asigurarea unei tranziții echitabile către neutralitatea climatică,</w:t>
      </w:r>
    </w:p>
    <w:p w14:paraId="045D47FD" w14:textId="77777777" w:rsidR="009F6BED" w:rsidRPr="007B4C2B" w:rsidRDefault="009F6BED" w:rsidP="009F6BED">
      <w:pPr>
        <w:pStyle w:val="NormalHanging12a"/>
      </w:pPr>
      <w:r w:rsidRPr="007B4C2B">
        <w:t>–</w:t>
      </w:r>
      <w:r w:rsidRPr="007B4C2B">
        <w:tab/>
        <w:t>având în vedere Recomandarea Consiliului din 2022 privind asigurarea unei tranziții echitabile către neutralitatea climatică și principalele mesaje transmise de EMCO și CPS cu privire la punerea sa în aplicare,</w:t>
      </w:r>
    </w:p>
    <w:p w14:paraId="099F62FF" w14:textId="77777777" w:rsidR="009F6BED" w:rsidRPr="007B4C2B" w:rsidRDefault="009F6BED" w:rsidP="009F6BED">
      <w:pPr>
        <w:pStyle w:val="NormalHanging12a"/>
      </w:pPr>
      <w:r w:rsidRPr="007B4C2B">
        <w:t>–</w:t>
      </w:r>
      <w:r w:rsidRPr="007B4C2B">
        <w:tab/>
        <w:t xml:space="preserve">având în vedere rezoluția sa din 17 decembrie 2020 referitoare la o </w:t>
      </w:r>
      <w:proofErr w:type="spellStart"/>
      <w:r w:rsidRPr="007B4C2B">
        <w:t>Europă</w:t>
      </w:r>
      <w:proofErr w:type="spellEnd"/>
      <w:r w:rsidRPr="007B4C2B">
        <w:t xml:space="preserve"> socială </w:t>
      </w:r>
      <w:r w:rsidRPr="007B4C2B">
        <w:lastRenderedPageBreak/>
        <w:t>puternică pentru tranziții juste,</w:t>
      </w:r>
    </w:p>
    <w:p w14:paraId="42A578F3" w14:textId="77777777" w:rsidR="009F6BED" w:rsidRPr="007B4C2B" w:rsidRDefault="009F6BED" w:rsidP="009F6BED">
      <w:pPr>
        <w:pStyle w:val="NormalHanging12a"/>
      </w:pPr>
      <w:r w:rsidRPr="007B4C2B">
        <w:t>–</w:t>
      </w:r>
      <w:r w:rsidRPr="007B4C2B">
        <w:tab/>
        <w:t>având în vedere rezoluția sa din 9 septembrie 2025 referitoare la achizițiile publice,</w:t>
      </w:r>
    </w:p>
    <w:p w14:paraId="611DD17A" w14:textId="77777777" w:rsidR="009F6BED" w:rsidRPr="007B4C2B" w:rsidRDefault="009F6BED" w:rsidP="009F6BED">
      <w:pPr>
        <w:pStyle w:val="NormalHanging12a"/>
      </w:pPr>
      <w:r w:rsidRPr="007B4C2B">
        <w:t>–</w:t>
      </w:r>
      <w:r w:rsidRPr="007B4C2B">
        <w:tab/>
        <w:t>având în vedere Orientările politice pentru Comisia Europeană 2024-2029,</w:t>
      </w:r>
    </w:p>
    <w:p w14:paraId="4FFA0EEF" w14:textId="77777777" w:rsidR="009F6BED" w:rsidRPr="007B4C2B" w:rsidRDefault="009F6BED" w:rsidP="009F6BED">
      <w:pPr>
        <w:pStyle w:val="NormalHanging12a"/>
      </w:pPr>
      <w:r w:rsidRPr="007B4C2B">
        <w:t>–</w:t>
      </w:r>
      <w:r w:rsidRPr="007B4C2B">
        <w:tab/>
        <w:t>având în vedere Comunicarea Comisiei din 26 februarie 2025 privind Pactul pentru o industrie curată (COM(2025)0085),</w:t>
      </w:r>
    </w:p>
    <w:p w14:paraId="471BC9F4" w14:textId="77777777" w:rsidR="009F6BED" w:rsidRPr="007B4C2B" w:rsidRDefault="009F6BED" w:rsidP="009F6BED">
      <w:pPr>
        <w:pStyle w:val="NormalHanging12a"/>
      </w:pPr>
      <w:r w:rsidRPr="007B4C2B">
        <w:t>–</w:t>
      </w:r>
      <w:r w:rsidRPr="007B4C2B">
        <w:tab/>
        <w:t>având în vedere Comunicarea Comisiei din iulie 2025 intitulată „Cadrul pentru măsuri de ajutor de stat de sprijinire a Pactului pentru o industrie curată” (C/2025/3602),</w:t>
      </w:r>
    </w:p>
    <w:p w14:paraId="101F7B66" w14:textId="77777777" w:rsidR="009F6BED" w:rsidRPr="007B4C2B" w:rsidRDefault="009F6BED" w:rsidP="009F6BED">
      <w:pPr>
        <w:pStyle w:val="NormalHanging12a"/>
      </w:pPr>
      <w:r w:rsidRPr="007B4C2B">
        <w:t>–</w:t>
      </w:r>
      <w:r w:rsidRPr="007B4C2B">
        <w:tab/>
        <w:t xml:space="preserve">având în vedere Declarația de la </w:t>
      </w:r>
      <w:proofErr w:type="spellStart"/>
      <w:r w:rsidRPr="007B4C2B">
        <w:t>La</w:t>
      </w:r>
      <w:proofErr w:type="spellEnd"/>
      <w:r w:rsidRPr="007B4C2B">
        <w:t xml:space="preserve"> Hulpe din 16 aprilie 2024 privind viitorul Pilonului european al drepturilor sociale,</w:t>
      </w:r>
    </w:p>
    <w:p w14:paraId="22CD9ECB" w14:textId="77777777" w:rsidR="009F6BED" w:rsidRPr="007B4C2B" w:rsidRDefault="009F6BED" w:rsidP="009F6BED">
      <w:pPr>
        <w:pStyle w:val="NormalHanging12a"/>
      </w:pPr>
      <w:r w:rsidRPr="007B4C2B">
        <w:t>–</w:t>
      </w:r>
      <w:r w:rsidRPr="007B4C2B">
        <w:tab/>
        <w:t>având în vedere Avizul Comitetului pentru ocuparea forței de muncă (EMCO) al Consiliului Uniunii Europene din 6 iunie 2025 privind aspectele calității locurilor de muncă,</w:t>
      </w:r>
    </w:p>
    <w:p w14:paraId="4551A810" w14:textId="77777777" w:rsidR="009F6BED" w:rsidRPr="007B4C2B" w:rsidRDefault="009F6BED" w:rsidP="009F6BED">
      <w:pPr>
        <w:pStyle w:val="NormalHanging12a"/>
      </w:pPr>
      <w:r w:rsidRPr="007B4C2B">
        <w:t>–</w:t>
      </w:r>
      <w:r w:rsidRPr="007B4C2B">
        <w:tab/>
        <w:t>având în vedere avizul Comitetului Economic și Social European din 4 decembrie 2024 intitulat „Către o propunere legislativă pentru o tranziție justă și instrumente de politică ale UE care să ducă la un Pact verde european mai social”,</w:t>
      </w:r>
    </w:p>
    <w:p w14:paraId="68A9513D" w14:textId="77777777" w:rsidR="009F6BED" w:rsidRPr="007B4C2B" w:rsidRDefault="009F6BED" w:rsidP="009F6BED">
      <w:pPr>
        <w:pStyle w:val="NormalHanging12a"/>
      </w:pPr>
      <w:r w:rsidRPr="007B4C2B">
        <w:t>–</w:t>
      </w:r>
      <w:r w:rsidRPr="007B4C2B">
        <w:tab/>
        <w:t>având în vedere raportul Comisiei pentru ocuparea forței de muncă și afaceri sociale (A10-0261/2025),</w:t>
      </w:r>
    </w:p>
    <w:p w14:paraId="429E92C9" w14:textId="77777777" w:rsidR="009F6BED" w:rsidRPr="007B4C2B" w:rsidRDefault="009F6BED" w:rsidP="009F6BED">
      <w:pPr>
        <w:pStyle w:val="NormalHanging12a"/>
      </w:pPr>
      <w:r w:rsidRPr="007B4C2B">
        <w:t>A.</w:t>
      </w:r>
      <w:r w:rsidRPr="007B4C2B">
        <w:tab/>
        <w:t>întrucât tranziția verde și cea digitală au un efect transformator profund asupra economiilor, societăților, regiunilor și locurilor de muncă din Europa, în diferite moduri, necesitând măsuri cuprinzătoare de politică socială și de ocupare a forței de muncă pentru a preveni efectele negative și a promova coeziunea economică, socială și teritorială; întrucât asigurarea unei tranziții efective către o economie neutră din punct de vedere climatic și digitalizată și reducerea dependenței de aprovizionarea cu energie sunt elemente esențiale pentru prosperitatea, calitatea vieții, sustenabilitatea, creșterea și competitivitatea pe termen lung în Europa; întrucât succesul final al dublei tranziții va depinde în mare măsură de asigurarea faptului că tranziția este justă și incluzivă pentru lucrători, întreprinderi și regiuni și că aceasta contribuie la dreptatea socială pentru toți, cu un accent deosebit pe persoanele cele mai vulnerabile, pentru a se asigura faptul că nimeni nu este lăsat în urmă; întrucât numai o tranziție echitabilă ar putea aduce beneficii în valoare de 261 de miliarde de euro pe an, în special răspunzând inegalităților sociale și disparităților regionale</w:t>
      </w:r>
      <w:r w:rsidRPr="007B4C2B">
        <w:rPr>
          <w:rStyle w:val="FootnoteReference"/>
        </w:rPr>
        <w:footnoteReference w:id="8"/>
      </w:r>
      <w:r w:rsidRPr="007B4C2B">
        <w:t>; întrucât parcursul urmat de fiecare regiune afectată va fi diferit, în funcție de realitățile economice și sociale de la fața locului;</w:t>
      </w:r>
    </w:p>
    <w:p w14:paraId="58720C00" w14:textId="77777777" w:rsidR="009F6BED" w:rsidRPr="007B4C2B" w:rsidRDefault="009F6BED" w:rsidP="009F6BED">
      <w:pPr>
        <w:pStyle w:val="NormalHanging12a"/>
      </w:pPr>
      <w:r w:rsidRPr="007B4C2B">
        <w:t>B.</w:t>
      </w:r>
      <w:r w:rsidRPr="007B4C2B">
        <w:tab/>
        <w:t>întrucât efectele dublei tranziții asupra ocupării forței de muncă sunt asimetrice în diferitele părți ale Uniunii, iar impactul socioeconomic variază foarte mult de la o regiune la alta; întrucât apare și o dificultate legată de spațiu, deoarece, în economia modernă, care utilizează eficient resursele și este competitivă, pot fi create locuri de muncă și în alte regiuni decât cele în care locurile de muncă se pierd;</w:t>
      </w:r>
    </w:p>
    <w:p w14:paraId="2A4333D1" w14:textId="77777777" w:rsidR="009F6BED" w:rsidRPr="007B4C2B" w:rsidRDefault="009F6BED" w:rsidP="009F6BED">
      <w:pPr>
        <w:pStyle w:val="NormalHanging12a"/>
      </w:pPr>
      <w:r w:rsidRPr="007B4C2B">
        <w:t>C.</w:t>
      </w:r>
      <w:r w:rsidRPr="007B4C2B">
        <w:tab/>
        <w:t xml:space="preserve">întrucât tranzițiile trebuie gestionate într-un mod care să asigure incluziunea socială, să </w:t>
      </w:r>
      <w:r w:rsidRPr="007B4C2B">
        <w:lastRenderedPageBreak/>
        <w:t>reducă sărăcia și inegalitățile și să valorifice posibilitățile de creare a unor locuri de muncă de calitate, de promovare a democrației la locul de muncă, de protecție a drepturilor lucrătorilor și de ridicare a standardelor de muncă în toate sectoarele;</w:t>
      </w:r>
    </w:p>
    <w:p w14:paraId="6F27AE44" w14:textId="77777777" w:rsidR="009F6BED" w:rsidRPr="007B4C2B" w:rsidRDefault="009F6BED" w:rsidP="009F6BED">
      <w:pPr>
        <w:pStyle w:val="NormalHanging12a"/>
      </w:pPr>
      <w:r w:rsidRPr="007B4C2B">
        <w:t>D.</w:t>
      </w:r>
      <w:r w:rsidRPr="007B4C2B">
        <w:tab/>
        <w:t>întrucât piețele muncii din UE sunt în continuare divizate teritorial și întrucât calitatea locurilor de muncă și contractele de muncă indică o creștere a formelor atipice, în special în rândul tinerilor;</w:t>
      </w:r>
    </w:p>
    <w:p w14:paraId="605562A2" w14:textId="77777777" w:rsidR="009F6BED" w:rsidRPr="007B4C2B" w:rsidRDefault="009F6BED" w:rsidP="009F6BED">
      <w:pPr>
        <w:pStyle w:val="NormalHanging12a"/>
      </w:pPr>
      <w:r w:rsidRPr="007B4C2B">
        <w:t>E.</w:t>
      </w:r>
      <w:r w:rsidRPr="007B4C2B">
        <w:tab/>
        <w:t xml:space="preserve">întrucât gestionarea tranziției către o economie neutră ca emisii de dioxid de carbon presupune nu numai să se sprijine tranzițiile către noi locuri de muncă de calitate în sectoarele emergente, ci și să se păstreze și să se adapteze locurile de muncă și sectoarele existente la industriile și tehnologiile mai sustenabile și mai ecologice, în folosul oamenilor, mai ales al celor care trăiesc în zonele afectate mai puternic; întrucât este esențial să se acorde o atenție deosebită regiunilor și industriilor care depind de combustibilii fosili, deoarece acestea vor trebui transformate pentru a putea fi îndeplinite angajamentele Uniunii în materie de climă; întrucât este important ca toți, inclusiv lucrătorii și persoanele aflate în căutarea unui loc de muncă, să fie sprijiniți în efortul de a trece cu bine prin tranziție, astfel încât aceștia să poată înțelege și accepta mai bine obiectivele strategiei pe termen lung, care vizează anul 2050, iar obiectivele să fie mai eficace; întrucât, după cum arată cercetările </w:t>
      </w:r>
      <w:proofErr w:type="spellStart"/>
      <w:r w:rsidRPr="007B4C2B">
        <w:t>Eurofound</w:t>
      </w:r>
      <w:proofErr w:type="spellEnd"/>
      <w:r w:rsidRPr="007B4C2B">
        <w:rPr>
          <w:rStyle w:val="FootnoteReference"/>
        </w:rPr>
        <w:footnoteReference w:id="9"/>
      </w:r>
      <w:r w:rsidRPr="007B4C2B">
        <w:t>, implicarea generală a societății civile, a partenerilor sociali și a autorităților publice în procesul de tranziție este esențială pentru a se asigura și a se repartiza echitabil beneficiile activităților economice și ale resurselor, precum și pentru a se gestiona conflictele;</w:t>
      </w:r>
    </w:p>
    <w:p w14:paraId="46B5CB79" w14:textId="77777777" w:rsidR="009F6BED" w:rsidRPr="007B4C2B" w:rsidRDefault="009F6BED" w:rsidP="009F6BED">
      <w:pPr>
        <w:pStyle w:val="NormalHanging12a"/>
      </w:pPr>
      <w:r w:rsidRPr="007B4C2B">
        <w:t>F.</w:t>
      </w:r>
      <w:r w:rsidRPr="007B4C2B">
        <w:tab/>
        <w:t>întrucât pentru transformarea economică a Europei este nevoie să se pună un accent puternic pe competitivitate și creștere; întrucât antreprenorii și creatorii de locuri de muncă trebuie să beneficieze de condiții corespunzătoare pentru a investi și a se extinde, iar asigurarea unei utilizări eficiente a fondurilor este esențială pentru a atrage investiții private; întrucât este important ca cetățenii, atât în zonele urbane, cât și în cele rurale, să fie implicați și să sprijine o tranziție justă care să atingă un echilibru între competitivitate și solidaritate și ca aceștia să poată avea încredere că locul lor de muncă, veniturile lor și modul lor de viață sunt protejate, astfel încât nimeni să nu fie lăsat în urmă;</w:t>
      </w:r>
    </w:p>
    <w:p w14:paraId="474BCD01" w14:textId="77777777" w:rsidR="009F6BED" w:rsidRPr="007B4C2B" w:rsidRDefault="009F6BED" w:rsidP="009F6BED">
      <w:pPr>
        <w:pStyle w:val="NormalHanging12a"/>
      </w:pPr>
      <w:r w:rsidRPr="007B4C2B">
        <w:t>G.</w:t>
      </w:r>
      <w:r w:rsidRPr="007B4C2B">
        <w:tab/>
        <w:t>întrucât, deși o serie de inițiative legislative și nelegislative importante ale Uniunii vizează sau pot contribui la modul în care este tratat impactul dublei tranziții (în special Mecanismul pentru o tranziție justă, FTJ, FEG, Uniunea competențelor, Fondul pentru atenuarea impactului social al acțiunilor climatice, FSE+ și MRR) și pot îmbunătăți competitivitatea, rămân lacune în cadrul legislativ și de politici în ceea ce privește dificultățile la locul de muncă, drepturile lucrătorilor, protecția socială, dialogul social și posibilitățile de educație și formare; întrucât numai măsurile întreprinse la nivelul Uniunii pot asigura o valoare adăugată reală și, totodată, o convergență socială ascendentă, transformând promisiunea de „a nu lăsa pe nimeni în urmă” în realitate și ținând seama în același timp de modelele și tradițiile naționale legate de piața forței de muncă;</w:t>
      </w:r>
    </w:p>
    <w:p w14:paraId="4204765B" w14:textId="267D82EE" w:rsidR="009F6BED" w:rsidRPr="007B4C2B" w:rsidRDefault="009F6BED" w:rsidP="009F6BED">
      <w:pPr>
        <w:pStyle w:val="NormalHanging12a"/>
      </w:pPr>
      <w:r w:rsidRPr="007B4C2B">
        <w:t>H.</w:t>
      </w:r>
      <w:r w:rsidRPr="007B4C2B">
        <w:tab/>
        <w:t xml:space="preserve">întrucât, în raportul </w:t>
      </w:r>
      <w:proofErr w:type="spellStart"/>
      <w:r w:rsidRPr="007B4C2B">
        <w:t>Draghi</w:t>
      </w:r>
      <w:proofErr w:type="spellEnd"/>
      <w:r w:rsidRPr="007B4C2B">
        <w:t xml:space="preserve">, deficitul persistent de competențe este identificat drept unul dintre obstacolele ce se află în calea inovării, a adoptării tehnologiilor și a eforturilor de </w:t>
      </w:r>
      <w:r w:rsidRPr="007B4C2B">
        <w:lastRenderedPageBreak/>
        <w:t>decarbonizare, ceea ce împiedică, la rândul său, creșterea și competitivitatea; întrucât aproape patru din cinci întreprinderi mici și mijlocii din UE raportează că întâmpină dificultăți atunci când doresc să găsească lucrători cu competențele de care au nevoie; întrucât declinul sistemelor de educație și formare, în special al celor de educație și formare a adulților, face ca forța de muncă să nu fie pregătită pentru dubla tranziție; întrucât participarea adulților la activități de învățare este în continuare insuficientă, deoarece, anual, doar 39,5 % dintre adulți participă la cursuri de formare</w:t>
      </w:r>
      <w:r w:rsidRPr="007B4C2B">
        <w:rPr>
          <w:rStyle w:val="FootnoteReference"/>
        </w:rPr>
        <w:footnoteReference w:id="10"/>
      </w:r>
      <w:r w:rsidRPr="007B4C2B">
        <w:t xml:space="preserve">, cu mult sub obiectivul pentru 2030 de cel puțin 60 %, iar pentru a se atinge acest obiectiv </w:t>
      </w:r>
      <w:r w:rsidR="0058048C" w:rsidRPr="007B4C2B">
        <w:t>v</w:t>
      </w:r>
      <w:r w:rsidRPr="007B4C2B">
        <w:t>or trebui formați aproximativ 50 de milioane de lucrători suplimentari</w:t>
      </w:r>
      <w:r w:rsidRPr="007B4C2B">
        <w:rPr>
          <w:rStyle w:val="FootnoteReference"/>
        </w:rPr>
        <w:footnoteReference w:id="11"/>
      </w:r>
      <w:r w:rsidRPr="007B4C2B">
        <w:t>;</w:t>
      </w:r>
    </w:p>
    <w:p w14:paraId="403D567A" w14:textId="77777777" w:rsidR="009F6BED" w:rsidRPr="007B4C2B" w:rsidRDefault="009F6BED" w:rsidP="009F6BED">
      <w:pPr>
        <w:pStyle w:val="NormalHanging12a"/>
      </w:pPr>
      <w:r w:rsidRPr="007B4C2B">
        <w:t>I.</w:t>
      </w:r>
      <w:r w:rsidRPr="007B4C2B">
        <w:tab/>
        <w:t>întrucât, prin investiții în dezvoltarea de înalte competențe, UE poate promova un cerc virtuos al creșterii productivității, al unor salarii mai mari și al unei mai mari egalități economice; întrucât aproape 50 % dintre adulți ar putea avea nevoie de perfecționare sau recalificare</w:t>
      </w:r>
      <w:r w:rsidRPr="007B4C2B">
        <w:rPr>
          <w:rStyle w:val="FootnoteReference"/>
        </w:rPr>
        <w:footnoteReference w:id="12"/>
      </w:r>
      <w:r w:rsidRPr="007B4C2B">
        <w:t>; întrucât numai sectorul energetic al UE va avea nevoie de cel puțin 145 000 de lucrători calificați până în 2030</w:t>
      </w:r>
      <w:r w:rsidRPr="007B4C2B">
        <w:rPr>
          <w:rStyle w:val="FootnoteReference"/>
        </w:rPr>
        <w:footnoteReference w:id="13"/>
      </w:r>
      <w:r w:rsidRPr="007B4C2B">
        <w:t>; întrucât tehnologiile ecologice reprezintă unul dintre motoarele prosperității economice în Europa, contribuind la 30 % din creșterea economică a UE și creând milioane de locuri de muncă doar în 2023</w:t>
      </w:r>
      <w:r w:rsidRPr="007B4C2B">
        <w:rPr>
          <w:rStyle w:val="FootnoteReference"/>
        </w:rPr>
        <w:footnoteReference w:id="14"/>
      </w:r>
      <w:r w:rsidRPr="007B4C2B">
        <w:t xml:space="preserve">; </w:t>
      </w:r>
    </w:p>
    <w:p w14:paraId="0C2B62DC" w14:textId="77777777" w:rsidR="009F6BED" w:rsidRPr="007B4C2B" w:rsidRDefault="009F6BED" w:rsidP="009F6BED">
      <w:pPr>
        <w:pStyle w:val="NormalHanging12a"/>
      </w:pPr>
      <w:r w:rsidRPr="007B4C2B">
        <w:t>J.</w:t>
      </w:r>
      <w:r w:rsidRPr="007B4C2B">
        <w:tab/>
        <w:t xml:space="preserve">întrucât strategiile europene în materie de competențe, competitivitate și investiții ar trebui să creeze oportunități atât pentru întreprinderile mari, cât și pentru IMM-uri, răspunzând, în același timp, nevoilor naționale, regionale și locale; întrucât politicile care consolidează capacitatea industrială, încurajează </w:t>
      </w:r>
      <w:proofErr w:type="spellStart"/>
      <w:r w:rsidRPr="007B4C2B">
        <w:t>antreprenoriatul</w:t>
      </w:r>
      <w:proofErr w:type="spellEnd"/>
      <w:r w:rsidRPr="007B4C2B">
        <w:t xml:space="preserve"> și construiesc o forță de muncă cu competențe adaptate la realitățile locale sunt esențiale pentru a garanta că toți europenii pot beneficia de pe urma creșterii și inovării;</w:t>
      </w:r>
    </w:p>
    <w:p w14:paraId="777C51E8" w14:textId="77777777" w:rsidR="009F6BED" w:rsidRPr="007B4C2B" w:rsidRDefault="009F6BED" w:rsidP="009F6BED">
      <w:pPr>
        <w:pStyle w:val="NormalHanging12a"/>
      </w:pPr>
      <w:r w:rsidRPr="007B4C2B">
        <w:t>K.</w:t>
      </w:r>
      <w:r w:rsidRPr="007B4C2B">
        <w:tab/>
        <w:t xml:space="preserve">întrucât sistemele de asistență și de protecție socială finanțate corespunzător reprezintă o condiție prealabilă pentru asigurarea unei tranziții echitabile și juste către neutralitatea climatică și transformarea digitală; întrucât în raportul </w:t>
      </w:r>
      <w:proofErr w:type="spellStart"/>
      <w:r w:rsidRPr="007B4C2B">
        <w:t>Draghi</w:t>
      </w:r>
      <w:proofErr w:type="spellEnd"/>
      <w:r w:rsidRPr="007B4C2B">
        <w:t xml:space="preserve"> se subliniază, de asemenea, că trebuie să se asigure o coordonare strânsă între creșterea productivității și incluziunea socială, pe de o parte, și sistemele de protecție socială ale statelor membre, pe de altă parte, acestora din urmă revenindu-le un rol esențial în cadrul tranziției în ceea ce privește asigurarea unor servicii publice eficace, a protecției sociale, a locuințelor, a serviciilor de transport și a serviciilor de îngrijire a copiilor; întrucât locurile de muncă de calitate, condițiile de muncă decente, accesul la protecție socială, dialogul social și negocierile colective joacă un rol esențial în atragerea și păstrarea forței de muncă și sunt importante pentru competitivitatea Uniunii și pentru democrația la locul de muncă;</w:t>
      </w:r>
    </w:p>
    <w:p w14:paraId="775F3620" w14:textId="77777777" w:rsidR="009F6BED" w:rsidRPr="007B4C2B" w:rsidRDefault="009F6BED" w:rsidP="009F6BED">
      <w:pPr>
        <w:pStyle w:val="NormalHanging12a"/>
      </w:pPr>
      <w:r w:rsidRPr="007B4C2B">
        <w:t>L.</w:t>
      </w:r>
      <w:r w:rsidRPr="007B4C2B">
        <w:tab/>
        <w:t>întrucât, potrivit raportului Comisiei intitulat „</w:t>
      </w:r>
      <w:proofErr w:type="spellStart"/>
      <w:r w:rsidRPr="007B4C2B">
        <w:t>Employment</w:t>
      </w:r>
      <w:proofErr w:type="spellEnd"/>
      <w:r w:rsidRPr="007B4C2B">
        <w:t xml:space="preserve"> </w:t>
      </w:r>
      <w:proofErr w:type="spellStart"/>
      <w:r w:rsidRPr="007B4C2B">
        <w:t>and</w:t>
      </w:r>
      <w:proofErr w:type="spellEnd"/>
      <w:r w:rsidRPr="007B4C2B">
        <w:t xml:space="preserve"> Social </w:t>
      </w:r>
      <w:proofErr w:type="spellStart"/>
      <w:r w:rsidRPr="007B4C2B">
        <w:t>Developments</w:t>
      </w:r>
      <w:proofErr w:type="spellEnd"/>
      <w:r w:rsidRPr="007B4C2B">
        <w:t xml:space="preserve"> in Europe 2024” (Evoluția ocupării forței de muncă și a situației sociale în Europa 2024 – ESDE 2024)</w:t>
      </w:r>
      <w:r w:rsidRPr="007B4C2B">
        <w:rPr>
          <w:rStyle w:val="FootnoteReference"/>
        </w:rPr>
        <w:footnoteReference w:id="15"/>
      </w:r>
      <w:r w:rsidRPr="007B4C2B">
        <w:t xml:space="preserve">, constrângerile în ceea ce privește participarea la activitățile de educație și formare a adulților sunt atribuite unor obstacole precum percepția că acestea nu sunt necesare, oferta insuficientă sau dificultățile legate de accesul la o formare de calitate </w:t>
      </w:r>
      <w:r w:rsidRPr="007B4C2B">
        <w:lastRenderedPageBreak/>
        <w:t xml:space="preserve">relevantă, nepotrivirea programului, responsabilitățile familiale și constrângerile financiare; întrucât în raportul </w:t>
      </w:r>
      <w:proofErr w:type="spellStart"/>
      <w:r w:rsidRPr="007B4C2B">
        <w:t>Draghi</w:t>
      </w:r>
      <w:proofErr w:type="spellEnd"/>
      <w:r w:rsidRPr="007B4C2B">
        <w:t xml:space="preserve"> se solicită UE să asigure faptul că toți lucrătorii au dreptul la educație și reconversie profesională, astfel încât aceștia să poată adopta noi roluri pe măsură ce întreprinderile lor adoptă noi tehnologii sau să poată obține locuri de muncă de calitate în sectoare noi</w:t>
      </w:r>
      <w:r w:rsidRPr="007B4C2B">
        <w:rPr>
          <w:rStyle w:val="FootnoteReference"/>
        </w:rPr>
        <w:footnoteReference w:id="16"/>
      </w:r>
      <w:r w:rsidRPr="007B4C2B">
        <w:t>;</w:t>
      </w:r>
    </w:p>
    <w:p w14:paraId="1AAC6BC7" w14:textId="77777777" w:rsidR="009F6BED" w:rsidRPr="007B4C2B" w:rsidRDefault="009F6BED" w:rsidP="009F6BED">
      <w:pPr>
        <w:pStyle w:val="NormalHanging12a"/>
      </w:pPr>
      <w:r w:rsidRPr="007B4C2B">
        <w:t>M.</w:t>
      </w:r>
      <w:r w:rsidRPr="007B4C2B">
        <w:tab/>
        <w:t>întrucât un mix integrat de politici care combină educația și dezvoltarea competențelor, finanțarea și politica industrială este un factor-cheie pentru competitivitate, reziliență și echitate socială, autonomie strategică, investiții și crearea de locuri de muncă sustenabile în Europa; întrucât tranziția verde și cea digitală necesită investiții considerabile în recalificare, perfecționare, educație și formare profesională și învățare pe tot parcursul vieții pentru a înzestra lucrătorii atât cu competențele tehnice specifice fiecărei ocupații, cât și cu competențele non-tehnice de bază necesare; întrucât lucrătorii în vârstă, lucrătorii slab calificați și lucrătoarele se pot confrunta cu obstacole mai mari în ceea ce privește „perfecționarea” și concurența pentru noi locuri de muncă; întrucât, prin urmare, eforturile în materie de educație și formare trebuie să fie strâns legate de politicile privind tranziția justă; întrucât lucrătorii și comunitățile dezavantajate vor avea nevoie de un sprijin specific pentru a nu rămâne în urmă;</w:t>
      </w:r>
    </w:p>
    <w:p w14:paraId="63AF7866" w14:textId="77777777" w:rsidR="009F6BED" w:rsidRPr="007B4C2B" w:rsidRDefault="009F6BED" w:rsidP="009F6BED">
      <w:pPr>
        <w:pStyle w:val="NormalHanging12a"/>
      </w:pPr>
      <w:r w:rsidRPr="007B4C2B">
        <w:t>N.</w:t>
      </w:r>
      <w:r w:rsidRPr="007B4C2B">
        <w:tab/>
        <w:t>întrucât continuă să existe disparități economice importante între statele membre și regiunile UE, cu diferențe mari în ceea ce privește PIB-ul începând din 2012, legate de ponderea industriei în activitatea economică;</w:t>
      </w:r>
    </w:p>
    <w:p w14:paraId="5DAAC95A" w14:textId="77777777" w:rsidR="009F6BED" w:rsidRPr="007B4C2B" w:rsidRDefault="009F6BED" w:rsidP="009F6BED">
      <w:pPr>
        <w:pStyle w:val="NormalHanging12a"/>
      </w:pPr>
      <w:r w:rsidRPr="007B4C2B">
        <w:t>O.</w:t>
      </w:r>
      <w:r w:rsidRPr="007B4C2B">
        <w:tab/>
        <w:t xml:space="preserve">întrucât raportul </w:t>
      </w:r>
      <w:proofErr w:type="spellStart"/>
      <w:r w:rsidRPr="007B4C2B">
        <w:t>Letta</w:t>
      </w:r>
      <w:proofErr w:type="spellEnd"/>
      <w:r w:rsidRPr="007B4C2B">
        <w:t xml:space="preserve"> conține ideea că libertatea de circulație și „libertatea de a rămâne” sunt două fețe ale aceleiași monede și trebuie dezvoltate împreună; întrucât în raportul </w:t>
      </w:r>
      <w:proofErr w:type="spellStart"/>
      <w:r w:rsidRPr="007B4C2B">
        <w:t>Letta</w:t>
      </w:r>
      <w:proofErr w:type="spellEnd"/>
      <w:r w:rsidRPr="007B4C2B">
        <w:t xml:space="preserve"> se susține că libertatea de circulație ar trebui să reprezinte o alegere liberă, și nu o necesitate pentru a compensa lipsa locurilor de muncă în unele regiuni; întrucât în raport se accentuează că este nevoie să se ofere oportunități cetățenilor din toate regiunile, în special celor din zonele rurale, inclusiv să existe locuri de muncă de calitate și să se combată inegalitățile în interiorul țărilor și între acestea</w:t>
      </w:r>
      <w:r w:rsidRPr="007B4C2B">
        <w:rPr>
          <w:rStyle w:val="FootnoteReference"/>
        </w:rPr>
        <w:footnoteReference w:id="17"/>
      </w:r>
      <w:r w:rsidRPr="007B4C2B">
        <w:t>; întrucât, dacă nu este concepută și sprijinită în mod adecvat, tranziția verde ar putea afecta disproporționat de mult regiunile vulnerabile din estul și sudul Europei</w:t>
      </w:r>
      <w:r w:rsidRPr="007B4C2B">
        <w:rPr>
          <w:rStyle w:val="FootnoteReference"/>
        </w:rPr>
        <w:footnoteReference w:id="18"/>
      </w:r>
      <w:r w:rsidRPr="007B4C2B">
        <w:t xml:space="preserve"> în ceea ce privește riscul de șomaj și pierderea de locuri de muncă; întrucât teritoriile dependente de cărbune sunt afectate de o vulnerabilitate suplimentară, deoarece ratele de ocupare a forței de muncă sunt cu 10-15 % mai mici decât media în UE</w:t>
      </w:r>
      <w:r w:rsidRPr="007B4C2B">
        <w:rPr>
          <w:rStyle w:val="FootnoteReference"/>
        </w:rPr>
        <w:footnoteReference w:id="19"/>
      </w:r>
      <w:r w:rsidRPr="007B4C2B">
        <w:t>;</w:t>
      </w:r>
    </w:p>
    <w:p w14:paraId="7BFB7BE6" w14:textId="77777777" w:rsidR="009F6BED" w:rsidRPr="007B4C2B" w:rsidRDefault="009F6BED" w:rsidP="009F6BED">
      <w:pPr>
        <w:pStyle w:val="NormalHanging12a"/>
      </w:pPr>
      <w:r w:rsidRPr="007B4C2B">
        <w:t>P.</w:t>
      </w:r>
      <w:r w:rsidRPr="007B4C2B">
        <w:tab/>
        <w:t xml:space="preserve">întrucât se preconizează că foaia de parcurs privind locurile de muncă de calitate va promova măsuri care sprijină statele membre și industriile în asigurarea unor condiții de muncă decente și a accesului la formare, stabilind standarde ridicate în materie de sănătate și siguranță în muncă, asigurând tranziții profesionale echitabile pentru lucrători și, în special, pentru persoanele care desfășoară o activitate independentă, precum și negocieri colective, cu scopul de a atrage talente și de a contribui la competitivitatea industriilor europene; întrucât, în acest context, se preconizează că Comisia va discuta cu partenerii sociali un cadru de sprijinire a proceselor de restructurare de la nivelul UE și de la nivelul statelor membre; întrucât acest cadru se va </w:t>
      </w:r>
      <w:r w:rsidRPr="007B4C2B">
        <w:lastRenderedPageBreak/>
        <w:t>axa pe tranziția justă, pe anticiparea schimbărilor, pe intervenții timpurii atunci când există un pericol de restructurare și pe o mai bună informare și consultare;</w:t>
      </w:r>
    </w:p>
    <w:p w14:paraId="79CD3092" w14:textId="77777777" w:rsidR="009F6BED" w:rsidRPr="007B4C2B" w:rsidRDefault="009F6BED" w:rsidP="009F6BED">
      <w:pPr>
        <w:pStyle w:val="NormalHanging12a"/>
      </w:pPr>
      <w:r w:rsidRPr="007B4C2B">
        <w:t>Q.</w:t>
      </w:r>
      <w:r w:rsidRPr="007B4C2B">
        <w:tab/>
        <w:t>întrucât trebuie consolidată capacitatea administrativă și tehnică a părților interesate de la nivel local implicate în conceperea și punerea în aplicare a tranziției juste; întrucât statele membre continuă să se confrunte cu dificultăți semnificative în ceea ce privește gestionarea și executarea cu eficacitate a fondurilor UE la nivel local și evaluarea diferitelor efecte ale politicilor climatice; întrucât punerea în aplicare a Fondului pentru o tranziție justă este lentă, după cum o arată rata plăților de numai 32,2 % înregistrată până la sfârșitul anului 2024</w:t>
      </w:r>
      <w:r w:rsidRPr="007B4C2B">
        <w:rPr>
          <w:rStyle w:val="FootnoteReference"/>
        </w:rPr>
        <w:footnoteReference w:id="20"/>
      </w:r>
      <w:r w:rsidRPr="007B4C2B">
        <w:t>; întrucât numărul de locuri de muncă create de FTJ nu este pe cale să acopere numărul preconizat de locuri de muncă care urmează să fie pierdute pe măsură ce industriile cu emisii mari de dioxid de carbon adoptă tehnologii mai curate; întrucât IMM-urile sunt coloana vertebrală a economiei europene și creează o mare parte din locurile de muncă permanente de la nivel local; întrucât sunt necesare dispoziții specifice pentru IMM-uri în sensul consolidării rolului acestora în tranziția justă,</w:t>
      </w:r>
    </w:p>
    <w:p w14:paraId="4FCD415B" w14:textId="77777777" w:rsidR="009F6BED" w:rsidRPr="007B4C2B" w:rsidRDefault="009F6BED" w:rsidP="009F6BED">
      <w:pPr>
        <w:pStyle w:val="NormalHanging12a"/>
      </w:pPr>
      <w:r w:rsidRPr="007B4C2B">
        <w:t>1.</w:t>
      </w:r>
      <w:r w:rsidRPr="007B4C2B">
        <w:tab/>
        <w:t>subliniază că tranziția reușită către surse de energie mai sustenabile, industrii modernizate și o economie mai digitalizată va juca un rol major în competitivitatea pe termen lung a întreprinderilor din Uniune pe piața mondială și trebuie să aibă ca rezultat crearea de locuri de muncă de calitate în Uniune; subliniază că trebuie să se asigure faptul că întreprinderile și lucrătorii sunt bine pregătiți pentru a profita de oportunitățile create de trecerea la soluții noi și inovatoare și evidențiază importanța unei activități profesionale și a unor locuri de muncă decente, acoperite de contracte colective, care sunt indispensabile pentru progresul social și acceptarea tranziției; consideră că este indispensabil un cadru legislativ care să răspundă provocărilor și oportunităților unei tranziții juste la locul de muncă, pentru a se asigura standarde minime corespunzătoare care oferă claritate și structurare atât pentru lucrători, cât și pentru angajatori în procesul de pregătire pentru schimbări și de gestionare a acestora și, în cele din urmă, pentru a îmbunătăți reziliența, competitivitatea, convergența socială ascendentă și dreptatea socială în Uniune; subliniază că regiunile pot sprijini tranziția justă combinând protecția socială, diversificarea economică și coordonarea teritorială, ceea ce va reduce efectele negative, va consolida economiile locale și va promova dezvoltarea incluzivă;</w:t>
      </w:r>
    </w:p>
    <w:p w14:paraId="105124B1" w14:textId="77777777" w:rsidR="009F6BED" w:rsidRPr="007B4C2B" w:rsidRDefault="009F6BED" w:rsidP="009F6BED">
      <w:pPr>
        <w:pStyle w:val="NormalHanging12a"/>
      </w:pPr>
      <w:r w:rsidRPr="007B4C2B">
        <w:t>2.</w:t>
      </w:r>
      <w:r w:rsidRPr="007B4C2B">
        <w:tab/>
        <w:t xml:space="preserve">subliniază că impactul decarbonizării asupra ocupării forței de muncă depășește reducerile din sectoarele legate de combustibilii fosili și va avea un impact mai general în ceea ce privește redefinirea locurilor de muncă și tranziția generală a pieței muncii; salută, în acest sens, anunțarea unui act legislativ privind locurile de muncă de calitate, menit să asigure că practicile de ocupare a forței de muncă țin pasul cu evoluțiile din economia modernă; subliniază că acest act legislativ, alături de apropiata actualizare a Planului de acțiune privind Pilonul european al drepturilor sociale și noua foaie de parcurs pentru locuri de muncă de calitate, trebuie să includă o serie de măsuri concrete, care să îmbunătățească în mod palpabil condițiile de muncă, sănătatea și siguranța, democrația la locul de muncă, includerea în negocierile colective și formarea și competențele lucrătorilor și ale persoanelor care desfășoară o activitate independentă, precum și să asigure o aplicare efectivă a legislației UE privind ocuparea forței de muncă și politica socială; subliniază, de asemenea, că astfel de măsuri reprezintă o oportunitate de a ajuta angajatorii din Uniune, în special IMM-urile, să își mențină și să își îmbunătățească competitivitatea, asigurând un cadru clar, care să includă și orientări </w:t>
      </w:r>
      <w:r w:rsidRPr="007B4C2B">
        <w:lastRenderedPageBreak/>
        <w:t>practice și instrumente de sprijin,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 precum și perspectivele de viitor ale lucrătorilor;</w:t>
      </w:r>
    </w:p>
    <w:p w14:paraId="13F94B9B" w14:textId="77777777" w:rsidR="009F6BED" w:rsidRPr="007B4C2B" w:rsidRDefault="009F6BED" w:rsidP="009F6BED">
      <w:pPr>
        <w:pStyle w:val="NormalHanging12a"/>
      </w:pPr>
      <w:r w:rsidRPr="007B4C2B">
        <w:t>3.</w:t>
      </w:r>
      <w:r w:rsidRPr="007B4C2B">
        <w:tab/>
        <w:t>accentuează că digitalizarea trebuie implementată într-un mod centrat pe factorul uman, prevenind supravegherea excesivă a lucrătorilor și asigurând dreptul de a se deconecta, precum și un program de lucru echitabil;</w:t>
      </w:r>
    </w:p>
    <w:p w14:paraId="3169B12A" w14:textId="562C6140" w:rsidR="009F6BED" w:rsidRPr="007B4C2B" w:rsidRDefault="004516E2" w:rsidP="009F6BED">
      <w:pPr>
        <w:pStyle w:val="NormalHanging12a"/>
      </w:pPr>
      <w:r w:rsidRPr="007B4C2B">
        <w:t>4</w:t>
      </w:r>
      <w:r w:rsidR="009F6BED" w:rsidRPr="007B4C2B">
        <w:t>.</w:t>
      </w:r>
      <w:r w:rsidR="009F6BED" w:rsidRPr="007B4C2B">
        <w:tab/>
        <w:t xml:space="preserve">subliniază că pregătirea pentru schimbare și gestionarea acesteia sunt esențiale atât pentru angajatori, cât și pentru lucrători, autorități și comunitățile regionale și locale pentru realizarea cu succes a tranziției verzi și digitale și înfruntarea cu succes a provocărilor economice generate de evenimente geopolitice nefavorabile, transformându-le în oportunități; subliniază că planificarea tranziției poate preîntâmpina în mod </w:t>
      </w:r>
      <w:proofErr w:type="spellStart"/>
      <w:r w:rsidR="009F6BED" w:rsidRPr="007B4C2B">
        <w:t>proactiv</w:t>
      </w:r>
      <w:proofErr w:type="spellEnd"/>
      <w:r w:rsidR="009F6BED" w:rsidRPr="007B4C2B">
        <w:t xml:space="preserve"> disponibilizările și duce la crearea de locuri de muncă, poate înzestra întreprinderile cu o reziliență de durată și poate valorifica în mod optim resursele disponibile; subliniază că astfel de planuri necesită decizii care pot conduce la schimbări substanțiale în organizarea muncii și, prin urmare, trebuie dezvoltate în cadrul unui parteneriat amplu prin intermediul dialogului social și al negocierilor colective, cu respectarea deplină a dreptului la informare și consultare; invită Comisia, în acest sens, să monitorizeze și să asigure punerea în aplicare deplină a cadrului stabilit în Directiva 2002/14/CE; invită, de asemenea, statele membre să permită dialogul social la nivelurile relevante pentru a facilita tranzițiile de la un loc de muncă la altul, în special pentru ocupațiile care pot dispărea sau pot fi reduse semnificativ; reamintește instrumentele de alertă timpurie prevăzute în Directiva </w:t>
      </w:r>
      <w:r w:rsidR="005C423D">
        <w:t xml:space="preserve">(UE) </w:t>
      </w:r>
      <w:r w:rsidR="009F6BED" w:rsidRPr="007B4C2B">
        <w:t>2019/1023 și consideră că adaptarea acestor instrumente pentru a include și circumstanțele relevante pentru dubla tranziție ar asigura o mai bună detectare a transformărilor viitoare ale activităților economice și un răspuns mai bun la acestea; subliniază că întreprinderile trebuie stimulate să își elaboreze propriile planuri de tranziție; subliniază că părțile interesate și societatea civilă trebuie să fie implicate încă din primele etape ale planificării tranziției, asigurând o participare semnificativă, mai degrabă decât o consultare târzie;</w:t>
      </w:r>
    </w:p>
    <w:p w14:paraId="3EBE65CF" w14:textId="2F50856E" w:rsidR="009F6BED" w:rsidRPr="007B4C2B" w:rsidRDefault="004516E2" w:rsidP="009F6BED">
      <w:pPr>
        <w:pStyle w:val="NormalHanging12a"/>
      </w:pPr>
      <w:r w:rsidRPr="007B4C2B">
        <w:t>5</w:t>
      </w:r>
      <w:r w:rsidR="009F6BED" w:rsidRPr="007B4C2B">
        <w:t>.</w:t>
      </w:r>
      <w:r w:rsidR="009F6BED" w:rsidRPr="007B4C2B">
        <w:tab/>
        <w:t>subliniază că deficitul de lucrători calificați poate fi redus în mod semnificativ numai prin asigurarea disponibilității unor posibilități de educație, (re)calificare și formare și a accesibilității acestor posibilități, precum și prin îmbunătățirea condițiilor de muncă; subliniază că dialogul social dintre lucrători și angajatori cu privire la modalitățile de oportunități de formare care sunt aliniate la nevoile pieței muncii și care respectă echilibrul dintre viața profesională și cea privată este esențial și ar trebui facilitat</w:t>
      </w:r>
      <w:r w:rsidR="009F6BED" w:rsidRPr="007B4C2B">
        <w:rPr>
          <w:rStyle w:val="FootnoteReference"/>
        </w:rPr>
        <w:footnoteReference w:id="21"/>
      </w:r>
      <w:r w:rsidR="009F6BED" w:rsidRPr="007B4C2B">
        <w:t xml:space="preserve">; este ferm convins că asigurarea dreptului individual la formare pentru lucrători în timpul programului de lucru, care elimină principalele obstacole ce împiedică formarea, poate asigura perfecționarea sau recalificarea de calitate, formarea angajaților și un sprijin pentru dezvoltarea carierei și le poate asigura angajatorilor o sursă de lucrători calificați previzibilă și stabilă; subliniază necesitatea de a aborda obstacolul financiar, garantând gratuitatea formării pentru lucrători prin finanțare, stimulente fiscale și parteneriate; subliniază că instituțiile naționale și partenerii sociali sunt responsabili pentru formarea angajaților și evidențiază rolul esențial al acestora în punerea în aplicare a dreptului la formare; invită, în acest sens, statele membre să acorde prioritate programelor de formare elaborate în comun de lucrători și angajatorii lor și să le promoveze, </w:t>
      </w:r>
      <w:r w:rsidR="009F6BED" w:rsidRPr="007B4C2B">
        <w:lastRenderedPageBreak/>
        <w:t>asigurându-se că perfecționarea și recalificarea răspund cererii reale și contribuie la evoluția carierei;</w:t>
      </w:r>
    </w:p>
    <w:p w14:paraId="29548FF7" w14:textId="3F1B8AED" w:rsidR="009F6BED" w:rsidRPr="007B4C2B" w:rsidRDefault="004516E2" w:rsidP="009F6BED">
      <w:pPr>
        <w:pStyle w:val="NormalHanging12a"/>
      </w:pPr>
      <w:r w:rsidRPr="007B4C2B">
        <w:t>6</w:t>
      </w:r>
      <w:r w:rsidR="009F6BED" w:rsidRPr="007B4C2B">
        <w:t>.</w:t>
      </w:r>
      <w:r w:rsidR="009F6BED" w:rsidRPr="007B4C2B">
        <w:tab/>
        <w:t>subliniază necesitatea de a implica în mod semnificativ tinerii în elaborarea, punerea în aplicare și monitorizarea politicilor legate de o tranziție echitabilă și justă; cere să se depună mai multe eforturi pentru a sprijini implementarea Garanției pentru tineret, având grijă ca statele membre să aloce mai multe fonduri și cel puțin 15 % din resursele lor provenind din FSE+ sprijinului pentru acțiuni focalizate și reforme structurale menite să susțină locurile de muncă de calitate în rândul tinerilor, educația și formarea profesională de calitate, mai cu seamă prin stagii și ucenicii remunerate și de calitate, înlesnind tranziția de la școală la muncă, reintegrarea în educație sau formare și educația de tip „a doua șansă”;</w:t>
      </w:r>
    </w:p>
    <w:p w14:paraId="2C23C16F" w14:textId="1EAD8842" w:rsidR="009F6BED" w:rsidRPr="007B4C2B" w:rsidRDefault="004516E2" w:rsidP="009F6BED">
      <w:pPr>
        <w:pStyle w:val="NormalHanging12a"/>
      </w:pPr>
      <w:r w:rsidRPr="007B4C2B">
        <w:t>7</w:t>
      </w:r>
      <w:r w:rsidR="009F6BED" w:rsidRPr="007B4C2B">
        <w:t>.</w:t>
      </w:r>
      <w:r w:rsidR="009F6BED" w:rsidRPr="007B4C2B">
        <w:tab/>
        <w:t>subliniază că statele membre trebuie, cu sprijinul regiunilor, să sprijine întreprinderile și lucrătorii prin dezvoltarea de strategii și politici pentru o tranziție justă la nivel național, adaptată contextului local; subliniază că aceste strategii naționale ar trebui să prevadă impactul tranzițiilor asupra regiunilor, a diverselor sectoare și a forței lor de muncă și ar trebui să stabilească un plan cuprinzător prin care să se atenueze acest impact; evidențiază importanța elaborării unei viziuni și a unei strategii pe termen lung pentru tranziția economică la nivel local și regional, fiind implicați actori din sectoarele public și privat, societatea civilă și economia socială; subliniază că investițiile directe în inovare și îmbunătățirea atractivității regiunilor prin furnizarea unei infrastructuri, a unor servicii publice și a unor facilități de înaltă calitate, la prețuri abordabile și accesibile sunt necesare pentru a păstra lucrătorii și a genera locuri de muncă de calitate;</w:t>
      </w:r>
    </w:p>
    <w:p w14:paraId="72C09CD5" w14:textId="0250FD82" w:rsidR="009F6BED" w:rsidRPr="007B4C2B" w:rsidRDefault="004516E2" w:rsidP="009F6BED">
      <w:pPr>
        <w:pStyle w:val="NormalHanging12a"/>
      </w:pPr>
      <w:r w:rsidRPr="007B4C2B">
        <w:t>8</w:t>
      </w:r>
      <w:r w:rsidR="009F6BED" w:rsidRPr="007B4C2B">
        <w:t>.</w:t>
      </w:r>
      <w:r w:rsidR="009F6BED" w:rsidRPr="007B4C2B">
        <w:tab/>
        <w:t>consideră că este esențial să se promoveze viabilitatea economică a întreprinderilor industriale europene și, în măsura posibilului, să se prevină închiderile și disponibilizările forțate; subliniază importanța sprijinirii întreprinderilor, în special a IMM-urilor, pentru a preveni disponibilizările forțate, de exemplu prin programe temporare de sprijin pentru a proteja locurile de muncă în timpul tranzițiilor, cu scopul de a evita pierderea capacității industriale strategice și a forței de muncă calificate; constată că, atunci când este necesară tranziția de la un loc de muncă la altul, este esențial ca lucrătorii să rămână în aceeași regiune, beneficiind totodată de suficient timp pentru reconversie și limitându-se pierderile financiare personale; cere o protecție mai puternică împotriva concedierilor abuzive și solicită ca lucrătorilor afectați de restructurări să li se garanteze accesul la compensații adecvate, oportunități de recalificare și sprijin pentru a obține noi locuri de muncă;</w:t>
      </w:r>
    </w:p>
    <w:p w14:paraId="624D8B97" w14:textId="781A1A2C" w:rsidR="009F6BED" w:rsidRPr="007B4C2B" w:rsidRDefault="004516E2" w:rsidP="009F6BED">
      <w:pPr>
        <w:pStyle w:val="NormalHanging12a"/>
      </w:pPr>
      <w:r w:rsidRPr="007B4C2B">
        <w:t>9</w:t>
      </w:r>
      <w:r w:rsidR="009F6BED" w:rsidRPr="007B4C2B">
        <w:t>.</w:t>
      </w:r>
      <w:r w:rsidR="009F6BED" w:rsidRPr="007B4C2B">
        <w:tab/>
        <w:t xml:space="preserve">subliniază că previziunile regionale ale </w:t>
      </w:r>
      <w:proofErr w:type="spellStart"/>
      <w:r w:rsidR="009F6BED" w:rsidRPr="007B4C2B">
        <w:t>Eurostat</w:t>
      </w:r>
      <w:proofErr w:type="spellEnd"/>
      <w:r w:rsidR="009F6BED" w:rsidRPr="007B4C2B">
        <w:t xml:space="preserve"> indică pentru anii 2020 și 2030 o scădere continuă a populației în vârstă de muncă în multe teritorii, în special în regiunile deja afectate de îmbătrânirea populației și de mobilitatea geografică; subliniază că aceste tendințe riscă să slăbească oferta de forță de muncă și, în final, să amenințe dezvoltarea pe termen lung într-un moment în care lucrătorii calificați sunt esențiali pentru tranziția verde și cea digitală; subliniază importanța dreptului persoanelor de a rămâne în regiunea sau localitatea lor și necesitatea unor strategii specifice pentru zonele rurale și periferice; invită Comisia și statele membre să sprijine politicile bazate pe necesitățile locale, care creează oportunități economice pentru oamenii și întreprinderile din regiunile rurale, atrag investiții private și generează locuri de muncă la nivel local; subliniază că aceste strategii sunt necesare pentru a consolida oportunitățile economice în zonele rurale, pentru a sprijini crearea de locuri de muncă de calitate, inovarea, reînnoirea industrială locală și, în cele din urmă, pentru a garanta că cetățenii își pot construi viitorul în comunitățile lor;</w:t>
      </w:r>
    </w:p>
    <w:p w14:paraId="53F11591" w14:textId="1C6B01CD" w:rsidR="009F6BED" w:rsidRPr="007B4C2B" w:rsidRDefault="004516E2" w:rsidP="009F6BED">
      <w:pPr>
        <w:pStyle w:val="NormalHanging12a"/>
      </w:pPr>
      <w:r w:rsidRPr="007B4C2B">
        <w:lastRenderedPageBreak/>
        <w:t>10</w:t>
      </w:r>
      <w:r w:rsidR="009F6BED" w:rsidRPr="007B4C2B">
        <w:t>.</w:t>
      </w:r>
      <w:r w:rsidR="009F6BED" w:rsidRPr="007B4C2B">
        <w:tab/>
        <w:t xml:space="preserve">reamintește că IMM-urile sunt principalii generatori de locuri de muncă durabile la nivel local; subliniază că trebuie facilitat un acces mai simplu, proporționat și ușor al IMM-urilor la finanțarea tranziției, inclusiv prin autorizarea unor mecanisme de grupare pentru accesarea fondurilor și obligațiile de raportare, prin ghișee unice digitale și prin asistență tehnică obligatorie, care le vor ajuta la conceperea și asigurarea conformității proiectelor; îndeamnă statele membre și autoritățile regionale să instituie și să consolideze programe de sprijin pentru întreprinderi în regiunile afectate, pentru a ajuta întreprinderile nou-înființate și IMM-urile să se dezvolte și să aibă succes; subliniază că stimulentele pentru investiții, împreună cu </w:t>
      </w:r>
      <w:proofErr w:type="spellStart"/>
      <w:r w:rsidR="009F6BED" w:rsidRPr="007B4C2B">
        <w:t>condiționalitățile</w:t>
      </w:r>
      <w:proofErr w:type="spellEnd"/>
      <w:r w:rsidR="009F6BED" w:rsidRPr="007B4C2B">
        <w:t xml:space="preserve"> sociale, pot contribui la atragerea întreprinderilor în regiunile vulnerabile, asigurând în același timp dezvoltarea durabilă a economiei locale; evidențiază necesitatea de a ajuta întreprinderile, în special IMM-urile, să compenseze deficitul de personal calificat în Uniune și să promoveze recalificarea și perfecționarea, ajutând oamenii să dobândească competențele potrivite pentru locuri de muncă de calitate; invită Comisia Europeană să se asigure că există un buget dedicat exclusiv IMM-urilor în cadrul viitoarei finanțări pentru o tranziție justă; invită, de asemenea, Comisia Europeană să urmărească participarea IMM-urilor la programele pentru o tranziție justă;</w:t>
      </w:r>
    </w:p>
    <w:p w14:paraId="62D5433A" w14:textId="5030CA99" w:rsidR="009F6BED" w:rsidRPr="007B4C2B" w:rsidRDefault="004516E2" w:rsidP="009F6BED">
      <w:pPr>
        <w:pStyle w:val="NormalHanging12a"/>
      </w:pPr>
      <w:r w:rsidRPr="007B4C2B">
        <w:t>11</w:t>
      </w:r>
      <w:r w:rsidR="009F6BED" w:rsidRPr="007B4C2B">
        <w:t>.</w:t>
      </w:r>
      <w:r w:rsidR="009F6BED" w:rsidRPr="007B4C2B">
        <w:tab/>
        <w:t>subliniază că economia socială, în special întreprinderile sociale de inserție, joacă un rol esențial în asigurarea unor tranziții incluzive și echitabile; subliniază nevoia de sprijin în ceea ce privește accesul la finanțare, consolidarea capacităților și asistența tehnică;</w:t>
      </w:r>
    </w:p>
    <w:p w14:paraId="2A80E2F6" w14:textId="7AD9211A" w:rsidR="009F6BED" w:rsidRPr="007B4C2B" w:rsidRDefault="004516E2" w:rsidP="009F6BED">
      <w:pPr>
        <w:pStyle w:val="NormalHanging12a"/>
      </w:pPr>
      <w:r w:rsidRPr="007B4C2B">
        <w:t>12</w:t>
      </w:r>
      <w:r w:rsidR="009F6BED" w:rsidRPr="007B4C2B">
        <w:t>.</w:t>
      </w:r>
      <w:r w:rsidR="009F6BED" w:rsidRPr="007B4C2B">
        <w:tab/>
        <w:t>invită Comisia și statele membre să faciliteze atât investițiile la scară largă, cât și cele la scară mică și să elaboreze politici care să deblocheze oportunitățile economice pentru sectorul privat, în special pentru IMM-uri, prin reducerea sarcinilor administrative, reducerea cerințelor de cofinanțare și simplificarea accesului la finanțare, respectând în același timp drepturile lucrătorilor și normele de protecție a consumatorilor; subliniază că astfel de investiții sunt esențiale pentru consolidarea bazei industriale și tehnologice a Europei, pentru crearea unor locuri de muncă de înaltă calitate și pentru asigurarea unei forțe de muncă calificate, adaptată la realitățile, resursele și nevoile specifice locale, astfel încât să fie valorificat pe deplin potențialul regional și să fie stimulate competitivitatea, creșterea durabilă și crearea de valoare pe termen lung; subliniază că antreprenorii și întreprinderile mici sunt esențiali pentru investiții, inovare și crearea de locuri de muncă, în special în regiunile rurale și în regiunile mai puțin dezvoltate, și că oportunitățile de finanțare și de asistență tehnică trebuie să fie adaptate nevoilor acestora, pentru a le putea fi valorificat pe deplin potențialul în economia verde și digitală și pentru a stimula creșterea durabilă și crearea de valoare pe termen lung;</w:t>
      </w:r>
    </w:p>
    <w:p w14:paraId="2D8FB782" w14:textId="2AB78426" w:rsidR="009F6BED" w:rsidRPr="007B4C2B" w:rsidRDefault="004516E2" w:rsidP="009F6BED">
      <w:pPr>
        <w:pStyle w:val="NormalHanging12a"/>
      </w:pPr>
      <w:r w:rsidRPr="007B4C2B">
        <w:t>13</w:t>
      </w:r>
      <w:r w:rsidR="009F6BED" w:rsidRPr="007B4C2B">
        <w:t>.</w:t>
      </w:r>
      <w:r w:rsidR="009F6BED" w:rsidRPr="007B4C2B">
        <w:tab/>
        <w:t>constată că lipsesc date defalcate exacte privind numărul de locuri de muncă pierdute, create sau afectate de dubla tranziție; subliniază importanța anticipării schimbărilor de pe piața muncii și a tendințelor în ceea ce privește competențele necesare, pentru a se putea răspunde în timp util cu politici eficace; evidențiază necesitatea de a identifica, a promova și a face schimb de bune practici; solicită să se consolideze colectarea de date relevante și să se analizeze impactul politicilor de tranziție; subliniază că indicatorii sărăciei energetice și cei ai sărăciei din perspectiva transporturilor ar trebui integrați în mod sistematic în structurile de monitorizare a tranziției juste, pentru a se asigura că finanțarea și măsurile de creare de locuri de muncă vizează în primul rând gospodăriile vulnerabile;</w:t>
      </w:r>
    </w:p>
    <w:p w14:paraId="7D7FBC48" w14:textId="5D557BAC" w:rsidR="009F6BED" w:rsidRPr="007B4C2B" w:rsidRDefault="004516E2" w:rsidP="009F6BED">
      <w:pPr>
        <w:pStyle w:val="NormalHanging12a"/>
      </w:pPr>
      <w:r w:rsidRPr="007B4C2B">
        <w:t>14</w:t>
      </w:r>
      <w:r w:rsidR="009F6BED" w:rsidRPr="007B4C2B">
        <w:t>.</w:t>
      </w:r>
      <w:r w:rsidR="009F6BED" w:rsidRPr="007B4C2B">
        <w:tab/>
        <w:t>încurajează programele de renovare la nivel de comunitate care acoperă cartiere sau sate, reducând costurile, consolidând coeziunea și accelerând tranziția;</w:t>
      </w:r>
    </w:p>
    <w:p w14:paraId="28670FFE" w14:textId="33765578" w:rsidR="009F6BED" w:rsidRPr="007B4C2B" w:rsidRDefault="004516E2" w:rsidP="009F6BED">
      <w:pPr>
        <w:pStyle w:val="NormalHanging12a"/>
      </w:pPr>
      <w:r w:rsidRPr="007B4C2B">
        <w:lastRenderedPageBreak/>
        <w:t>15</w:t>
      </w:r>
      <w:r w:rsidR="009F6BED" w:rsidRPr="007B4C2B">
        <w:t>.</w:t>
      </w:r>
      <w:r w:rsidR="009F6BED" w:rsidRPr="007B4C2B">
        <w:tab/>
        <w:t>regretă că propunerea privind cadrul financiar multianual 2028-2034 nu include un instrument de sine stătător pentru a aborda tranziția justă; subliniază că finanțarea specifică continuă să fie necesară pentru a sprijini regiunile afectate să abordeze provocările generate de tranziția verde; solicită, în acest sens, o versiune extinsă a Fondului pentru o tranziție justă pentru perioada de programare de după 2027, asigurându-se că acesta funcționează pe baza gestiunii partajate și a principiilor parteneriatului, în cadrul politicii de coeziune și cu un buget majorat; subliniază că noul fond ar trebui să sprijine angajatorii în asigurarea dreptului lucrătorilor la formare, precum și în punerea în aplicare a planurilor de tranziție la nivel de întreprindere; accentuează că formarea ar trebui să fie de o calitate ridicată, să fie aliniată la nevoile de pe piața muncii și să aibă ca rezultat calificări și acreditări validate prin sisteme transparente și clare de certificare, care să permită recunoașterea reciprocă între statele membre; insistă ca finanțarea tranziției să conțină condiționalități sociale, pentru a sprijini incluziunea;</w:t>
      </w:r>
    </w:p>
    <w:p w14:paraId="14DD443D" w14:textId="5DB9AA38" w:rsidR="009F6BED" w:rsidRPr="007B4C2B" w:rsidRDefault="004516E2" w:rsidP="009F6BED">
      <w:pPr>
        <w:pStyle w:val="NormalHanging12a"/>
      </w:pPr>
      <w:r w:rsidRPr="007B4C2B">
        <w:t>16</w:t>
      </w:r>
      <w:r w:rsidR="009F6BED" w:rsidRPr="007B4C2B">
        <w:t>.</w:t>
      </w:r>
      <w:r w:rsidR="009F6BED" w:rsidRPr="007B4C2B">
        <w:tab/>
        <w:t>reamintește că, în pofida ambițiilor sale transformatoare, FTJ s-a confruntat cu provocări semnificative în atingerea obiectivelor sale, în special în ceea ce privește asigurarea unor rezultate echitabile și oferirea accesului la fond pentru întreprinderile mici și mijlocii</w:t>
      </w:r>
      <w:r w:rsidR="009F6BED" w:rsidRPr="007B4C2B">
        <w:rPr>
          <w:rStyle w:val="FootnoteReference"/>
        </w:rPr>
        <w:footnoteReference w:id="22"/>
      </w:r>
      <w:r w:rsidR="009F6BED" w:rsidRPr="007B4C2B">
        <w:t>; solicită un acces simplificat la Fondul pentru o tranziție justă pentru IMM-uri prin furnizarea de asistență tehnică și reducerea sarcinilor administrative;</w:t>
      </w:r>
    </w:p>
    <w:p w14:paraId="078F9E26" w14:textId="36C40714" w:rsidR="009F6BED" w:rsidRPr="007B4C2B" w:rsidRDefault="004516E2" w:rsidP="009F6BED">
      <w:pPr>
        <w:pStyle w:val="NormalHanging12a"/>
      </w:pPr>
      <w:r w:rsidRPr="007B4C2B">
        <w:t>17</w:t>
      </w:r>
      <w:r w:rsidR="009F6BED" w:rsidRPr="007B4C2B">
        <w:t>.</w:t>
      </w:r>
      <w:r w:rsidR="009F6BED" w:rsidRPr="007B4C2B">
        <w:tab/>
        <w:t>evidențiază importanța dezvoltării competențelor digitale ale lucrătorilor, atât la nivel de bază, cât și la nivel avansat; subliniază că cetățenii trebuie să fie înzestrați cu competențe digitale esențiale, să fie sensibilizați cu privire la date și la utilizarea cu prudență a instrumentelor online, astfel încât să își păstreze capacitatea de angajare și să se poată adapta, fiind promovate în același timp competențe mai avansate;</w:t>
      </w:r>
    </w:p>
    <w:p w14:paraId="2BB2BDF2" w14:textId="195050DA" w:rsidR="009F6BED" w:rsidRPr="007B4C2B" w:rsidRDefault="004516E2" w:rsidP="009F6BED">
      <w:pPr>
        <w:pStyle w:val="NormalHanging12a"/>
      </w:pPr>
      <w:r w:rsidRPr="007B4C2B">
        <w:t>18</w:t>
      </w:r>
      <w:r w:rsidR="009F6BED" w:rsidRPr="007B4C2B">
        <w:t>.</w:t>
      </w:r>
      <w:r w:rsidR="009F6BED" w:rsidRPr="007B4C2B">
        <w:tab/>
        <w:t>subliniază că instituțiile de învățământ și de formare trebuie să crească relevanța formării lor, astfel încât aceasta să corespundă necesităților unei piețe concurențiale a muncii și să doteze cursanții, formatorii și cadrele didactice cu cunoștințe și competențe relevante, care să le confere rolul de agenți activi ai schimbării în cursul unei tranziții juste către modele economice sustenabile din punctul de vedere al mediului și către o societate pentru toți; evidențiază că eficacitatea formării depinde de disponibilitatea unor formatori și cadre didactice cu cunoștințe actuale despre economia sustenabilă și verde, despre eficiența energetică și despre tehnologiile verzi și digitale; subliniază că rolul acestora este esențial pentru promovarea aptitudinilor și a competențelor potrivite atât în cazul generației de lucrători mai tinere, cât și în cazul generației mai în vârstă, precum și pentru recalificarea și perfecționarea corespunzătoare a persoanelor afectate de tranziția verde; accentuează că instruirea și formarea unor astfel de cadre didactice și formatori ar trebui să fie, prin urmare, o prioritate în orice strategie ce vizează competențele de la nivel european, național, regional și local;</w:t>
      </w:r>
    </w:p>
    <w:p w14:paraId="032DB1DA" w14:textId="393A72B8" w:rsidR="009F6BED" w:rsidRPr="007B4C2B" w:rsidRDefault="004516E2" w:rsidP="009F6BED">
      <w:pPr>
        <w:pStyle w:val="NormalHanging12a"/>
      </w:pPr>
      <w:r w:rsidRPr="007B4C2B">
        <w:t>19</w:t>
      </w:r>
      <w:r w:rsidR="009F6BED" w:rsidRPr="007B4C2B">
        <w:t>.</w:t>
      </w:r>
      <w:r w:rsidR="009F6BED" w:rsidRPr="007B4C2B">
        <w:tab/>
        <w:t xml:space="preserve">subliniază că investițiile publice și private directe în infrastructura ecologică, în proiecte privind energia din surse regenerabile și în activități ale economiei circulare sunt necesare pentru revitalizarea economiilor locale și stimularea creării de locuri de muncă de calitate; subliniază că trebuie valorificate atuurile regionale, investind în sectoare în care regiunile au deja puncte forte sau avantaje comparative; consideră că specializarea </w:t>
      </w:r>
      <w:r w:rsidR="009F6BED" w:rsidRPr="007B4C2B">
        <w:lastRenderedPageBreak/>
        <w:t>regională poate constitui baza unor noduri industriale ecologice; subliniază că sprijinirea cercetării și a inovării și încurajarea colaborării dintre universități și întreprinderi pot stimula noi modele de afaceri sustenabile;</w:t>
      </w:r>
    </w:p>
    <w:p w14:paraId="0B0CAFDF" w14:textId="124FC72D" w:rsidR="009F6BED" w:rsidRPr="007B4C2B" w:rsidRDefault="004516E2" w:rsidP="009F6BED">
      <w:pPr>
        <w:pStyle w:val="NormalHanging12a"/>
      </w:pPr>
      <w:r w:rsidRPr="007B4C2B">
        <w:t>20</w:t>
      </w:r>
      <w:r w:rsidR="009F6BED" w:rsidRPr="007B4C2B">
        <w:t>.</w:t>
      </w:r>
      <w:r w:rsidR="009F6BED" w:rsidRPr="007B4C2B">
        <w:tab/>
        <w:t>subliniază că, pentru realizarea obiectivelor tranziției juste, este necesar un mix coerent și integrat de politici; solicită ca măsurile climatice și industriale ale UE să ia în considerare obiectivele în materie de incluziune, protecție socială și competențe; evidențiază că este important să se garanteze că fondurile europene și naționale sunt folosite pentru a facilita tranziția verde și cea digitală, inclusiv prin promovarea dialogului social și a negocierilor colective; solicită ca finanțarea UE și ajutoarele de stat acordate de statele membre să fie aliniate la o politică industrială europeană, pentru a oferi locuri de muncă de înaltă calitate, a promova negocierea colectivă și respectarea drepturilor lucrătorilor și a standardelor de muncă ale UE, a îmbunătăți competitivitatea întreprinderilor europene și a asigura condiții mai bune de muncă;</w:t>
      </w:r>
    </w:p>
    <w:p w14:paraId="00C3AFEC" w14:textId="1998C405" w:rsidR="009F6BED" w:rsidRPr="007B4C2B" w:rsidRDefault="004516E2" w:rsidP="009F6BED">
      <w:pPr>
        <w:pStyle w:val="NormalHanging12a"/>
      </w:pPr>
      <w:r w:rsidRPr="007B4C2B">
        <w:t>21</w:t>
      </w:r>
      <w:r w:rsidR="009F6BED" w:rsidRPr="007B4C2B">
        <w:t>.</w:t>
      </w:r>
      <w:r w:rsidR="009F6BED" w:rsidRPr="007B4C2B">
        <w:tab/>
        <w:t>invită statele membre să asigure o finanțare suficientă pentru competențe și programe de formare profesională de calitate, ca investiție pe termen lung în productivitatea, creșterea și competitivitatea lucrătorilor și întreprinderilor; invită statele membre să valorifice strategic, cu sprijinul Comisiei, instrumentele existente ale Uniunii, în special Garanția de competențe, pentru a realiza Uniunea competențelor; invită statele membre să utilizeze o proporție mai mare din veniturile provenite din sistemul național de comercializare a certificatelor de emisii pentru formarea lucrătorilor și realocarea forței de muncă, în special în regiunile cu un consum ridicat de cărbune; 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în acest sens;</w:t>
      </w:r>
    </w:p>
    <w:p w14:paraId="3E729DA1" w14:textId="14A4AFE9" w:rsidR="009F6BED" w:rsidRPr="007B4C2B" w:rsidRDefault="004516E2" w:rsidP="009F6BED">
      <w:pPr>
        <w:pStyle w:val="NormalHanging12a"/>
      </w:pPr>
      <w:r w:rsidRPr="007B4C2B">
        <w:t>22</w:t>
      </w:r>
      <w:r w:rsidR="009F6BED" w:rsidRPr="007B4C2B">
        <w:t>.</w:t>
      </w:r>
      <w:r w:rsidR="009F6BED" w:rsidRPr="007B4C2B">
        <w:tab/>
        <w:t xml:space="preserve">reamintește importanța integrării aspectelor legate de dizabilități și a unei abordări </w:t>
      </w:r>
      <w:proofErr w:type="spellStart"/>
      <w:r w:rsidR="009F6BED" w:rsidRPr="007B4C2B">
        <w:t>intersecționale</w:t>
      </w:r>
      <w:proofErr w:type="spellEnd"/>
      <w:r w:rsidR="009F6BED" w:rsidRPr="007B4C2B">
        <w:t xml:space="preserve"> care să vizeze lucrătorii tineri, în vârstă, slab calificați și lucrătoarele în toate măsurile de politică care abordează dubla tranziție, cum ar fi asigurarea unor amenajări corespunzătoare în educație și formare;</w:t>
      </w:r>
    </w:p>
    <w:p w14:paraId="4E160187" w14:textId="0CFD4B0D" w:rsidR="009F6BED" w:rsidRPr="007B4C2B" w:rsidRDefault="004516E2" w:rsidP="009F6BED">
      <w:pPr>
        <w:pStyle w:val="NormalHanging12a"/>
      </w:pPr>
      <w:r w:rsidRPr="007B4C2B">
        <w:t>23</w:t>
      </w:r>
      <w:r w:rsidR="009F6BED" w:rsidRPr="007B4C2B">
        <w:t>.</w:t>
      </w:r>
      <w:r w:rsidR="009F6BED" w:rsidRPr="007B4C2B">
        <w:tab/>
        <w:t xml:space="preserve">reamintește rolul pe care îl joacă Fondul european de ajustare la globalizare pentru lucrătorii disponibilizați (FEG) în ceea ce privește acordarea de sprijin lucrătorilor afectați de tranziția verde și cea digitală în perioada de programare rămasă și încurajează statele membre să utilizeze pe deplin fondul, cu sprijinul Comisiei; salută obiectivul propunerii de revizuire a actualului FEG de a sprijini </w:t>
      </w:r>
      <w:proofErr w:type="spellStart"/>
      <w:r w:rsidR="009F6BED" w:rsidRPr="007B4C2B">
        <w:t>proactiv</w:t>
      </w:r>
      <w:proofErr w:type="spellEnd"/>
      <w:r w:rsidR="009F6BED" w:rsidRPr="007B4C2B">
        <w:t xml:space="preserve"> lucrătorii afectați de disponibilizări iminente și de a accelera procedura de aprobare a cererilor; subliniază, cu toate acestea, că este important să se asigure faptul că întreprinderile aflate în curs de restructurare care doresc să solicite sprijin din partea fondului fac acest lucru consultându-se riguros cu lucrătorii și cu reprezentanții lor, inclusiv în ceea ce privește conceperea pachetului personalizat de măsuri; constată cu îngrijorare eliminarea FEG din propunerea privind cadrul financiar multianual 2028-2034; subliniază importanța măsurilor active de pe piața muncii și a măsurilor de protecție socială pentru reintegrarea pe piața muncii a lucrătorilor disponibilizați în urma unor evenimente majore de restructurare; invită Comisia să asigure în continuare, în următorul CFM, un sprijin specific pentru lucrătorii expuși riscurilor cauzate de evenimente majore de restructurare sau disponibilizați în urma unor astfel de evenimente;</w:t>
      </w:r>
    </w:p>
    <w:p w14:paraId="3D45824B" w14:textId="6C34D72F" w:rsidR="009F6BED" w:rsidRPr="007B4C2B" w:rsidRDefault="004516E2" w:rsidP="009F6BED">
      <w:pPr>
        <w:pStyle w:val="NormalHanging12a"/>
      </w:pPr>
      <w:r w:rsidRPr="007B4C2B">
        <w:t>24</w:t>
      </w:r>
      <w:r w:rsidR="009F6BED" w:rsidRPr="007B4C2B">
        <w:t>.</w:t>
      </w:r>
      <w:r w:rsidR="009F6BED" w:rsidRPr="007B4C2B">
        <w:tab/>
        <w:t xml:space="preserve">reamintește că este important să se asigure un nivel ridicat de securitate și sănătate în muncă pentru lucrători; subliniază că este important să se răspundă în mod </w:t>
      </w:r>
      <w:proofErr w:type="spellStart"/>
      <w:r w:rsidR="009F6BED" w:rsidRPr="007B4C2B">
        <w:t>proactiv</w:t>
      </w:r>
      <w:proofErr w:type="spellEnd"/>
      <w:r w:rsidR="009F6BED" w:rsidRPr="007B4C2B">
        <w:t xml:space="preserve"> </w:t>
      </w:r>
      <w:r w:rsidR="009F6BED" w:rsidRPr="007B4C2B">
        <w:lastRenderedPageBreak/>
        <w:t>riscurilor în continuă evoluție în materie de securitate și sănătate în muncă ce afectează sarcinile de muncă, modurile de organizare a muncii și locurile de muncă, în special riscurile de mediu și psihosociale, în contextul dublei tranziții; invită Comisia să efectueze o analiză cuprinzătoare a actualului cadru strategic privind securitatea și sănătatea în muncă și a cadrului legislativ în vigoare privind acest subiect, cu scopul de a identifica lacunele rămase și de a asigura faptul că acquis-</w:t>
      </w:r>
      <w:proofErr w:type="spellStart"/>
      <w:r w:rsidR="009F6BED" w:rsidRPr="007B4C2B">
        <w:t>ul</w:t>
      </w:r>
      <w:proofErr w:type="spellEnd"/>
      <w:r w:rsidR="009F6BED" w:rsidRPr="007B4C2B">
        <w:t xml:space="preserve"> UE corespunde în continuare scopului urmărit și pentru a contribui la elaborarea cadrului strategic pentru perioada de după 2027;</w:t>
      </w:r>
    </w:p>
    <w:p w14:paraId="2EA44074" w14:textId="42301F62" w:rsidR="009F6BED" w:rsidRPr="007B4C2B" w:rsidRDefault="004516E2" w:rsidP="009F6BED">
      <w:pPr>
        <w:pStyle w:val="NormalHanging12a"/>
      </w:pPr>
      <w:r w:rsidRPr="007B4C2B">
        <w:t>25</w:t>
      </w:r>
      <w:r w:rsidR="009F6BED" w:rsidRPr="007B4C2B">
        <w:t>.</w:t>
      </w:r>
      <w:r w:rsidR="009F6BED" w:rsidRPr="007B4C2B">
        <w:tab/>
        <w:t>subliniază că transformările și restructurările la locul de muncă în timpul dublei tranziții pot declanșa riscuri psihosociale, cum ar fi stresul, nesiguranța și pericolul pierderii locului de muncă; evidențiază că este nevoie să se protejeze sănătatea mintală și starea de bine psihosocială a lucrătorilor în timpul tranzițiilor, inclusiv prin evaluări ale riscurilor la locul de muncă și servicii de sprijin; solicită ca în planurile de tranziție la nivel de întreprindere să fie integrate programe de sprijin pentru sănătatea mintală, inclusiv consiliere, gestionarea stresului și sisteme de echilibrare a vieții profesionale cu cea privată;</w:t>
      </w:r>
    </w:p>
    <w:p w14:paraId="6E49675F" w14:textId="4B30CF70" w:rsidR="009F6BED" w:rsidRPr="007B4C2B" w:rsidRDefault="004516E2" w:rsidP="009F6BED">
      <w:pPr>
        <w:pStyle w:val="NormalHanging12a"/>
      </w:pPr>
      <w:r w:rsidRPr="007B4C2B">
        <w:t>26</w:t>
      </w:r>
      <w:r w:rsidR="009F6BED" w:rsidRPr="007B4C2B">
        <w:t>.</w:t>
      </w:r>
      <w:r w:rsidR="009F6BED" w:rsidRPr="007B4C2B">
        <w:tab/>
        <w:t>evidențiază că este important ca lucrătorii să fie sprijiniți în consolidarea competențelor lor transformatoare, de bază și cognitive, cum ar fi gândirea creativă și critică, competențele de analiză prospectivă, reziliența, flexibilitatea și agilitatea, motivația și conștiința propriei identități, curiozitatea și învățarea pe tot parcursul vieții, ca recunoaștere a importanței capacității lucrătorilor de a se adapta la locuri de muncă marcate de perturbări, de a da dovadă de eficiență personală și de a genera soluții noi necesare pentru transformarea verde și cea digitală;</w:t>
      </w:r>
    </w:p>
    <w:p w14:paraId="110FA16C" w14:textId="2A92D78D" w:rsidR="009F6BED" w:rsidRPr="007B4C2B" w:rsidRDefault="004516E2" w:rsidP="009F6BED">
      <w:pPr>
        <w:pStyle w:val="NormalHanging12a"/>
      </w:pPr>
      <w:r w:rsidRPr="007B4C2B">
        <w:t>27</w:t>
      </w:r>
      <w:r w:rsidR="009F6BED" w:rsidRPr="007B4C2B">
        <w:t>.</w:t>
      </w:r>
      <w:r w:rsidR="009F6BED" w:rsidRPr="007B4C2B">
        <w:tab/>
        <w:t xml:space="preserve">salută sinteza politică a </w:t>
      </w:r>
      <w:proofErr w:type="spellStart"/>
      <w:r w:rsidR="009F6BED" w:rsidRPr="007B4C2B">
        <w:t>Cedefop</w:t>
      </w:r>
      <w:proofErr w:type="spellEnd"/>
      <w:r w:rsidR="009F6BED" w:rsidRPr="007B4C2B">
        <w:t xml:space="preserve"> privind elaborarea unei hărți europene a calificărilor, care consolidează transparența, comparabilitatea și portabilitatea calificărilor în întreaga </w:t>
      </w:r>
      <w:proofErr w:type="spellStart"/>
      <w:r w:rsidR="009F6BED" w:rsidRPr="007B4C2B">
        <w:t>Europă</w:t>
      </w:r>
      <w:proofErr w:type="spellEnd"/>
      <w:r w:rsidR="009F6BED" w:rsidRPr="007B4C2B">
        <w:t>; subliniază că o astfel de hartă trebuie să reprezinte mai mult decât un exercițiu academic și să servească drept instrument practic pentru competitivitate, relevanța pentru piața forței de muncă și mobilitate; invită Comisia și statele membre să se asigure că cadrul european al calificărilor este strâns legat de nevoile economice, de politica industrială și de investițiile în competențe, să cartografieze cu rigurozitate și sistematic lacunele existente în materie de competențe la nivel regional și să ofere previziuni privind cererea viitoare de competențe; subliniază că o astfel de cartografiere ar trebui să includă o analiză a impactului și să conducă la măsuri sectoriale și teritoriale pentru a profita de potențialul tranziției verzi în toate regiunile;</w:t>
      </w:r>
    </w:p>
    <w:p w14:paraId="1FB07418" w14:textId="5E640A39" w:rsidR="009F6BED" w:rsidRPr="007B4C2B" w:rsidRDefault="004516E2" w:rsidP="009F6BED">
      <w:pPr>
        <w:pStyle w:val="NormalHanging12a"/>
      </w:pPr>
      <w:r w:rsidRPr="007B4C2B">
        <w:t>28</w:t>
      </w:r>
      <w:r w:rsidR="009F6BED" w:rsidRPr="007B4C2B">
        <w:t>.</w:t>
      </w:r>
      <w:r w:rsidR="009F6BED" w:rsidRPr="007B4C2B">
        <w:tab/>
        <w:t>subliniază că pentru a sprijini lucrătorii și pentru a asigura coeziunea socială în perioadele de tranziție, este esențial să existe plase de siguranță socială și sisteme de protecție socială puternice; invită statele membre să își modernizeze și consolideze, în consultare cu partenerii sociali și cu organizațiile relevante ale societății civile, sistemele de protecție socială și serviciile publice esențiale, asigurând sustenabilitatea lor pe termen lung și fără a mări sarcinile financiare asupra IMM-urilor, punând un accent deosebit pe serviciile de sănătate, transporturi, educație, politicile de incluziune socială, sprijinul pentru venit și locuințele la prețuri accesibile, precum și pe sprijinul pentru furnizorii de servicii sociale fără scop lucrativ, pentru a asigura reziliența la șocurile generate de dubla tranziție care afectează piața muncii și faptul că angajații afectați de pierderea locului de muncă își pot menține nivelul de trai cât mai mult posibil;</w:t>
      </w:r>
    </w:p>
    <w:p w14:paraId="4F62779D" w14:textId="3EE909EB" w:rsidR="009F6BED" w:rsidRPr="007B4C2B" w:rsidRDefault="004516E2" w:rsidP="009F6BED">
      <w:pPr>
        <w:pStyle w:val="NormalHanging12a"/>
      </w:pPr>
      <w:r w:rsidRPr="007B4C2B">
        <w:t>29</w:t>
      </w:r>
      <w:r w:rsidR="009F6BED" w:rsidRPr="007B4C2B">
        <w:t>.</w:t>
      </w:r>
      <w:r w:rsidR="009F6BED" w:rsidRPr="007B4C2B">
        <w:tab/>
        <w:t xml:space="preserve">îndeamnă statele membre să pună în aplicare pe deplin recomandarea Consiliului </w:t>
      </w:r>
      <w:r w:rsidR="009F6BED" w:rsidRPr="007B4C2B">
        <w:lastRenderedPageBreak/>
        <w:t>privind protecția socială a lucrătorilor și a persoanelor care desfășoară o activitate independentă; invită Comisia să monitorizeze riscurile și progresele în sensul unor astfel de acțiuni prin intermediul tabloului de bord social și al cadrului de convergență socială; subliniază că este important să se asigure relevanța ofertelor serviciilor publice naționale de ocupare a forței de muncă pentru evoluțiile de pe piața forței de muncă, pentru a asigura sprijin destinat persoanelor care își schimbă locul de muncă ca urmare a tranzițiilor și pentru a le facilita această schimbare;</w:t>
      </w:r>
    </w:p>
    <w:p w14:paraId="0F939309" w14:textId="0D2E54B7" w:rsidR="009F6BED" w:rsidRPr="007B4C2B" w:rsidRDefault="004516E2" w:rsidP="009F6BED">
      <w:pPr>
        <w:pStyle w:val="NormalHanging12a"/>
      </w:pPr>
      <w:r w:rsidRPr="007B4C2B">
        <w:t>30</w:t>
      </w:r>
      <w:r w:rsidR="009F6BED" w:rsidRPr="007B4C2B">
        <w:t>.</w:t>
      </w:r>
      <w:r w:rsidR="009F6BED" w:rsidRPr="007B4C2B">
        <w:tab/>
        <w:t>evidențiază importanța unor politici specifice prin care să fie sprijinite persoanele cele mai afectate de dubla tranziție, în special persoanele aflate în situații de vulnerabilitate; subliniază că este nevoie de sprijin activ și de intervenții timpurii pentru a evita ca persoanele aflate în situații de vulnerabilitate să intre în perioade lungi de șomaj sau să se descurajeze ca lucrători; invită statele membre să majoreze semnificativ sprijinul activ pentru locurile de muncă de calitate, în special susținând accesul la locuri de muncă de calitate și menținerea acestora, promovând spiritul antreprenorial și stimulând crearea de locuri de muncă de calitate; evidențiază rolul programelor de integrare, al achizițiilor publice specifice și al lucrărilor publice locale în crearea de locuri de muncă de tranziție; accentuează că este necesar să se consolideze capacitățile autorităților locale și regionale pentru a mobiliza cu succes investițiile, pentru a colabora cu grupurile-țintă în cadrul dezvoltării și punerii în aplicare a schemelor de sprijin social și pentru a măsura efectele distributive;</w:t>
      </w:r>
    </w:p>
    <w:p w14:paraId="2B7C814F" w14:textId="4574A9E0" w:rsidR="009F6BED" w:rsidRPr="007B4C2B" w:rsidRDefault="004516E2" w:rsidP="009F6BED">
      <w:pPr>
        <w:pStyle w:val="NormalHanging12a"/>
      </w:pPr>
      <w:r w:rsidRPr="007B4C2B">
        <w:t>31</w:t>
      </w:r>
      <w:r w:rsidR="009F6BED" w:rsidRPr="007B4C2B">
        <w:t>.</w:t>
      </w:r>
      <w:r w:rsidR="009F6BED" w:rsidRPr="007B4C2B">
        <w:tab/>
        <w:t>subliniază că trebuie sprijinite schemele de reducere a timpului de muncă și evidențiază importanța unui sprijin specific pentru lucrătorii afectați de tranziții, pe baza experienței pozitive cu instrumentul SURE; solicită Comisiei să propună un mecanism SURE consolidat care să vizeze tranziția verde și pe cea digitală, deoarece sprijinirea unor astfel de măsuri temporare de protecție a locurilor de muncă în perioade de criză poate stabiliza cheltuielile publice destinate politicilor de ocupare a forței de muncă și măsurilor de tranziție justă menite să atenueze impactul imediat asupra locurilor de muncă al transformării necesare a economiei UE, în conformitate cu obiectivele unei tranziții juste;</w:t>
      </w:r>
    </w:p>
    <w:p w14:paraId="627980A6" w14:textId="27A5D576" w:rsidR="009F6BED" w:rsidRPr="007B4C2B" w:rsidRDefault="004516E2" w:rsidP="009F6BED">
      <w:pPr>
        <w:pStyle w:val="NormalHanging12a"/>
      </w:pPr>
      <w:r w:rsidRPr="007B4C2B">
        <w:t>32</w:t>
      </w:r>
      <w:r w:rsidR="009F6BED" w:rsidRPr="007B4C2B">
        <w:t>.</w:t>
      </w:r>
      <w:r w:rsidR="009F6BED" w:rsidRPr="007B4C2B">
        <w:tab/>
        <w:t>subliniază că impactul asupra ocupării forței de muncă va fi diferit de la o regiune la alta și de la o populație la alta; subliniază, în acest sens, că cetățenii și părțile interesate locale, inclusiv organizațiile societății civile relevante, trebuie implicate și dotate cu instrumentele necesare, astfel încât să poată juca un rol activ în procesul de tranziție; accentuează că autoritățile locale și regionale ar trebui să fie direct implicate în conceperea, selectarea și monitorizarea proiectelor, pentru a se asigura că finanțarea răspunde nevoilor locale specifice și sprijină diversificarea economiilor regionale; subliniază că autoritățile publice trebuie să inițieze consultări strategice și o cooperare cu partenerii sociali în timpul gestionării tranziției; subliniază că o participare efectivă poate fi asigurată prin consultări într-un stadiu timpuriu și prin acordarea unor mandate clare și a drepturilor de vot partenerilor sociali, IMM-urilor, societății civile, economiei sociale și tineretului, în cadrul organismelor de coordonare regionale;</w:t>
      </w:r>
    </w:p>
    <w:p w14:paraId="6A494F0C" w14:textId="1FFAD69A" w:rsidR="009F6BED" w:rsidRPr="007B4C2B" w:rsidRDefault="004516E2" w:rsidP="009F6BED">
      <w:pPr>
        <w:pStyle w:val="NormalHanging12a"/>
      </w:pPr>
      <w:r w:rsidRPr="007B4C2B">
        <w:t>33</w:t>
      </w:r>
      <w:r w:rsidR="009F6BED" w:rsidRPr="007B4C2B">
        <w:t>.</w:t>
      </w:r>
      <w:r w:rsidR="009F6BED" w:rsidRPr="007B4C2B">
        <w:tab/>
        <w:t xml:space="preserve">subliniază că negocierea colectivă este esențială pentru salarii echitabile, dreptate socială și democrație la locul de muncă, însă acoperirea este în continuare inegală; reamintește că statele membre în care negocierile colective au o acoperire mai mică de 80 % au obligația de a elabora planuri naționale de acțiune cu calendare clare și măsuri specifice pentru creșterea acoperirii; invită Comisia să ofere orientări și sprijin statelor membre pentru ca acestea să își consolideze sistemele de negociere, în special la nivel sectorial, cu participarea deplină a partenerilor sociali; accentuează că UE și statele </w:t>
      </w:r>
      <w:r w:rsidR="009F6BED" w:rsidRPr="007B4C2B">
        <w:lastRenderedPageBreak/>
        <w:t>membre ar trebui să sprijine finanțarea pentru consolidarea capacității partenerilor sociali, mai ales la nivel regional, în cadrul punerii în aplicare a recomandării Consiliului privind asigurarea unei tranziții echitabile către neutralitatea climatică, pentru ca aceștia să se implice într-un dialog social structurat și în negocieri colective privind planurile de tranziție la nivel de întreprindere;</w:t>
      </w:r>
    </w:p>
    <w:p w14:paraId="2298EC6C" w14:textId="1F24271E" w:rsidR="009F6BED" w:rsidRPr="007B4C2B" w:rsidRDefault="004516E2" w:rsidP="009F6BED">
      <w:pPr>
        <w:pStyle w:val="NormalHanging12a"/>
      </w:pPr>
      <w:r w:rsidRPr="007B4C2B">
        <w:t>34</w:t>
      </w:r>
      <w:r w:rsidR="009F6BED" w:rsidRPr="007B4C2B">
        <w:t>.</w:t>
      </w:r>
      <w:r w:rsidR="009F6BED" w:rsidRPr="007B4C2B">
        <w:tab/>
        <w:t>consideră că implicațiile financiare ale propunerilor solicitate ar trebui să fie acoperite prin alocările bugetare existente;</w:t>
      </w:r>
    </w:p>
    <w:p w14:paraId="5FB2AEE5" w14:textId="48FD6C36" w:rsidR="009F6BED" w:rsidRPr="007B4C2B" w:rsidRDefault="004516E2" w:rsidP="009F6BED">
      <w:pPr>
        <w:ind w:left="567" w:hanging="567"/>
        <w:rPr>
          <w:szCs w:val="24"/>
        </w:rPr>
      </w:pPr>
      <w:r w:rsidRPr="007B4C2B">
        <w:t>35</w:t>
      </w:r>
      <w:r w:rsidR="009F6BED" w:rsidRPr="007B4C2B">
        <w:t>.</w:t>
      </w:r>
      <w:r w:rsidR="009F6BED" w:rsidRPr="007B4C2B">
        <w:tab/>
        <w:t xml:space="preserve">încredințează Președintei sarcina de a transmite Comisiei și Consiliului prezenta rezoluție și recomandările din anexă. </w:t>
      </w:r>
    </w:p>
    <w:p w14:paraId="64EC61DA" w14:textId="77777777" w:rsidR="009F6BED" w:rsidRPr="007B4C2B" w:rsidRDefault="009F6BED" w:rsidP="009F6BED"/>
    <w:p w14:paraId="5B72E027" w14:textId="77777777" w:rsidR="009F6BED" w:rsidRPr="007B4C2B" w:rsidRDefault="009F6BED" w:rsidP="009F6BED">
      <w:pPr>
        <w:sectPr w:rsidR="009F6BED" w:rsidRPr="007B4C2B" w:rsidSect="0058332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10E30F3" w14:textId="3814B89B" w:rsidR="009F6BED" w:rsidRPr="007B4C2B" w:rsidRDefault="009F6BED" w:rsidP="009F6BED">
      <w:pPr>
        <w:pStyle w:val="PageHeading"/>
      </w:pPr>
      <w:bookmarkStart w:id="8" w:name="_Toc216685631"/>
      <w:bookmarkStart w:id="9" w:name="_Toc218762301"/>
      <w:r w:rsidRPr="007B4C2B">
        <w:lastRenderedPageBreak/>
        <w:t>ANEXĂ LA REZOLUȚIE:</w:t>
      </w:r>
      <w:r w:rsidRPr="007B4C2B">
        <w:br/>
        <w:t>RECOMANDĂRI PRIVIND CONȚINUTUL PROPUNERII SOLICITATE</w:t>
      </w:r>
      <w:bookmarkEnd w:id="8"/>
      <w:bookmarkEnd w:id="9"/>
    </w:p>
    <w:p w14:paraId="7878D2FC" w14:textId="77777777" w:rsidR="009F6BED" w:rsidRPr="007B4C2B" w:rsidRDefault="009F6BED" w:rsidP="009F6BED">
      <w:pPr>
        <w:pStyle w:val="NormalHanging12a"/>
        <w:jc w:val="center"/>
        <w:rPr>
          <w:b/>
        </w:rPr>
      </w:pPr>
      <w:r w:rsidRPr="007B4C2B">
        <w:rPr>
          <w:b/>
        </w:rPr>
        <w:t>O directivă europeană pentru o tranziție justă în lumea muncii: asigurarea creării de locuri de muncă și revitalizarea economiilor locale</w:t>
      </w:r>
    </w:p>
    <w:p w14:paraId="4E42FF4A" w14:textId="3D2D23F1" w:rsidR="009F6BED" w:rsidRPr="007B4C2B" w:rsidRDefault="009F6BED" w:rsidP="009F6BED">
      <w:pPr>
        <w:pStyle w:val="NormalHanging12a"/>
        <w:ind w:left="0" w:firstLine="0"/>
      </w:pPr>
      <w:r w:rsidRPr="007B4C2B">
        <w:t xml:space="preserve">Parlamentul European consideră că </w:t>
      </w:r>
      <w:r w:rsidR="00D772D2" w:rsidRPr="007B4C2B">
        <w:t xml:space="preserve">Comisia </w:t>
      </w:r>
      <w:r w:rsidRPr="007B4C2B">
        <w:t>ar trebui să prevadă următoarele principii și obiective:</w:t>
      </w:r>
    </w:p>
    <w:p w14:paraId="7B488987" w14:textId="77777777" w:rsidR="009F6BED" w:rsidRPr="007B4C2B" w:rsidRDefault="009F6BED" w:rsidP="009F6BED">
      <w:pPr>
        <w:pStyle w:val="NormalHanging12a"/>
        <w:ind w:left="720" w:hanging="720"/>
        <w:rPr>
          <w:i/>
          <w:szCs w:val="24"/>
        </w:rPr>
      </w:pPr>
      <w:r w:rsidRPr="007B4C2B">
        <w:rPr>
          <w:b/>
          <w:i/>
        </w:rPr>
        <w:t>Recomandarea 1: Obiectivul general al propunerii</w:t>
      </w:r>
    </w:p>
    <w:p w14:paraId="28D10378" w14:textId="77777777" w:rsidR="009F6BED" w:rsidRPr="007B4C2B" w:rsidRDefault="009F6BED" w:rsidP="009F6BED">
      <w:pPr>
        <w:pStyle w:val="NormalHanging12a"/>
        <w:ind w:left="0" w:firstLine="0"/>
      </w:pPr>
      <w:r w:rsidRPr="007B4C2B">
        <w:t>Obiectivul general al propunerii ar trebui să fie de a stabili un cadru de măsuri de politică al Uniunii, care să poată fi pus în practică în regiunile afectate de tranziția verde și cea digitală, cu scopul de a asigura o tranziție echitabilă din punct de vedere social și incluzivă, crearea de locuri de muncă de calitate și protejarea acestora.</w:t>
      </w:r>
    </w:p>
    <w:p w14:paraId="757EDD25" w14:textId="77777777" w:rsidR="009F6BED" w:rsidRPr="007B4C2B" w:rsidRDefault="009F6BED" w:rsidP="009F6BED">
      <w:pPr>
        <w:pStyle w:val="NormalHanging12a"/>
        <w:ind w:left="720" w:hanging="720"/>
        <w:rPr>
          <w:i/>
          <w:szCs w:val="24"/>
        </w:rPr>
      </w:pPr>
      <w:r w:rsidRPr="007B4C2B">
        <w:rPr>
          <w:b/>
          <w:i/>
        </w:rPr>
        <w:t>Recomandarea 2: Forma propunerii</w:t>
      </w:r>
    </w:p>
    <w:p w14:paraId="7CBEC17A" w14:textId="77777777" w:rsidR="009F6BED" w:rsidRPr="007B4C2B" w:rsidRDefault="009F6BED" w:rsidP="009F6BED">
      <w:pPr>
        <w:rPr>
          <w:i/>
          <w:szCs w:val="24"/>
        </w:rPr>
      </w:pPr>
      <w:r w:rsidRPr="007B4C2B">
        <w:t>Având în vedere că pentru atingerea acestui obiectiv este necesar un pachet cuprinzător de măsuri, propunerea ar trebui să conțină elemente legate de următoarele aspecte:</w:t>
      </w:r>
    </w:p>
    <w:p w14:paraId="3D116825" w14:textId="77777777" w:rsidR="009F6BED" w:rsidRPr="007B4C2B" w:rsidRDefault="009F6BED" w:rsidP="009F6BED">
      <w:pPr>
        <w:ind w:left="851" w:hanging="425"/>
      </w:pPr>
      <w:r w:rsidRPr="007B4C2B">
        <w:t>(a)</w:t>
      </w:r>
      <w:r w:rsidRPr="007B4C2B">
        <w:tab/>
        <w:t>condițiile de muncă;</w:t>
      </w:r>
    </w:p>
    <w:p w14:paraId="5FD532F9" w14:textId="77777777" w:rsidR="009F6BED" w:rsidRPr="007B4C2B" w:rsidRDefault="009F6BED" w:rsidP="009F6BED">
      <w:pPr>
        <w:ind w:left="851" w:hanging="425"/>
      </w:pPr>
      <w:r w:rsidRPr="007B4C2B">
        <w:t>(b)</w:t>
      </w:r>
      <w:r w:rsidRPr="007B4C2B">
        <w:tab/>
        <w:t>integrarea persoanelor excluse de pe piața forței de muncă;</w:t>
      </w:r>
    </w:p>
    <w:p w14:paraId="11116B01" w14:textId="77777777" w:rsidR="009F6BED" w:rsidRPr="007B4C2B" w:rsidRDefault="009F6BED" w:rsidP="009F6BED">
      <w:pPr>
        <w:ind w:left="851" w:hanging="425"/>
      </w:pPr>
      <w:r w:rsidRPr="007B4C2B">
        <w:t>(c)</w:t>
      </w:r>
      <w:r w:rsidRPr="007B4C2B">
        <w:tab/>
        <w:t>informarea și consultarea lucrătorilor;</w:t>
      </w:r>
    </w:p>
    <w:p w14:paraId="6442B218" w14:textId="77777777" w:rsidR="009F6BED" w:rsidRPr="007B4C2B" w:rsidRDefault="009F6BED" w:rsidP="009F6BED">
      <w:pPr>
        <w:pStyle w:val="NormalHanging12a"/>
        <w:ind w:left="851" w:hanging="425"/>
        <w:rPr>
          <w:szCs w:val="24"/>
        </w:rPr>
      </w:pPr>
      <w:r w:rsidRPr="007B4C2B">
        <w:t>(d)</w:t>
      </w:r>
      <w:r w:rsidRPr="007B4C2B">
        <w:tab/>
        <w:t xml:space="preserve">îmbunătățirea mediului de muncă pentru a proteja sănătatea și siguranța lucrătorilor. </w:t>
      </w:r>
    </w:p>
    <w:p w14:paraId="6DB72D6A" w14:textId="77777777" w:rsidR="009F6BED" w:rsidRPr="007B4C2B" w:rsidRDefault="009F6BED" w:rsidP="009F6BED">
      <w:pPr>
        <w:pStyle w:val="NormalHanging12a"/>
        <w:ind w:left="720" w:hanging="720"/>
        <w:rPr>
          <w:i/>
          <w:szCs w:val="24"/>
        </w:rPr>
      </w:pPr>
      <w:r w:rsidRPr="007B4C2B">
        <w:rPr>
          <w:b/>
          <w:i/>
        </w:rPr>
        <w:t>Recomandarea 3: Obiectul propunerii</w:t>
      </w:r>
    </w:p>
    <w:p w14:paraId="27562E86" w14:textId="77777777" w:rsidR="009F6BED" w:rsidRPr="007B4C2B" w:rsidRDefault="009F6BED" w:rsidP="009F6BED">
      <w:r w:rsidRPr="007B4C2B">
        <w:t>Propunerea ar trebui să se axeze pe următoarele măsuri de politică:</w:t>
      </w:r>
    </w:p>
    <w:p w14:paraId="30439DA0" w14:textId="77777777" w:rsidR="009F6BED" w:rsidRPr="007B4C2B" w:rsidRDefault="009F6BED" w:rsidP="009F6BED">
      <w:r w:rsidRPr="007B4C2B">
        <w:t>(a)</w:t>
      </w:r>
      <w:r w:rsidRPr="007B4C2B">
        <w:tab/>
        <w:t>instituirea unui cadru specific pentru anticiparea și gestionarea schimbărilor în regiunile și sectoarele care vor fi afectate de tranziție, pe baza principiilor informării și consultării la timp și obligatorii a lucrătorilor și a reprezentanților acestora, pe baza dialogului social obligatoriu și a negocierii colective;</w:t>
      </w:r>
    </w:p>
    <w:p w14:paraId="2D02DFE3" w14:textId="77777777" w:rsidR="009F6BED" w:rsidRPr="007B4C2B" w:rsidRDefault="009F6BED" w:rsidP="009F6BED">
      <w:r w:rsidRPr="007B4C2B">
        <w:t>(b)</w:t>
      </w:r>
      <w:r w:rsidRPr="007B4C2B">
        <w:tab/>
        <w:t>asigurarea faptului că dreptul la informare și consultare al lucrătorilor și al reprezentanților acestora, astfel cum este prevăzut în Directiva 2002/14/CE și în dispozițiile de drept intern, este aplicat efectiv în contextul tranzițiilor;</w:t>
      </w:r>
    </w:p>
    <w:p w14:paraId="6253DC5B" w14:textId="77777777" w:rsidR="009F6BED" w:rsidRPr="007B4C2B" w:rsidRDefault="009F6BED" w:rsidP="009F6BED">
      <w:r w:rsidRPr="007B4C2B">
        <w:t>(c)</w:t>
      </w:r>
      <w:r w:rsidRPr="007B4C2B">
        <w:tab/>
        <w:t>stabilirea unui drept individual la formare pentru lucrători în timpul programului de lucru;</w:t>
      </w:r>
    </w:p>
    <w:p w14:paraId="4639878B" w14:textId="77777777" w:rsidR="009F6BED" w:rsidRPr="007B4C2B" w:rsidRDefault="009F6BED" w:rsidP="009F6BED">
      <w:r w:rsidRPr="007B4C2B">
        <w:t>(d)</w:t>
      </w:r>
      <w:r w:rsidRPr="007B4C2B">
        <w:tab/>
        <w:t>stabilirea unor strategii naționale pentru o tranziție justă, cu un accent deosebit pe elaborarea unei viziuni pe termen lung pentru economiile și forța de muncă locale din toate regiunile și sectoarele afectate, care să fie concepute și puse în practică prin participarea semnificativă a partenerilor sociali și a actorilor locali;</w:t>
      </w:r>
    </w:p>
    <w:p w14:paraId="2811BC56" w14:textId="77777777" w:rsidR="009F6BED" w:rsidRPr="007B4C2B" w:rsidRDefault="009F6BED" w:rsidP="009F6BED">
      <w:r w:rsidRPr="007B4C2B">
        <w:t>(e)</w:t>
      </w:r>
      <w:r w:rsidRPr="007B4C2B">
        <w:tab/>
        <w:t>dezvoltarea de programe de sprijin pentru întreprinderi, în special pentru IMM-uri și actorii locali, pentru a încuraja crearea de locuri de muncă la nivel local;</w:t>
      </w:r>
    </w:p>
    <w:p w14:paraId="4B72E4BE" w14:textId="77777777" w:rsidR="009F6BED" w:rsidRPr="007B4C2B" w:rsidRDefault="009F6BED" w:rsidP="009F6BED">
      <w:r w:rsidRPr="007B4C2B">
        <w:t>(f)</w:t>
      </w:r>
      <w:r w:rsidRPr="007B4C2B">
        <w:tab/>
        <w:t>asigurarea unei corelări între cererea și oferta de forță de muncă și de competențe prin utilizarea simultană a informațiilor privind piața forței de muncă, a unei colaborări mai strânse a actorilor locali și a partenerilor sociali cu organismele de formare și a promovării unor planuri de tranziție la nivel de întreprindere;</w:t>
      </w:r>
    </w:p>
    <w:p w14:paraId="11BE1B07" w14:textId="77777777" w:rsidR="009F6BED" w:rsidRPr="007B4C2B" w:rsidRDefault="009F6BED" w:rsidP="009F6BED">
      <w:r w:rsidRPr="007B4C2B">
        <w:t>(g)</w:t>
      </w:r>
      <w:r w:rsidRPr="007B4C2B">
        <w:tab/>
        <w:t>crearea unei structuri de monitorizare care să pună la dispoziție analize prospective strategice privind impactul tranziției și evoluțiile de pe piața forței de muncă.</w:t>
      </w:r>
    </w:p>
    <w:p w14:paraId="673FDEAB" w14:textId="77777777" w:rsidR="009F6BED" w:rsidRPr="007B4C2B" w:rsidRDefault="009F6BED" w:rsidP="007B4C2B">
      <w:pPr>
        <w:pStyle w:val="NormalHanging12a"/>
        <w:spacing w:before="240"/>
        <w:ind w:left="720" w:hanging="720"/>
        <w:rPr>
          <w:i/>
          <w:szCs w:val="24"/>
        </w:rPr>
      </w:pPr>
      <w:r w:rsidRPr="007B4C2B">
        <w:rPr>
          <w:b/>
          <w:i/>
        </w:rPr>
        <w:t>Recomandarea 4: Punerea în aplicare și asigurarea respectării</w:t>
      </w:r>
    </w:p>
    <w:p w14:paraId="184E25E2" w14:textId="5F35DC09" w:rsidR="009F6BED" w:rsidRPr="007B4C2B" w:rsidRDefault="009F6BED" w:rsidP="009F6BED">
      <w:pPr>
        <w:pStyle w:val="NormalHanging12a"/>
        <w:ind w:left="0" w:firstLine="0"/>
        <w:rPr>
          <w:bCs/>
          <w:iCs/>
          <w:szCs w:val="24"/>
        </w:rPr>
      </w:pPr>
      <w:r w:rsidRPr="007B4C2B">
        <w:lastRenderedPageBreak/>
        <w:t>1.</w:t>
      </w:r>
      <w:r w:rsidRPr="007B4C2B">
        <w:tab/>
        <w:t>Propunerea ar trebui să respecte prerogativa statalelor membre de a aplica sau de a introduce acte cu putere de lege sau acte administrative mai favorabile lucrătorilor sau de a încuraja sau a permite aplicarea unor contracte colective de muncă mai favorabile lucrătorilor și nu ar trebui să constituie un motiv valabil pentru reducerea nivelului general de protecție acordat deja lucrătorilor în statele membre.</w:t>
      </w:r>
    </w:p>
    <w:p w14:paraId="091007D3" w14:textId="527F827B" w:rsidR="009F6BED" w:rsidRPr="007B4C2B" w:rsidRDefault="009F6BED" w:rsidP="009F6BED">
      <w:pPr>
        <w:rPr>
          <w:bCs/>
          <w:iCs/>
        </w:rPr>
      </w:pPr>
      <w:r w:rsidRPr="007B4C2B">
        <w:t>2.</w:t>
      </w:r>
      <w:r w:rsidRPr="007B4C2B">
        <w:tab/>
        <w:t>Propunerea ar trebui să respecte autonomia partenerilor sociali, inclusiv dreptul de a negocia și de a încheia contracte colective de muncă, și să le permită acestora, în urma unei cereri comune, să fie însărcinați cu punerea sa în aplicare, cu condiția ca sistemul național să poată garanta în orice moment rezultatele urmărite în temeiul propunerii.</w:t>
      </w:r>
    </w:p>
    <w:p w14:paraId="4708F062" w14:textId="77777777" w:rsidR="009F6BED" w:rsidRPr="007B4C2B" w:rsidRDefault="009F6BED" w:rsidP="009F6BED"/>
    <w:sectPr w:rsidR="009F6BED" w:rsidRPr="007B4C2B" w:rsidSect="005F7DA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C8AE3" w14:textId="77777777" w:rsidR="00D72D0C" w:rsidRPr="00583326" w:rsidRDefault="00D72D0C">
      <w:r w:rsidRPr="00583326">
        <w:separator/>
      </w:r>
    </w:p>
  </w:endnote>
  <w:endnote w:type="continuationSeparator" w:id="0">
    <w:p w14:paraId="7ABBBC00" w14:textId="77777777" w:rsidR="00D72D0C" w:rsidRPr="00583326" w:rsidRDefault="00D72D0C">
      <w:r w:rsidRPr="005833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93FD0" w14:textId="77777777" w:rsidR="009F6BED" w:rsidRPr="00583326" w:rsidRDefault="009F6BED" w:rsidP="00B70DA1">
    <w:pPr>
      <w:pStyle w:val="EPFooter"/>
    </w:pPr>
    <w:r w:rsidRPr="00583326">
      <w:t>PE</w:t>
    </w:r>
    <w:r w:rsidRPr="00583326">
      <w:rPr>
        <w:rStyle w:val="HideTWBExt"/>
      </w:rPr>
      <w:t>&lt;NoPE&gt;</w:t>
    </w:r>
    <w:r w:rsidRPr="00583326">
      <w:t>775.632</w:t>
    </w:r>
    <w:r w:rsidRPr="00583326">
      <w:rPr>
        <w:rStyle w:val="HideTWBExt"/>
      </w:rPr>
      <w:t>&lt;/NoPE&gt;&lt;Version&gt;</w:t>
    </w:r>
    <w:r w:rsidRPr="00583326">
      <w:t>v03-00</w:t>
    </w:r>
    <w:r w:rsidRPr="00583326">
      <w:rPr>
        <w:rStyle w:val="HideTWBExt"/>
      </w:rPr>
      <w:t>&lt;/Version&gt;</w:t>
    </w:r>
    <w:r w:rsidRPr="00583326">
      <w:tab/>
    </w:r>
    <w:r w:rsidRPr="00583326">
      <w:fldChar w:fldCharType="begin"/>
    </w:r>
    <w:r w:rsidRPr="00583326">
      <w:instrText xml:space="preserve"> PAGE  \* MERGEFORMAT </w:instrText>
    </w:r>
    <w:r w:rsidRPr="00583326">
      <w:fldChar w:fldCharType="separate"/>
    </w:r>
    <w:r w:rsidRPr="00583326">
      <w:rPr>
        <w:noProof/>
      </w:rPr>
      <w:t>16</w:t>
    </w:r>
    <w:r w:rsidRPr="00583326">
      <w:fldChar w:fldCharType="end"/>
    </w:r>
    <w:r w:rsidRPr="00583326">
      <w:t>/</w:t>
    </w:r>
    <w:fldSimple w:instr=" NUMPAGES  \* MERGEFORMAT ">
      <w:r w:rsidRPr="00583326">
        <w:rPr>
          <w:noProof/>
        </w:rPr>
        <w:t>34</w:t>
      </w:r>
    </w:fldSimple>
    <w:r w:rsidRPr="00583326">
      <w:tab/>
    </w:r>
    <w:r w:rsidRPr="00583326">
      <w:rPr>
        <w:rStyle w:val="HideTWBExt"/>
      </w:rPr>
      <w:t>&lt;PathFdR&gt;</w:t>
    </w:r>
    <w:r w:rsidRPr="00583326">
      <w:t>RR\1334117RO.docx</w:t>
    </w:r>
    <w:r w:rsidRPr="00583326">
      <w:rPr>
        <w:rStyle w:val="HideTWBExt"/>
      </w:rPr>
      <w:t>&lt;/PathFdR&gt;</w:t>
    </w:r>
  </w:p>
  <w:p w14:paraId="4B51FA29" w14:textId="77777777" w:rsidR="009F6BED" w:rsidRPr="00583326" w:rsidRDefault="009F6BED" w:rsidP="00B70DA1">
    <w:pPr>
      <w:pStyle w:val="EPFooter2"/>
    </w:pPr>
    <w:r w:rsidRPr="00583326">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F6DD6" w14:textId="77777777" w:rsidR="009F6BED" w:rsidRPr="00583326" w:rsidRDefault="009F6BED" w:rsidP="00B70DA1">
    <w:pPr>
      <w:pStyle w:val="EPFooter"/>
    </w:pPr>
    <w:r w:rsidRPr="00583326">
      <w:rPr>
        <w:rStyle w:val="HideTWBExt"/>
      </w:rPr>
      <w:t>&lt;PathFdR&gt;</w:t>
    </w:r>
    <w:r w:rsidRPr="00583326">
      <w:t>RR\1334117RO.docx</w:t>
    </w:r>
    <w:r w:rsidRPr="00583326">
      <w:rPr>
        <w:rStyle w:val="HideTWBExt"/>
      </w:rPr>
      <w:t>&lt;/PathFdR&gt;</w:t>
    </w:r>
    <w:r w:rsidRPr="00583326">
      <w:tab/>
    </w:r>
    <w:r w:rsidRPr="00583326">
      <w:tab/>
      <w:t>PE</w:t>
    </w:r>
    <w:r w:rsidRPr="00583326">
      <w:rPr>
        <w:rStyle w:val="HideTWBExt"/>
      </w:rPr>
      <w:t>&lt;NoPE&gt;</w:t>
    </w:r>
    <w:r w:rsidRPr="00583326">
      <w:t>775.632</w:t>
    </w:r>
    <w:r w:rsidRPr="00583326">
      <w:rPr>
        <w:rStyle w:val="HideTWBExt"/>
      </w:rPr>
      <w:t>&lt;/NoPE&gt;&lt;Version&gt;</w:t>
    </w:r>
    <w:r w:rsidRPr="00583326">
      <w:t>v03-00</w:t>
    </w:r>
    <w:r w:rsidRPr="00583326">
      <w:rPr>
        <w:rStyle w:val="HideTWBExt"/>
      </w:rPr>
      <w:t>&lt;/Version&gt;</w:t>
    </w:r>
  </w:p>
  <w:p w14:paraId="42156AA8" w14:textId="77777777" w:rsidR="009F6BED" w:rsidRPr="00583326" w:rsidRDefault="009F6BED" w:rsidP="00B70DA1">
    <w:pPr>
      <w:pStyle w:val="EPFooter2"/>
    </w:pPr>
    <w:r w:rsidRPr="00583326">
      <w:t>RO</w:t>
    </w:r>
    <w:r w:rsidRPr="00583326">
      <w:tab/>
    </w:r>
    <w:r w:rsidRPr="00583326">
      <w:rPr>
        <w:b w:val="0"/>
        <w:i/>
        <w:color w:val="C0C0C0"/>
        <w:sz w:val="22"/>
      </w:rPr>
      <w:t>Unită în diversitate</w:t>
    </w:r>
    <w:r w:rsidRPr="00583326">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68043" w14:textId="77777777" w:rsidR="00064002" w:rsidRPr="0058332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3F34" w14:textId="77777777" w:rsidR="00064002" w:rsidRPr="0058332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67A7" w14:textId="77777777" w:rsidR="00064002" w:rsidRPr="005833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69AA7" w14:textId="77777777" w:rsidR="00D72D0C" w:rsidRPr="00583326" w:rsidRDefault="00D72D0C">
      <w:r w:rsidRPr="00583326">
        <w:separator/>
      </w:r>
    </w:p>
  </w:footnote>
  <w:footnote w:type="continuationSeparator" w:id="0">
    <w:p w14:paraId="663C682B" w14:textId="77777777" w:rsidR="00D72D0C" w:rsidRPr="00583326" w:rsidRDefault="00D72D0C">
      <w:r w:rsidRPr="00583326">
        <w:continuationSeparator/>
      </w:r>
    </w:p>
  </w:footnote>
  <w:footnote w:id="1">
    <w:p w14:paraId="4D3A18C7" w14:textId="01E00A39" w:rsidR="009F6BED" w:rsidRPr="00583326" w:rsidRDefault="009F6BED" w:rsidP="00583326">
      <w:pPr>
        <w:pStyle w:val="NormalHanging12a"/>
        <w:spacing w:after="0"/>
      </w:pPr>
      <w:r w:rsidRPr="00583326">
        <w:rPr>
          <w:rStyle w:val="FootnoteReference"/>
        </w:rPr>
        <w:footnoteRef/>
      </w:r>
      <w:r w:rsidR="00583326" w:rsidRPr="00583326">
        <w:t xml:space="preserve"> </w:t>
      </w:r>
      <w:r w:rsidR="00583326" w:rsidRPr="00583326">
        <w:tab/>
      </w:r>
      <w:r w:rsidRPr="00583326">
        <w:t>JO L 57, 18.2.2021, p. 17.</w:t>
      </w:r>
    </w:p>
  </w:footnote>
  <w:footnote w:id="2">
    <w:p w14:paraId="48D56C13" w14:textId="7140461D"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Pr="00583326">
        <w:rPr>
          <w:sz w:val="24"/>
          <w:lang w:val="ro-RO"/>
        </w:rPr>
        <w:t>JO L 231, 30.6.2021, p. 1.</w:t>
      </w:r>
    </w:p>
  </w:footnote>
  <w:footnote w:id="3">
    <w:p w14:paraId="3E9FF051" w14:textId="1B74445D"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Pr="00583326">
        <w:rPr>
          <w:sz w:val="24"/>
          <w:lang w:val="ro-RO"/>
        </w:rPr>
        <w:t>JO L 231, 30.6.2021, p. 21.</w:t>
      </w:r>
    </w:p>
  </w:footnote>
  <w:footnote w:id="4">
    <w:p w14:paraId="18D31DFB" w14:textId="0C92678D"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Pr="00583326">
        <w:rPr>
          <w:sz w:val="24"/>
          <w:lang w:val="ro-RO"/>
        </w:rPr>
        <w:t>JO L 153, 3.5.2021, p. 48.</w:t>
      </w:r>
    </w:p>
  </w:footnote>
  <w:footnote w:id="5">
    <w:p w14:paraId="7631F5C1" w14:textId="0778C418"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Pr="00583326">
        <w:rPr>
          <w:sz w:val="24"/>
          <w:lang w:val="ro-RO"/>
        </w:rPr>
        <w:t>JO L 130, 16</w:t>
      </w:r>
      <w:r w:rsidR="00221C05">
        <w:rPr>
          <w:sz w:val="24"/>
          <w:lang w:val="ro-RO"/>
        </w:rPr>
        <w:t>.</w:t>
      </w:r>
      <w:r w:rsidRPr="00583326">
        <w:rPr>
          <w:sz w:val="24"/>
          <w:lang w:val="ro-RO"/>
        </w:rPr>
        <w:t>5</w:t>
      </w:r>
      <w:r w:rsidR="00221C05">
        <w:rPr>
          <w:sz w:val="24"/>
          <w:lang w:val="ro-RO"/>
        </w:rPr>
        <w:t>.</w:t>
      </w:r>
      <w:r w:rsidRPr="00583326">
        <w:rPr>
          <w:sz w:val="24"/>
          <w:lang w:val="ro-RO"/>
        </w:rPr>
        <w:t>2023, p. 1.</w:t>
      </w:r>
    </w:p>
  </w:footnote>
  <w:footnote w:id="6">
    <w:p w14:paraId="75ADE991" w14:textId="40277679"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Pr="00583326">
        <w:rPr>
          <w:sz w:val="24"/>
          <w:lang w:val="ro-RO"/>
        </w:rPr>
        <w:t>JO L 275, 25.10.2003, p. 32</w:t>
      </w:r>
      <w:r w:rsidRPr="00583326">
        <w:rPr>
          <w:rStyle w:val="Emphasis"/>
          <w:color w:val="333333"/>
          <w:sz w:val="24"/>
          <w:shd w:val="clear" w:color="auto" w:fill="FFFFFF"/>
          <w:lang w:val="ro-RO"/>
        </w:rPr>
        <w:t>.</w:t>
      </w:r>
    </w:p>
  </w:footnote>
  <w:footnote w:id="7">
    <w:p w14:paraId="2BE654A4" w14:textId="1C299D5E"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Pr="00583326">
        <w:rPr>
          <w:sz w:val="24"/>
          <w:lang w:val="ro-RO"/>
        </w:rPr>
        <w:t>ILC.111/Rezoluția V, 16 iunie 2023.</w:t>
      </w:r>
    </w:p>
  </w:footnote>
  <w:footnote w:id="8">
    <w:p w14:paraId="3E49DFE2" w14:textId="074D0BE0"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fldChar w:fldCharType="begin"/>
      </w:r>
      <w:r w:rsidRPr="005C423D">
        <w:rPr>
          <w:lang w:val="ro-RO"/>
        </w:rPr>
        <w:instrText>HYPERLINK "https://www.europarl.europa.eu/RegData/etudes/BRIE/2025/774668/EPRS_BRI(2025)774668_EN.pdf"</w:instrText>
      </w:r>
      <w:r>
        <w:fldChar w:fldCharType="separate"/>
      </w:r>
      <w:r w:rsidRPr="00A94C91">
        <w:rPr>
          <w:rStyle w:val="Hyperlink"/>
          <w:sz w:val="24"/>
          <w:lang w:val="ro-RO"/>
        </w:rPr>
        <w:t>https://www.europarl.europa.eu/RegData/etudes/BRIE/2025/774668/</w:t>
      </w:r>
      <w:r w:rsidR="00A94C91">
        <w:rPr>
          <w:rStyle w:val="Hyperlink"/>
          <w:sz w:val="24"/>
          <w:lang w:val="ro-RO"/>
        </w:rPr>
        <w:br/>
      </w:r>
      <w:r w:rsidRPr="00A94C91">
        <w:rPr>
          <w:rStyle w:val="Hyperlink"/>
          <w:sz w:val="24"/>
          <w:lang w:val="ro-RO"/>
        </w:rPr>
        <w:t>EPRS_BRI(2025)774668_EN.pdf</w:t>
      </w:r>
      <w:r>
        <w:fldChar w:fldCharType="end"/>
      </w:r>
    </w:p>
  </w:footnote>
  <w:footnote w:id="9">
    <w:p w14:paraId="331EC5CE" w14:textId="4106CF08"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proofErr w:type="spellStart"/>
      <w:r w:rsidRPr="00583326">
        <w:rPr>
          <w:sz w:val="24"/>
          <w:lang w:val="ro-RO"/>
        </w:rPr>
        <w:t>Eurofound</w:t>
      </w:r>
      <w:proofErr w:type="spellEnd"/>
      <w:r w:rsidRPr="00583326">
        <w:rPr>
          <w:sz w:val="24"/>
          <w:lang w:val="ro-RO"/>
        </w:rPr>
        <w:t xml:space="preserve"> (2024), „</w:t>
      </w:r>
      <w:proofErr w:type="spellStart"/>
      <w:r w:rsidRPr="00583326">
        <w:rPr>
          <w:sz w:val="24"/>
          <w:lang w:val="ro-RO"/>
        </w:rPr>
        <w:t>Creating</w:t>
      </w:r>
      <w:proofErr w:type="spellEnd"/>
      <w:r w:rsidRPr="00583326">
        <w:rPr>
          <w:sz w:val="24"/>
          <w:lang w:val="ro-RO"/>
        </w:rPr>
        <w:t xml:space="preserve"> a </w:t>
      </w:r>
      <w:proofErr w:type="spellStart"/>
      <w:r w:rsidRPr="00583326">
        <w:rPr>
          <w:sz w:val="24"/>
          <w:lang w:val="ro-RO"/>
        </w:rPr>
        <w:t>new</w:t>
      </w:r>
      <w:proofErr w:type="spellEnd"/>
      <w:r w:rsidRPr="00583326">
        <w:rPr>
          <w:sz w:val="24"/>
          <w:lang w:val="ro-RO"/>
        </w:rPr>
        <w:t xml:space="preserve"> social contract for </w:t>
      </w:r>
      <w:proofErr w:type="spellStart"/>
      <w:r w:rsidRPr="00583326">
        <w:rPr>
          <w:sz w:val="24"/>
          <w:lang w:val="ro-RO"/>
        </w:rPr>
        <w:t>the</w:t>
      </w:r>
      <w:proofErr w:type="spellEnd"/>
      <w:r w:rsidRPr="00583326">
        <w:rPr>
          <w:sz w:val="24"/>
          <w:lang w:val="ro-RO"/>
        </w:rPr>
        <w:t xml:space="preserve"> just </w:t>
      </w:r>
      <w:proofErr w:type="spellStart"/>
      <w:r w:rsidRPr="00583326">
        <w:rPr>
          <w:sz w:val="24"/>
          <w:lang w:val="ro-RO"/>
        </w:rPr>
        <w:t>transition</w:t>
      </w:r>
      <w:proofErr w:type="spellEnd"/>
      <w:r w:rsidRPr="00583326">
        <w:rPr>
          <w:sz w:val="24"/>
          <w:lang w:val="ro-RO"/>
        </w:rPr>
        <w:t xml:space="preserve">: </w:t>
      </w:r>
      <w:proofErr w:type="spellStart"/>
      <w:r w:rsidRPr="00583326">
        <w:rPr>
          <w:sz w:val="24"/>
          <w:lang w:val="ro-RO"/>
        </w:rPr>
        <w:t>Is</w:t>
      </w:r>
      <w:proofErr w:type="spellEnd"/>
      <w:r w:rsidRPr="00583326">
        <w:rPr>
          <w:sz w:val="24"/>
          <w:lang w:val="ro-RO"/>
        </w:rPr>
        <w:t xml:space="preserve"> </w:t>
      </w:r>
      <w:proofErr w:type="spellStart"/>
      <w:r w:rsidRPr="00583326">
        <w:rPr>
          <w:sz w:val="24"/>
          <w:lang w:val="ro-RO"/>
        </w:rPr>
        <w:t>partnership</w:t>
      </w:r>
      <w:proofErr w:type="spellEnd"/>
      <w:r w:rsidRPr="00583326">
        <w:rPr>
          <w:sz w:val="24"/>
          <w:lang w:val="ro-RO"/>
        </w:rPr>
        <w:t xml:space="preserve"> </w:t>
      </w:r>
      <w:proofErr w:type="spellStart"/>
      <w:r w:rsidRPr="00583326">
        <w:rPr>
          <w:sz w:val="24"/>
          <w:lang w:val="ro-RO"/>
        </w:rPr>
        <w:t>working</w:t>
      </w:r>
      <w:proofErr w:type="spellEnd"/>
      <w:r w:rsidRPr="00583326">
        <w:rPr>
          <w:sz w:val="24"/>
          <w:lang w:val="ro-RO"/>
        </w:rPr>
        <w:t>?” (Crearea unui nou contract social pentru tranziția justă: Dă oare parteneriatul roade?), Oficiul pentru Publicații al Uniunii Europene, Luxemburg.</w:t>
      </w:r>
    </w:p>
  </w:footnote>
  <w:footnote w:id="10">
    <w:p w14:paraId="3E974E79" w14:textId="4DC09506"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fldChar w:fldCharType="begin"/>
      </w:r>
      <w:r w:rsidRPr="005C423D">
        <w:rPr>
          <w:lang w:val="ro-RO"/>
        </w:rPr>
        <w:instrText>HYPERLINK "https://eur-lex.europa.eu/legal-content/RO/TXT/PDF/?uri=CELEX%3A52025DC0090"</w:instrText>
      </w:r>
      <w:r>
        <w:fldChar w:fldCharType="separate"/>
      </w:r>
      <w:r w:rsidRPr="00A94C91">
        <w:rPr>
          <w:rStyle w:val="Hyperlink"/>
          <w:sz w:val="24"/>
          <w:lang w:val="ro-RO"/>
        </w:rPr>
        <w:t>https://eur-lex.europa.eu/legal-content/RO/TXT/PDF/?uri=CELEX%3A52025DC0090</w:t>
      </w:r>
      <w:r>
        <w:fldChar w:fldCharType="end"/>
      </w:r>
    </w:p>
  </w:footnote>
  <w:footnote w:id="11">
    <w:p w14:paraId="4DAA3B3E" w14:textId="6FBB2212"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Pr="00583326">
        <w:rPr>
          <w:sz w:val="24"/>
          <w:lang w:val="ro-RO"/>
        </w:rPr>
        <w:t xml:space="preserve">Raportul </w:t>
      </w:r>
      <w:proofErr w:type="spellStart"/>
      <w:r w:rsidRPr="00583326">
        <w:rPr>
          <w:sz w:val="24"/>
          <w:lang w:val="ro-RO"/>
        </w:rPr>
        <w:t>Draghi</w:t>
      </w:r>
      <w:proofErr w:type="spellEnd"/>
      <w:r w:rsidRPr="00583326">
        <w:rPr>
          <w:sz w:val="24"/>
          <w:lang w:val="ro-RO"/>
        </w:rPr>
        <w:t>, p. 37.</w:t>
      </w:r>
    </w:p>
  </w:footnote>
  <w:footnote w:id="12">
    <w:p w14:paraId="16AF97B6" w14:textId="038A600C"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fldChar w:fldCharType="begin"/>
      </w:r>
      <w:r w:rsidRPr="005C423D">
        <w:rPr>
          <w:lang w:val="it-IT"/>
        </w:rPr>
        <w:instrText>HYPERLINK "https://www.cedefop.europa.eu/ro/publications/4223%23group-downloads"</w:instrText>
      </w:r>
      <w:r>
        <w:fldChar w:fldCharType="separate"/>
      </w:r>
      <w:r w:rsidRPr="00A94C91">
        <w:rPr>
          <w:rStyle w:val="Hyperlink"/>
          <w:sz w:val="24"/>
          <w:lang w:val="ro-RO"/>
        </w:rPr>
        <w:t>https://www.cedefop.europa.eu/ro/publications/4223#group-downloads</w:t>
      </w:r>
      <w:r>
        <w:fldChar w:fldCharType="end"/>
      </w:r>
    </w:p>
  </w:footnote>
  <w:footnote w:id="13">
    <w:p w14:paraId="695BE0F4" w14:textId="753559B0"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fldChar w:fldCharType="begin"/>
      </w:r>
      <w:r w:rsidRPr="005C423D">
        <w:rPr>
          <w:lang w:val="ro-RO"/>
        </w:rPr>
        <w:instrText>HYPERLINK "https://op.europa.eu/en/publication-detail/-/publication/4826f429-0545-11f0-b1a3-01aa75ed71a1/language-en"</w:instrText>
      </w:r>
      <w:r>
        <w:fldChar w:fldCharType="separate"/>
      </w:r>
      <w:r w:rsidRPr="00A94C91">
        <w:rPr>
          <w:rStyle w:val="Hyperlink"/>
          <w:sz w:val="24"/>
          <w:lang w:val="ro-RO"/>
        </w:rPr>
        <w:t>https://op.europa.eu/en/publication-detail/-/publication/4826f429-0545-11f0-b1a3-01aa75ed71a1/language-en</w:t>
      </w:r>
      <w:r>
        <w:fldChar w:fldCharType="end"/>
      </w:r>
    </w:p>
  </w:footnote>
  <w:footnote w:id="14">
    <w:p w14:paraId="04D1E78E" w14:textId="321250DA"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fldChar w:fldCharType="begin"/>
      </w:r>
      <w:r w:rsidRPr="005C423D">
        <w:rPr>
          <w:lang w:val="ro-RO"/>
        </w:rPr>
        <w:instrText>HYPERLINK "https://www.cedefop.europa.eu/ro/news/green-transition-creates-more-jobs-it-destroys"</w:instrText>
      </w:r>
      <w:r>
        <w:fldChar w:fldCharType="separate"/>
      </w:r>
      <w:r w:rsidRPr="00A94C91">
        <w:rPr>
          <w:rStyle w:val="Hyperlink"/>
          <w:sz w:val="24"/>
          <w:lang w:val="ro-RO"/>
        </w:rPr>
        <w:t>https://www.cedefop.europa.eu/ro/news/green-transition-creates-more-jobs-it-destroys</w:t>
      </w:r>
      <w:r>
        <w:fldChar w:fldCharType="end"/>
      </w:r>
    </w:p>
  </w:footnote>
  <w:footnote w:id="15">
    <w:p w14:paraId="03ACF02E" w14:textId="0221696A"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fldChar w:fldCharType="begin"/>
      </w:r>
      <w:r w:rsidRPr="005C423D">
        <w:rPr>
          <w:lang w:val="ro-RO"/>
        </w:rPr>
        <w:instrText>HYPERLINK "https://employment-social-affairs.ec.europa.eu/employment-and-social-developments-europe-2024-upward-social-convergence-eu-and-role-social_en"</w:instrText>
      </w:r>
      <w:r>
        <w:fldChar w:fldCharType="separate"/>
      </w:r>
      <w:r w:rsidRPr="00A94C91">
        <w:rPr>
          <w:rStyle w:val="Hyperlink"/>
          <w:sz w:val="24"/>
          <w:lang w:val="ro-RO"/>
        </w:rPr>
        <w:t>https://employment-social-affairs.ec.europa.eu/employment-and-social-developments-europe-2024-upward-social-convergence-eu-and-role-social_en</w:t>
      </w:r>
      <w:r>
        <w:fldChar w:fldCharType="end"/>
      </w:r>
    </w:p>
  </w:footnote>
  <w:footnote w:id="16">
    <w:p w14:paraId="1C86D407" w14:textId="70F427E9"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Pr="00583326">
        <w:rPr>
          <w:sz w:val="24"/>
          <w:lang w:val="ro-RO"/>
        </w:rPr>
        <w:t xml:space="preserve">Raportul </w:t>
      </w:r>
      <w:proofErr w:type="spellStart"/>
      <w:r w:rsidRPr="00583326">
        <w:rPr>
          <w:sz w:val="24"/>
          <w:lang w:val="ro-RO"/>
        </w:rPr>
        <w:t>Draghi</w:t>
      </w:r>
      <w:proofErr w:type="spellEnd"/>
      <w:r w:rsidRPr="00583326">
        <w:rPr>
          <w:sz w:val="24"/>
          <w:lang w:val="ro-RO"/>
        </w:rPr>
        <w:t>, p. 19.</w:t>
      </w:r>
    </w:p>
  </w:footnote>
  <w:footnote w:id="17">
    <w:p w14:paraId="7B80D6AC" w14:textId="0DFAEB7A"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00A94C91">
        <w:fldChar w:fldCharType="begin"/>
      </w:r>
      <w:r w:rsidR="00A94C91" w:rsidRPr="005C423D">
        <w:rPr>
          <w:lang w:val="it-IT"/>
        </w:rPr>
        <w:instrText>HYPERLINK "https://cohesiondata.ec.europa.eu/stories/s/py4s-5ad4"</w:instrText>
      </w:r>
      <w:r w:rsidR="00A94C91">
        <w:fldChar w:fldCharType="separate"/>
      </w:r>
      <w:r w:rsidR="00A94C91" w:rsidRPr="00BB49B2">
        <w:rPr>
          <w:rStyle w:val="Hyperlink"/>
          <w:sz w:val="24"/>
          <w:lang w:val="ro-RO"/>
        </w:rPr>
        <w:t>https://cohesiondata.ec.europa.eu/stories/s/py4s-5ad4</w:t>
      </w:r>
      <w:r w:rsidR="00A94C91">
        <w:fldChar w:fldCharType="end"/>
      </w:r>
    </w:p>
  </w:footnote>
  <w:footnote w:id="18">
    <w:p w14:paraId="18B8854A" w14:textId="6E2860A3"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00A94C91">
        <w:fldChar w:fldCharType="begin"/>
      </w:r>
      <w:r w:rsidR="00A94C91" w:rsidRPr="005C423D">
        <w:rPr>
          <w:lang w:val="ro-RO"/>
        </w:rPr>
        <w:instrText>HYPERLINK "https://op.europa.eu/en/publication-detail/-/publication/24c7aa49-2451-11ee-94cb-01aa75ed71a1/language-en"</w:instrText>
      </w:r>
      <w:r w:rsidR="00A94C91">
        <w:fldChar w:fldCharType="separate"/>
      </w:r>
      <w:r w:rsidR="00A94C91" w:rsidRPr="00BB49B2">
        <w:rPr>
          <w:rStyle w:val="Hyperlink"/>
          <w:sz w:val="24"/>
          <w:lang w:val="ro-RO"/>
        </w:rPr>
        <w:t>https://op.europa.eu/en/publication-detail/-/publication/24c7aa49-2451-11ee-94cb-01aa75ed71a1/language-en</w:t>
      </w:r>
      <w:r w:rsidR="00A94C91">
        <w:fldChar w:fldCharType="end"/>
      </w:r>
    </w:p>
  </w:footnote>
  <w:footnote w:id="19">
    <w:p w14:paraId="79DE24A5" w14:textId="1E104BB2"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00A94C91">
        <w:fldChar w:fldCharType="begin"/>
      </w:r>
      <w:r w:rsidR="00A94C91" w:rsidRPr="005C423D">
        <w:rPr>
          <w:lang w:val="ro-RO"/>
        </w:rPr>
        <w:instrText>HYPERLINK "https://www.europarl.europa.eu/RegData/etudes/STUD/2025/759354/CASP_STU(2025)759354_EN.pdf"</w:instrText>
      </w:r>
      <w:r w:rsidR="00A94C91">
        <w:fldChar w:fldCharType="separate"/>
      </w:r>
      <w:r w:rsidR="00A94C91" w:rsidRPr="00BB49B2">
        <w:rPr>
          <w:rStyle w:val="Hyperlink"/>
          <w:sz w:val="24"/>
          <w:lang w:val="ro-RO"/>
        </w:rPr>
        <w:t>https://www.europarl.europa.eu/RegData/etudes/STUD/2025/759354/</w:t>
      </w:r>
      <w:r w:rsidR="00A94C91" w:rsidRPr="00BB49B2">
        <w:rPr>
          <w:rStyle w:val="Hyperlink"/>
          <w:sz w:val="24"/>
          <w:lang w:val="ro-RO"/>
        </w:rPr>
        <w:br/>
        <w:t>CASP_STU(2025)759354_EN.pdf</w:t>
      </w:r>
      <w:r w:rsidR="00A94C91">
        <w:fldChar w:fldCharType="end"/>
      </w:r>
    </w:p>
  </w:footnote>
  <w:footnote w:id="20">
    <w:p w14:paraId="5A30DA0E" w14:textId="35A7B069"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Pr="00583326">
        <w:rPr>
          <w:sz w:val="24"/>
          <w:lang w:val="ro-RO"/>
        </w:rPr>
        <w:t xml:space="preserve">„Just </w:t>
      </w:r>
      <w:proofErr w:type="spellStart"/>
      <w:r w:rsidRPr="00583326">
        <w:rPr>
          <w:sz w:val="24"/>
          <w:lang w:val="ro-RO"/>
        </w:rPr>
        <w:t>Transition</w:t>
      </w:r>
      <w:proofErr w:type="spellEnd"/>
      <w:r w:rsidRPr="00583326">
        <w:rPr>
          <w:sz w:val="24"/>
          <w:lang w:val="ro-RO"/>
        </w:rPr>
        <w:t xml:space="preserve"> </w:t>
      </w:r>
      <w:proofErr w:type="spellStart"/>
      <w:r w:rsidRPr="00583326">
        <w:rPr>
          <w:sz w:val="24"/>
          <w:lang w:val="ro-RO"/>
        </w:rPr>
        <w:t>Mechanism</w:t>
      </w:r>
      <w:proofErr w:type="spellEnd"/>
      <w:r w:rsidRPr="00583326">
        <w:rPr>
          <w:sz w:val="24"/>
          <w:lang w:val="ro-RO"/>
        </w:rPr>
        <w:t xml:space="preserve"> - Performance 2025” (Mecanismul pentru o tranziție justă - performanța în 2025), Comisia Europeană.</w:t>
      </w:r>
    </w:p>
  </w:footnote>
  <w:footnote w:id="21">
    <w:p w14:paraId="32B43D48" w14:textId="276C35CD"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proofErr w:type="spellStart"/>
      <w:r w:rsidRPr="00583326">
        <w:rPr>
          <w:sz w:val="24"/>
          <w:lang w:val="ro-RO"/>
        </w:rPr>
        <w:t>Employment</w:t>
      </w:r>
      <w:proofErr w:type="spellEnd"/>
      <w:r w:rsidRPr="00583326">
        <w:rPr>
          <w:sz w:val="24"/>
          <w:lang w:val="ro-RO"/>
        </w:rPr>
        <w:t xml:space="preserve"> </w:t>
      </w:r>
      <w:proofErr w:type="spellStart"/>
      <w:r w:rsidRPr="00583326">
        <w:rPr>
          <w:sz w:val="24"/>
          <w:lang w:val="ro-RO"/>
        </w:rPr>
        <w:t>and</w:t>
      </w:r>
      <w:proofErr w:type="spellEnd"/>
      <w:r w:rsidRPr="00583326">
        <w:rPr>
          <w:sz w:val="24"/>
          <w:lang w:val="ro-RO"/>
        </w:rPr>
        <w:t xml:space="preserve"> Social </w:t>
      </w:r>
      <w:proofErr w:type="spellStart"/>
      <w:r w:rsidRPr="00583326">
        <w:rPr>
          <w:sz w:val="24"/>
          <w:lang w:val="ro-RO"/>
        </w:rPr>
        <w:t>Developments</w:t>
      </w:r>
      <w:proofErr w:type="spellEnd"/>
      <w:r w:rsidRPr="00583326">
        <w:rPr>
          <w:sz w:val="24"/>
          <w:lang w:val="ro-RO"/>
        </w:rPr>
        <w:t xml:space="preserve"> in Europe 2024 (Evoluția ocupării forței de muncă și a situației sociale în Europa), Comisia Europeană, p. 20.</w:t>
      </w:r>
    </w:p>
  </w:footnote>
  <w:footnote w:id="22">
    <w:p w14:paraId="479FCE58" w14:textId="7234B684" w:rsidR="009F6BED" w:rsidRPr="00583326" w:rsidRDefault="009F6BED" w:rsidP="00583326">
      <w:pPr>
        <w:pStyle w:val="FootnoteText"/>
        <w:ind w:left="567" w:hanging="567"/>
        <w:rPr>
          <w:sz w:val="24"/>
          <w:lang w:val="ro-RO"/>
        </w:rPr>
      </w:pPr>
      <w:r w:rsidRPr="00583326">
        <w:rPr>
          <w:rStyle w:val="FootnoteReference"/>
          <w:sz w:val="24"/>
          <w:lang w:val="ro-RO"/>
        </w:rPr>
        <w:footnoteRef/>
      </w:r>
      <w:r w:rsidR="00583326" w:rsidRPr="00583326">
        <w:rPr>
          <w:sz w:val="24"/>
          <w:lang w:val="ro-RO"/>
        </w:rPr>
        <w:t xml:space="preserve"> </w:t>
      </w:r>
      <w:r w:rsidR="00583326" w:rsidRPr="00583326">
        <w:rPr>
          <w:sz w:val="24"/>
          <w:lang w:val="ro-RO"/>
        </w:rPr>
        <w:tab/>
      </w:r>
      <w:r w:rsidRPr="00583326">
        <w:rPr>
          <w:sz w:val="24"/>
          <w:lang w:val="ro-RO"/>
        </w:rPr>
        <w:t xml:space="preserve">Just </w:t>
      </w:r>
      <w:proofErr w:type="spellStart"/>
      <w:r w:rsidRPr="00583326">
        <w:rPr>
          <w:sz w:val="24"/>
          <w:lang w:val="ro-RO"/>
        </w:rPr>
        <w:t>Transition</w:t>
      </w:r>
      <w:proofErr w:type="spellEnd"/>
      <w:r w:rsidRPr="00583326">
        <w:rPr>
          <w:sz w:val="24"/>
          <w:lang w:val="ro-RO"/>
        </w:rPr>
        <w:t xml:space="preserve"> in </w:t>
      </w:r>
      <w:proofErr w:type="spellStart"/>
      <w:r w:rsidRPr="00583326">
        <w:rPr>
          <w:sz w:val="24"/>
          <w:lang w:val="ro-RO"/>
        </w:rPr>
        <w:t>the</w:t>
      </w:r>
      <w:proofErr w:type="spellEnd"/>
      <w:r w:rsidRPr="00583326">
        <w:rPr>
          <w:sz w:val="24"/>
          <w:lang w:val="ro-RO"/>
        </w:rPr>
        <w:t xml:space="preserve"> World of </w:t>
      </w:r>
      <w:proofErr w:type="spellStart"/>
      <w:r w:rsidRPr="00583326">
        <w:rPr>
          <w:sz w:val="24"/>
          <w:lang w:val="ro-RO"/>
        </w:rPr>
        <w:t>Work</w:t>
      </w:r>
      <w:proofErr w:type="spellEnd"/>
      <w:r w:rsidRPr="00583326">
        <w:rPr>
          <w:sz w:val="24"/>
          <w:lang w:val="ro-RO"/>
        </w:rPr>
        <w:t xml:space="preserve"> (O tranziție justă în lumea muncii), EPRS, septembrie 2025 </w:t>
      </w:r>
      <w:r w:rsidR="00362EA6">
        <w:fldChar w:fldCharType="begin"/>
      </w:r>
      <w:r w:rsidR="00362EA6" w:rsidRPr="005C423D">
        <w:rPr>
          <w:lang w:val="en-GB"/>
        </w:rPr>
        <w:instrText>HYPERLINK "https://www.europarl.europa.eu/RegData/etudes/BRIE/2025/774668/EPRS_BRI(2025)774668_EN.pdf"</w:instrText>
      </w:r>
      <w:r w:rsidR="00362EA6">
        <w:fldChar w:fldCharType="separate"/>
      </w:r>
      <w:r w:rsidR="00362EA6" w:rsidRPr="00552030">
        <w:rPr>
          <w:rStyle w:val="Hyperlink"/>
          <w:sz w:val="24"/>
          <w:lang w:val="en-GB"/>
        </w:rPr>
        <w:t>https://www.europarl.europa.eu/RegData/etudes/BRIE/2025/774668/EPRS_BRI(2025)774668_EN.pdf</w:t>
      </w:r>
      <w:r w:rsidR="00362EA6">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345F" w14:textId="77777777" w:rsidR="00064002" w:rsidRPr="005833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3FD06" w14:textId="77777777" w:rsidR="00064002" w:rsidRPr="005833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DAFDA" w14:textId="77777777" w:rsidR="00064002" w:rsidRPr="005833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9943338">
    <w:abstractNumId w:val="9"/>
  </w:num>
  <w:num w:numId="2" w16cid:durableId="2062627472">
    <w:abstractNumId w:val="9"/>
  </w:num>
  <w:num w:numId="3" w16cid:durableId="742801250">
    <w:abstractNumId w:val="7"/>
  </w:num>
  <w:num w:numId="4" w16cid:durableId="2145780151">
    <w:abstractNumId w:val="7"/>
  </w:num>
  <w:num w:numId="5" w16cid:durableId="1853690723">
    <w:abstractNumId w:val="6"/>
  </w:num>
  <w:num w:numId="6" w16cid:durableId="883911366">
    <w:abstractNumId w:val="6"/>
  </w:num>
  <w:num w:numId="7" w16cid:durableId="1431387546">
    <w:abstractNumId w:val="5"/>
  </w:num>
  <w:num w:numId="8" w16cid:durableId="1203324376">
    <w:abstractNumId w:val="5"/>
  </w:num>
  <w:num w:numId="9" w16cid:durableId="996616793">
    <w:abstractNumId w:val="4"/>
  </w:num>
  <w:num w:numId="10" w16cid:durableId="1747263743">
    <w:abstractNumId w:val="4"/>
  </w:num>
  <w:num w:numId="11" w16cid:durableId="632371999">
    <w:abstractNumId w:val="8"/>
  </w:num>
  <w:num w:numId="12" w16cid:durableId="924844841">
    <w:abstractNumId w:val="8"/>
  </w:num>
  <w:num w:numId="13" w16cid:durableId="53941648">
    <w:abstractNumId w:val="3"/>
  </w:num>
  <w:num w:numId="14" w16cid:durableId="1461147781">
    <w:abstractNumId w:val="3"/>
  </w:num>
  <w:num w:numId="15" w16cid:durableId="1713453597">
    <w:abstractNumId w:val="2"/>
  </w:num>
  <w:num w:numId="16" w16cid:durableId="1721441591">
    <w:abstractNumId w:val="2"/>
  </w:num>
  <w:num w:numId="17" w16cid:durableId="259026708">
    <w:abstractNumId w:val="1"/>
  </w:num>
  <w:num w:numId="18" w16cid:durableId="1462723358">
    <w:abstractNumId w:val="1"/>
  </w:num>
  <w:num w:numId="19" w16cid:durableId="620378987">
    <w:abstractNumId w:val="0"/>
  </w:num>
  <w:num w:numId="20" w16cid:durableId="125317134">
    <w:abstractNumId w:val="0"/>
  </w:num>
  <w:num w:numId="21" w16cid:durableId="272329229">
    <w:abstractNumId w:val="9"/>
  </w:num>
  <w:num w:numId="22" w16cid:durableId="1505583284">
    <w:abstractNumId w:val="7"/>
  </w:num>
  <w:num w:numId="23" w16cid:durableId="24252372">
    <w:abstractNumId w:val="6"/>
  </w:num>
  <w:num w:numId="24" w16cid:durableId="824858861">
    <w:abstractNumId w:val="5"/>
  </w:num>
  <w:num w:numId="25" w16cid:durableId="906451824">
    <w:abstractNumId w:val="4"/>
  </w:num>
  <w:num w:numId="26" w16cid:durableId="2038580441">
    <w:abstractNumId w:val="8"/>
  </w:num>
  <w:num w:numId="27" w16cid:durableId="1176727464">
    <w:abstractNumId w:val="3"/>
  </w:num>
  <w:num w:numId="28" w16cid:durableId="1504591556">
    <w:abstractNumId w:val="2"/>
  </w:num>
  <w:num w:numId="29" w16cid:durableId="617418339">
    <w:abstractNumId w:val="1"/>
  </w:num>
  <w:num w:numId="30" w16cid:durableId="868638212">
    <w:abstractNumId w:val="0"/>
  </w:num>
  <w:num w:numId="31" w16cid:durableId="819073823">
    <w:abstractNumId w:val="9"/>
  </w:num>
  <w:num w:numId="32" w16cid:durableId="901256284">
    <w:abstractNumId w:val="7"/>
  </w:num>
  <w:num w:numId="33" w16cid:durableId="1887328926">
    <w:abstractNumId w:val="6"/>
  </w:num>
  <w:num w:numId="34" w16cid:durableId="1678382693">
    <w:abstractNumId w:val="5"/>
  </w:num>
  <w:num w:numId="35" w16cid:durableId="1689329120">
    <w:abstractNumId w:val="4"/>
  </w:num>
  <w:num w:numId="36" w16cid:durableId="2005744325">
    <w:abstractNumId w:val="8"/>
  </w:num>
  <w:num w:numId="37" w16cid:durableId="202209000">
    <w:abstractNumId w:val="3"/>
  </w:num>
  <w:num w:numId="38" w16cid:durableId="1232546247">
    <w:abstractNumId w:val="2"/>
  </w:num>
  <w:num w:numId="39" w16cid:durableId="2115856808">
    <w:abstractNumId w:val="1"/>
  </w:num>
  <w:num w:numId="40" w16cid:durableId="1378428833">
    <w:abstractNumId w:val="0"/>
  </w:num>
  <w:num w:numId="41" w16cid:durableId="780413067">
    <w:abstractNumId w:val="10"/>
  </w:num>
  <w:num w:numId="42" w16cid:durableId="1757091500">
    <w:abstractNumId w:val="10"/>
  </w:num>
  <w:num w:numId="43" w16cid:durableId="2137528965">
    <w:abstractNumId w:val="10"/>
  </w:num>
  <w:num w:numId="44" w16cid:durableId="285474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RO"/>
    <w:docVar w:name="dvnumam" w:val="0"/>
    <w:docVar w:name="dvpe" w:val="775.632"/>
    <w:docVar w:name="dvrapporteur" w:val="Raportoare: "/>
    <w:docVar w:name="dvtitre" w:val="Rezoluția legislativă a Parlamentului European din ... ianuarie 2026 conținând recomandări adresate Comisiei referitoare la Directiva privind tranziția justă în lumea muncii: asigurarea creării de locuri de muncă și revitalizarea economiilor locale(2025/2131(INL))"/>
  </w:docVars>
  <w:rsids>
    <w:rsidRoot w:val="00D72D0C"/>
    <w:rsid w:val="00002272"/>
    <w:rsid w:val="00064002"/>
    <w:rsid w:val="000677B9"/>
    <w:rsid w:val="000831BA"/>
    <w:rsid w:val="000A42CC"/>
    <w:rsid w:val="000E7DD9"/>
    <w:rsid w:val="0010095E"/>
    <w:rsid w:val="00125B37"/>
    <w:rsid w:val="00187494"/>
    <w:rsid w:val="001F32AE"/>
    <w:rsid w:val="00221C05"/>
    <w:rsid w:val="00224C83"/>
    <w:rsid w:val="002767FF"/>
    <w:rsid w:val="002B18FE"/>
    <w:rsid w:val="002B5493"/>
    <w:rsid w:val="002D124F"/>
    <w:rsid w:val="003052F9"/>
    <w:rsid w:val="00343214"/>
    <w:rsid w:val="00361C00"/>
    <w:rsid w:val="00362EA6"/>
    <w:rsid w:val="00395FA1"/>
    <w:rsid w:val="003E15D4"/>
    <w:rsid w:val="00411CCE"/>
    <w:rsid w:val="0041666E"/>
    <w:rsid w:val="00421060"/>
    <w:rsid w:val="004516E2"/>
    <w:rsid w:val="00471C19"/>
    <w:rsid w:val="004867E3"/>
    <w:rsid w:val="00494A28"/>
    <w:rsid w:val="004C0004"/>
    <w:rsid w:val="004C5D52"/>
    <w:rsid w:val="0050519A"/>
    <w:rsid w:val="005072A1"/>
    <w:rsid w:val="00514517"/>
    <w:rsid w:val="00545827"/>
    <w:rsid w:val="00560270"/>
    <w:rsid w:val="0058048C"/>
    <w:rsid w:val="00583326"/>
    <w:rsid w:val="005C2568"/>
    <w:rsid w:val="005C423D"/>
    <w:rsid w:val="005F1B17"/>
    <w:rsid w:val="005F7DA7"/>
    <w:rsid w:val="006037C0"/>
    <w:rsid w:val="00641844"/>
    <w:rsid w:val="006631B6"/>
    <w:rsid w:val="00680577"/>
    <w:rsid w:val="006F74FA"/>
    <w:rsid w:val="00731ADD"/>
    <w:rsid w:val="00734777"/>
    <w:rsid w:val="00747932"/>
    <w:rsid w:val="00751A4A"/>
    <w:rsid w:val="00756632"/>
    <w:rsid w:val="00762C74"/>
    <w:rsid w:val="00786EC0"/>
    <w:rsid w:val="007A64CE"/>
    <w:rsid w:val="007B4C2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6BED"/>
    <w:rsid w:val="00A1687D"/>
    <w:rsid w:val="00A43E52"/>
    <w:rsid w:val="00A4678D"/>
    <w:rsid w:val="00A778C7"/>
    <w:rsid w:val="00A94C91"/>
    <w:rsid w:val="00AB441E"/>
    <w:rsid w:val="00AB6293"/>
    <w:rsid w:val="00AE0928"/>
    <w:rsid w:val="00AF2184"/>
    <w:rsid w:val="00AF3B82"/>
    <w:rsid w:val="00B12E95"/>
    <w:rsid w:val="00B22876"/>
    <w:rsid w:val="00B558F0"/>
    <w:rsid w:val="00BB49B2"/>
    <w:rsid w:val="00BD48FE"/>
    <w:rsid w:val="00BD7BD8"/>
    <w:rsid w:val="00BE6ADC"/>
    <w:rsid w:val="00C05BFE"/>
    <w:rsid w:val="00C23CD4"/>
    <w:rsid w:val="00C61C0C"/>
    <w:rsid w:val="00C941CB"/>
    <w:rsid w:val="00CC2357"/>
    <w:rsid w:val="00CF071A"/>
    <w:rsid w:val="00D058B8"/>
    <w:rsid w:val="00D56C11"/>
    <w:rsid w:val="00D72D0C"/>
    <w:rsid w:val="00D772D2"/>
    <w:rsid w:val="00D834A0"/>
    <w:rsid w:val="00D872DF"/>
    <w:rsid w:val="00D91E21"/>
    <w:rsid w:val="00DA17CE"/>
    <w:rsid w:val="00DA7FCD"/>
    <w:rsid w:val="00DE7B37"/>
    <w:rsid w:val="00DF359E"/>
    <w:rsid w:val="00E365E1"/>
    <w:rsid w:val="00E80AE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9D174"/>
  <w15:chartTrackingRefBased/>
  <w15:docId w15:val="{3B29AEEA-77EC-4E3D-A2EA-F379FDDA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 Car,de nota al pie Car,-E Fußnotenzeichen Car,-E Funotenzeichen Car,Footnote Reference Superscript Car,BVI fnr Car,SUPERS Car,Footnote symbol Car,Footnote Car,Footnote reference number Car,Footnote number Car,note TESI Car,F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F6BED"/>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9F6BED"/>
    <w:pPr>
      <w:widowControl/>
      <w:tabs>
        <w:tab w:val="center" w:pos="4535"/>
        <w:tab w:val="right" w:pos="9071"/>
      </w:tabs>
      <w:spacing w:before="240" w:after="240"/>
    </w:pPr>
    <w:rPr>
      <w:color w:val="010000"/>
      <w:sz w:val="22"/>
    </w:rPr>
  </w:style>
  <w:style w:type="paragraph" w:customStyle="1" w:styleId="EPComma">
    <w:name w:val="EPComma"/>
    <w:basedOn w:val="Normal"/>
    <w:rsid w:val="009F6BED"/>
    <w:pPr>
      <w:spacing w:before="480" w:after="240"/>
    </w:pPr>
  </w:style>
  <w:style w:type="paragraph" w:customStyle="1" w:styleId="PageHeading">
    <w:name w:val="PageHeading"/>
    <w:basedOn w:val="Normal"/>
    <w:link w:val="PageHeadingChar"/>
    <w:rsid w:val="009F6BED"/>
    <w:pPr>
      <w:keepNext/>
      <w:spacing w:after="480"/>
      <w:jc w:val="center"/>
    </w:pPr>
    <w:rPr>
      <w:rFonts w:ascii="Arial" w:hAnsi="Arial" w:cs="Arial"/>
      <w:b/>
    </w:rPr>
  </w:style>
  <w:style w:type="paragraph" w:customStyle="1" w:styleId="NormalHanging12a">
    <w:name w:val="NormalHanging12a"/>
    <w:basedOn w:val="Normal"/>
    <w:link w:val="NormalHanging12aChar"/>
    <w:rsid w:val="009F6BED"/>
    <w:pPr>
      <w:spacing w:after="240"/>
      <w:ind w:left="567" w:hanging="567"/>
    </w:pPr>
  </w:style>
  <w:style w:type="character" w:customStyle="1" w:styleId="NormalHanging12aChar">
    <w:name w:val="NormalHanging12a Char"/>
    <w:basedOn w:val="DefaultParagraphFont"/>
    <w:link w:val="NormalHanging12a"/>
    <w:locked/>
    <w:rsid w:val="009F6BED"/>
    <w:rPr>
      <w:sz w:val="24"/>
      <w:lang w:val="ro-RO"/>
    </w:rPr>
  </w:style>
  <w:style w:type="character" w:styleId="Emphasis">
    <w:name w:val="Emphasis"/>
    <w:basedOn w:val="DefaultParagraphFont"/>
    <w:uiPriority w:val="20"/>
    <w:qFormat/>
    <w:rsid w:val="009F6BED"/>
    <w:rPr>
      <w:i/>
      <w:iCs/>
    </w:rPr>
  </w:style>
  <w:style w:type="character" w:customStyle="1" w:styleId="PageHeadingChar">
    <w:name w:val="PageHeading Char"/>
    <w:basedOn w:val="DefaultParagraphFont"/>
    <w:link w:val="PageHeading"/>
    <w:rsid w:val="009F6BED"/>
    <w:rPr>
      <w:rFonts w:ascii="Arial" w:hAnsi="Arial" w:cs="Arial"/>
      <w:b/>
      <w:sz w:val="24"/>
      <w:lang w:val="ro-RO"/>
    </w:rPr>
  </w:style>
  <w:style w:type="paragraph" w:styleId="Header">
    <w:name w:val="header"/>
    <w:basedOn w:val="Normal"/>
    <w:link w:val="HeaderChar"/>
    <w:rsid w:val="009F6BED"/>
    <w:pPr>
      <w:tabs>
        <w:tab w:val="center" w:pos="4513"/>
        <w:tab w:val="right" w:pos="9026"/>
      </w:tabs>
    </w:pPr>
  </w:style>
  <w:style w:type="character" w:customStyle="1" w:styleId="HeaderChar">
    <w:name w:val="Header Char"/>
    <w:basedOn w:val="DefaultParagraphFont"/>
    <w:link w:val="Header"/>
    <w:rsid w:val="009F6BED"/>
    <w:rPr>
      <w:sz w:val="24"/>
      <w:lang w:val="ro-RO"/>
    </w:rPr>
  </w:style>
  <w:style w:type="paragraph" w:customStyle="1" w:styleId="Normal12a">
    <w:name w:val="Normal12a"/>
    <w:basedOn w:val="Normal"/>
    <w:rsid w:val="009F6BED"/>
    <w:pPr>
      <w:spacing w:after="240"/>
    </w:pPr>
  </w:style>
  <w:style w:type="paragraph" w:customStyle="1" w:styleId="Normal24a">
    <w:name w:val="Normal24a"/>
    <w:basedOn w:val="Normal"/>
    <w:rsid w:val="009F6BED"/>
    <w:pPr>
      <w:spacing w:after="480"/>
    </w:pPr>
  </w:style>
  <w:style w:type="paragraph" w:customStyle="1" w:styleId="NormalBoldCenter">
    <w:name w:val="NormalBoldCenter"/>
    <w:basedOn w:val="Normal"/>
    <w:rsid w:val="009F6BED"/>
    <w:pPr>
      <w:jc w:val="center"/>
    </w:pPr>
    <w:rPr>
      <w:b/>
    </w:rPr>
  </w:style>
  <w:style w:type="paragraph" w:customStyle="1" w:styleId="Footprint12b">
    <w:name w:val="Footprint12b"/>
    <w:basedOn w:val="Normal"/>
    <w:rsid w:val="009F6BED"/>
    <w:pPr>
      <w:spacing w:before="240"/>
    </w:pPr>
    <w:rPr>
      <w:szCs w:val="24"/>
    </w:rPr>
  </w:style>
  <w:style w:type="paragraph" w:customStyle="1" w:styleId="NormalSingle">
    <w:name w:val="NormalSingle"/>
    <w:basedOn w:val="Normal"/>
    <w:qFormat/>
    <w:rsid w:val="009F6BED"/>
    <w:rPr>
      <w:szCs w:val="24"/>
    </w:rPr>
  </w:style>
  <w:style w:type="character" w:styleId="Hyperlink">
    <w:name w:val="Hyperlink"/>
    <w:basedOn w:val="DefaultParagraphFont"/>
    <w:rsid w:val="009F6BED"/>
    <w:rPr>
      <w:color w:val="0563C1" w:themeColor="hyperlink"/>
      <w:u w:val="single"/>
    </w:rPr>
  </w:style>
  <w:style w:type="paragraph" w:customStyle="1" w:styleId="RollCallVotes">
    <w:name w:val="RollCallVotes"/>
    <w:basedOn w:val="Normal"/>
    <w:rsid w:val="009F6BED"/>
    <w:pPr>
      <w:spacing w:before="120" w:after="120"/>
      <w:jc w:val="center"/>
    </w:pPr>
    <w:rPr>
      <w:b/>
      <w:bCs/>
      <w:snapToGrid w:val="0"/>
      <w:sz w:val="16"/>
      <w:lang w:eastAsia="en-US"/>
    </w:rPr>
  </w:style>
  <w:style w:type="paragraph" w:customStyle="1" w:styleId="RollCallTabs">
    <w:name w:val="RollCallTabs"/>
    <w:basedOn w:val="Normal"/>
    <w:qFormat/>
    <w:rsid w:val="009F6BED"/>
    <w:pPr>
      <w:tabs>
        <w:tab w:val="center" w:pos="284"/>
        <w:tab w:val="left" w:pos="426"/>
      </w:tabs>
    </w:pPr>
    <w:rPr>
      <w:snapToGrid w:val="0"/>
      <w:lang w:eastAsia="en-US"/>
    </w:rPr>
  </w:style>
  <w:style w:type="paragraph" w:customStyle="1" w:styleId="RollCallSymbols14pt">
    <w:name w:val="RollCallSymbols14pt"/>
    <w:basedOn w:val="Normal"/>
    <w:rsid w:val="009F6BED"/>
    <w:pPr>
      <w:spacing w:before="120" w:after="120"/>
      <w:jc w:val="center"/>
    </w:pPr>
    <w:rPr>
      <w:rFonts w:ascii="Arial" w:hAnsi="Arial"/>
      <w:b/>
      <w:bCs/>
      <w:snapToGrid w:val="0"/>
      <w:sz w:val="28"/>
      <w:lang w:eastAsia="en-US"/>
    </w:rPr>
  </w:style>
  <w:style w:type="paragraph" w:customStyle="1" w:styleId="RollCallTable">
    <w:name w:val="RollCallTable"/>
    <w:basedOn w:val="Normal"/>
    <w:rsid w:val="009F6BED"/>
    <w:pPr>
      <w:spacing w:before="120" w:after="120"/>
    </w:pPr>
    <w:rPr>
      <w:snapToGrid w:val="0"/>
      <w:sz w:val="16"/>
      <w:lang w:eastAsia="en-US"/>
    </w:rPr>
  </w:style>
  <w:style w:type="paragraph" w:customStyle="1" w:styleId="LetterSubject">
    <w:name w:val="LetterSubject"/>
    <w:basedOn w:val="Normal"/>
    <w:rsid w:val="009F6BED"/>
    <w:pPr>
      <w:spacing w:before="480"/>
      <w:ind w:left="1134" w:hanging="1134"/>
    </w:pPr>
  </w:style>
  <w:style w:type="paragraph" w:customStyle="1" w:styleId="LetterSignature66b">
    <w:name w:val="LetterSignature66b"/>
    <w:basedOn w:val="Normal"/>
    <w:next w:val="Normal"/>
    <w:rsid w:val="009F6BED"/>
    <w:pPr>
      <w:spacing w:before="1320"/>
    </w:pPr>
  </w:style>
  <w:style w:type="paragraph" w:customStyle="1" w:styleId="LetterSalutation">
    <w:name w:val="LetterSalutation"/>
    <w:basedOn w:val="Normal"/>
    <w:rsid w:val="009F6BED"/>
    <w:pPr>
      <w:spacing w:before="600" w:after="360"/>
    </w:pPr>
  </w:style>
  <w:style w:type="paragraph" w:styleId="Revision">
    <w:name w:val="Revision"/>
    <w:hidden/>
    <w:uiPriority w:val="99"/>
    <w:semiHidden/>
    <w:rsid w:val="00A94C91"/>
    <w:rPr>
      <w:sz w:val="24"/>
      <w:lang w:val="ro-RO"/>
    </w:rPr>
  </w:style>
  <w:style w:type="character" w:styleId="UnresolvedMention">
    <w:name w:val="Unresolved Mention"/>
    <w:basedOn w:val="DefaultParagraphFont"/>
    <w:uiPriority w:val="99"/>
    <w:semiHidden/>
    <w:unhideWhenUsed/>
    <w:rsid w:val="00A94C91"/>
    <w:rPr>
      <w:color w:val="605E5C"/>
      <w:shd w:val="clear" w:color="auto" w:fill="E1DFDD"/>
    </w:rPr>
  </w:style>
  <w:style w:type="character" w:styleId="FollowedHyperlink">
    <w:name w:val="FollowedHyperlink"/>
    <w:basedOn w:val="DefaultParagraphFont"/>
    <w:rsid w:val="00A94C91"/>
    <w:rPr>
      <w:color w:val="954F72" w:themeColor="followedHyperlink"/>
      <w:u w:val="single"/>
    </w:rPr>
  </w:style>
  <w:style w:type="paragraph" w:styleId="Footer">
    <w:name w:val="footer"/>
    <w:basedOn w:val="Normal"/>
    <w:link w:val="FooterChar"/>
    <w:rsid w:val="00A94C91"/>
    <w:pPr>
      <w:tabs>
        <w:tab w:val="center" w:pos="4513"/>
        <w:tab w:val="right" w:pos="9026"/>
      </w:tabs>
    </w:pPr>
  </w:style>
  <w:style w:type="character" w:customStyle="1" w:styleId="FooterChar">
    <w:name w:val="Footer Char"/>
    <w:basedOn w:val="DefaultParagraphFont"/>
    <w:link w:val="Footer"/>
    <w:rsid w:val="00A94C9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7711</Words>
  <Characters>45713</Characters>
  <Application>Microsoft Office Word</Application>
  <DocSecurity>0</DocSecurity>
  <Lines>380</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TEODORESCU-ILIE Camelia</cp:lastModifiedBy>
  <cp:revision>2</cp:revision>
  <cp:lastPrinted>2004-11-19T15:42:00Z</cp:lastPrinted>
  <dcterms:created xsi:type="dcterms:W3CDTF">2026-04-17T08:12:00Z</dcterms:created>
  <dcterms:modified xsi:type="dcterms:W3CDTF">2026-04-17T08:12:00Z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P10_TA(2026)0003_</vt:lpwstr>
  </property>
  <property fmtid="{D5CDD505-2E9C-101B-9397-08002B2CF9AE}" pid="4" name="&lt;Type&gt;">
    <vt:lpwstr>RR</vt:lpwstr>
  </property>
</Properties>
</file>