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32BD" w14:paraId="4DDB7B2E" w14:textId="77777777" w:rsidTr="0010095E">
        <w:trPr>
          <w:trHeight w:hRule="exact" w:val="1418"/>
        </w:trPr>
        <w:tc>
          <w:tcPr>
            <w:tcW w:w="6804" w:type="dxa"/>
            <w:shd w:val="clear" w:color="auto" w:fill="auto"/>
            <w:vAlign w:val="center"/>
          </w:tcPr>
          <w:p w14:paraId="66CD9D00" w14:textId="77777777" w:rsidR="00751A4A" w:rsidRPr="000D32BD" w:rsidRDefault="0088418F" w:rsidP="0010095E">
            <w:pPr>
              <w:pStyle w:val="EPName"/>
            </w:pPr>
            <w:r w:rsidRPr="000D32BD">
              <w:t>Evropský parlament</w:t>
            </w:r>
          </w:p>
          <w:p w14:paraId="790CE6A8" w14:textId="77777777" w:rsidR="00751A4A" w:rsidRPr="000D32BD" w:rsidRDefault="005F1B17" w:rsidP="005F1B17">
            <w:pPr>
              <w:pStyle w:val="EPTerm"/>
              <w:rPr>
                <w:rStyle w:val="HideTWBExt"/>
                <w:noProof w:val="0"/>
                <w:vanish w:val="0"/>
                <w:color w:val="auto"/>
              </w:rPr>
            </w:pPr>
            <w:r w:rsidRPr="000D32BD">
              <w:t>2024</w:t>
            </w:r>
            <w:r w:rsidR="00817416" w:rsidRPr="000D32BD">
              <w:t>-202</w:t>
            </w:r>
            <w:r w:rsidRPr="000D32BD">
              <w:t>9</w:t>
            </w:r>
          </w:p>
        </w:tc>
        <w:tc>
          <w:tcPr>
            <w:tcW w:w="2268" w:type="dxa"/>
            <w:shd w:val="clear" w:color="auto" w:fill="auto"/>
          </w:tcPr>
          <w:p w14:paraId="7EF9BD2E" w14:textId="77777777" w:rsidR="00751A4A" w:rsidRPr="000D32BD" w:rsidRDefault="00187494" w:rsidP="0010095E">
            <w:pPr>
              <w:pStyle w:val="EPLogo"/>
            </w:pPr>
            <w:r w:rsidRPr="000D32BD">
              <w:rPr>
                <w:noProof/>
                <w:lang w:eastAsia="ja-JP"/>
              </w:rPr>
              <w:drawing>
                <wp:inline distT="0" distB="0" distL="0" distR="0" wp14:anchorId="0097A8EE" wp14:editId="55386C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117C15" w14:textId="77777777" w:rsidR="00D058B8" w:rsidRPr="000D32BD" w:rsidRDefault="00D058B8" w:rsidP="004C5D52">
      <w:pPr>
        <w:pStyle w:val="LineTop"/>
      </w:pPr>
    </w:p>
    <w:p w14:paraId="51D232CE" w14:textId="77777777" w:rsidR="00680577" w:rsidRPr="000D32BD" w:rsidRDefault="0088418F" w:rsidP="00680577">
      <w:pPr>
        <w:pStyle w:val="EPBodyTA1"/>
      </w:pPr>
      <w:r w:rsidRPr="000D32BD">
        <w:t>PŘIJATÉ TEXTY</w:t>
      </w:r>
    </w:p>
    <w:p w14:paraId="07F3E860" w14:textId="77777777" w:rsidR="00D058B8" w:rsidRPr="000D32BD" w:rsidRDefault="00D058B8" w:rsidP="00D058B8">
      <w:pPr>
        <w:pStyle w:val="LineBottom"/>
      </w:pPr>
    </w:p>
    <w:p w14:paraId="33264EB1" w14:textId="05B66F1B" w:rsidR="0088418F" w:rsidRPr="000D32BD" w:rsidRDefault="0088418F" w:rsidP="0088418F">
      <w:pPr>
        <w:pStyle w:val="ATHeading1"/>
      </w:pPr>
      <w:bookmarkStart w:id="0" w:name="TANumber"/>
      <w:r w:rsidRPr="000D32BD">
        <w:t>P10_</w:t>
      </w:r>
      <w:proofErr w:type="gramStart"/>
      <w:r w:rsidRPr="000D32BD">
        <w:t>TA(</w:t>
      </w:r>
      <w:proofErr w:type="gramEnd"/>
      <w:r w:rsidRPr="000D32BD">
        <w:t>2026)000</w:t>
      </w:r>
      <w:r w:rsidR="00E52522">
        <w:t>4</w:t>
      </w:r>
      <w:bookmarkEnd w:id="0"/>
    </w:p>
    <w:p w14:paraId="5FA5AF65" w14:textId="77777777" w:rsidR="0088418F" w:rsidRPr="000D32BD" w:rsidRDefault="0088418F" w:rsidP="0088418F">
      <w:pPr>
        <w:pStyle w:val="ATHeading2"/>
      </w:pPr>
      <w:bookmarkStart w:id="1" w:name="title"/>
      <w:r w:rsidRPr="000D32BD">
        <w:t>Ochrana a podpora finanční stability v podmínkách hospodářské nejistoty</w:t>
      </w:r>
      <w:bookmarkEnd w:id="1"/>
    </w:p>
    <w:p w14:paraId="7246A063" w14:textId="77777777" w:rsidR="0088418F" w:rsidRPr="000D32BD" w:rsidRDefault="0088418F" w:rsidP="0088418F">
      <w:pPr>
        <w:rPr>
          <w:i/>
          <w:vanish/>
        </w:rPr>
      </w:pPr>
      <w:r w:rsidRPr="000D32BD">
        <w:rPr>
          <w:i/>
        </w:rPr>
        <w:fldChar w:fldCharType="begin"/>
      </w:r>
      <w:r w:rsidRPr="000D32BD">
        <w:rPr>
          <w:i/>
        </w:rPr>
        <w:instrText xml:space="preserve"> TC"(</w:instrText>
      </w:r>
      <w:bookmarkStart w:id="2" w:name="DocNumber"/>
      <w:r w:rsidRPr="000D32BD">
        <w:rPr>
          <w:i/>
        </w:rPr>
        <w:instrText>A10-0232/2025</w:instrText>
      </w:r>
      <w:bookmarkEnd w:id="2"/>
      <w:r w:rsidRPr="000D32BD">
        <w:rPr>
          <w:i/>
        </w:rPr>
        <w:instrText xml:space="preserve"> - Zpravodaj: Johan Van </w:instrText>
      </w:r>
      <w:proofErr w:type="spellStart"/>
      <w:r w:rsidRPr="000D32BD">
        <w:rPr>
          <w:i/>
        </w:rPr>
        <w:instrText>Overtveldt</w:instrText>
      </w:r>
      <w:proofErr w:type="spellEnd"/>
      <w:r w:rsidRPr="000D32BD">
        <w:rPr>
          <w:i/>
        </w:rPr>
        <w:instrText xml:space="preserve">)"\l3 \n&gt; \* MERGEFORMAT </w:instrText>
      </w:r>
      <w:r w:rsidRPr="000D32BD">
        <w:rPr>
          <w:i/>
        </w:rPr>
        <w:fldChar w:fldCharType="end"/>
      </w:r>
    </w:p>
    <w:p w14:paraId="1A83E8FB" w14:textId="77777777" w:rsidR="0088418F" w:rsidRPr="000D32BD" w:rsidRDefault="0088418F" w:rsidP="0088418F">
      <w:pPr>
        <w:rPr>
          <w:vanish/>
        </w:rPr>
      </w:pPr>
      <w:bookmarkStart w:id="3" w:name="Commission"/>
      <w:r w:rsidRPr="000D32BD">
        <w:rPr>
          <w:vanish/>
        </w:rPr>
        <w:t>Hospodářský a měnový výbor</w:t>
      </w:r>
      <w:bookmarkEnd w:id="3"/>
    </w:p>
    <w:p w14:paraId="518DB821" w14:textId="77777777" w:rsidR="0088418F" w:rsidRPr="000D32BD" w:rsidRDefault="0088418F" w:rsidP="0088418F">
      <w:pPr>
        <w:rPr>
          <w:vanish/>
        </w:rPr>
      </w:pPr>
      <w:bookmarkStart w:id="4" w:name="PE"/>
      <w:r w:rsidRPr="000D32BD">
        <w:rPr>
          <w:vanish/>
        </w:rPr>
        <w:t>PE771.960</w:t>
      </w:r>
      <w:bookmarkEnd w:id="4"/>
    </w:p>
    <w:p w14:paraId="44DDA6C0" w14:textId="313CF1CB" w:rsidR="0088418F" w:rsidRPr="000D32BD" w:rsidRDefault="0088418F" w:rsidP="0088418F">
      <w:pPr>
        <w:pStyle w:val="ATHeading3"/>
      </w:pPr>
      <w:bookmarkStart w:id="5" w:name="Sujet"/>
      <w:r w:rsidRPr="000D32BD">
        <w:t>Usnesení Evropského parlamentu ze dne</w:t>
      </w:r>
      <w:r w:rsidR="00F6198D">
        <w:t xml:space="preserve"> 20. ledna</w:t>
      </w:r>
      <w:r w:rsidRPr="000D32BD">
        <w:t xml:space="preserve"> 2026 o ochraně a podpoře finanční stability v podmínkách hospodářské nejistoty</w:t>
      </w:r>
      <w:bookmarkEnd w:id="5"/>
      <w:r w:rsidRPr="000D32BD">
        <w:t xml:space="preserve"> </w:t>
      </w:r>
      <w:bookmarkStart w:id="6" w:name="References"/>
      <w:r w:rsidRPr="000D32BD">
        <w:t>(2025/2051(INI))</w:t>
      </w:r>
      <w:bookmarkEnd w:id="6"/>
    </w:p>
    <w:p w14:paraId="7FA66C31" w14:textId="77777777" w:rsidR="00D238C3" w:rsidRPr="000D32BD" w:rsidRDefault="00D238C3" w:rsidP="00D238C3">
      <w:pPr>
        <w:pStyle w:val="Normal12"/>
      </w:pPr>
      <w:r w:rsidRPr="000D32BD">
        <w:rPr>
          <w:i/>
        </w:rPr>
        <w:t>Evropský parlament</w:t>
      </w:r>
      <w:r w:rsidRPr="000D32BD">
        <w:t>,</w:t>
      </w:r>
    </w:p>
    <w:p w14:paraId="2E9180AC" w14:textId="77777777" w:rsidR="00D238C3" w:rsidRPr="000D32BD" w:rsidRDefault="00D238C3" w:rsidP="00D238C3">
      <w:pPr>
        <w:pStyle w:val="NormalHanging"/>
      </w:pPr>
      <w:r w:rsidRPr="000D32BD">
        <w:t>–</w:t>
      </w:r>
      <w:r w:rsidRPr="000D32BD">
        <w:tab/>
        <w:t xml:space="preserve">s ohledem na zprávu Komise ze dne 24. ledna 2024 o </w:t>
      </w:r>
      <w:proofErr w:type="spellStart"/>
      <w:r w:rsidRPr="000D32BD">
        <w:t>makroobezřetnostním</w:t>
      </w:r>
      <w:proofErr w:type="spellEnd"/>
      <w:r w:rsidRPr="000D32BD">
        <w:t xml:space="preserve"> přezkumu pro úvěrové instituce a o systémových rizicích souvisejících s nebankovními finančními zprostředkovateli a jejich propojeností s úvěrovými institucemi, předkládanou podle článku 513 nařízení Evropského parlamentu a Rady (EU) č. 575/2013 ze dne 26. června 2013 o obezřetnostních požadavcích na úvěrové instituce a o změně nařízení (EU) č. 648/2012 (</w:t>
      </w:r>
      <w:hyperlink r:id="rId9" w:tgtFrame="https://eur-lex.europa.eu/legal-content/EN/ALL/?uri=CELEX:52024DC0021" w:history="1">
        <w:r w:rsidRPr="00F6198D">
          <w:t>COM(2024)0021</w:t>
        </w:r>
      </w:hyperlink>
      <w:r w:rsidRPr="000D32BD">
        <w:t>),</w:t>
      </w:r>
    </w:p>
    <w:p w14:paraId="1F021D7A" w14:textId="77777777" w:rsidR="00D238C3" w:rsidRPr="000D32BD" w:rsidRDefault="00D238C3" w:rsidP="00D238C3">
      <w:pPr>
        <w:pStyle w:val="NormalHanging"/>
      </w:pPr>
      <w:r w:rsidRPr="000D32BD">
        <w:t>–</w:t>
      </w:r>
      <w:r w:rsidRPr="000D32BD">
        <w:tab/>
        <w:t>s ohledem na přezkum finanční stability Evropské centrální banky (ECB) z listopadu 2024,</w:t>
      </w:r>
    </w:p>
    <w:p w14:paraId="2F31A6BD" w14:textId="77777777" w:rsidR="00D238C3" w:rsidRPr="000D32BD" w:rsidRDefault="00D238C3" w:rsidP="00D238C3">
      <w:pPr>
        <w:pStyle w:val="NormalHanging"/>
      </w:pPr>
      <w:r w:rsidRPr="000D32BD">
        <w:t>–</w:t>
      </w:r>
      <w:r w:rsidRPr="000D32BD">
        <w:tab/>
        <w:t>s ohledem na zprávu ECB o finanční stabilitě z května 2025,</w:t>
      </w:r>
    </w:p>
    <w:p w14:paraId="1ED67D33" w14:textId="77777777" w:rsidR="00D238C3" w:rsidRPr="000D32BD" w:rsidRDefault="00D238C3" w:rsidP="00D238C3">
      <w:pPr>
        <w:pStyle w:val="NormalHanging"/>
      </w:pPr>
      <w:r w:rsidRPr="000D32BD">
        <w:t>–</w:t>
      </w:r>
      <w:r w:rsidRPr="000D32BD">
        <w:tab/>
        <w:t>s ohledem na čtvrtletní přehled Banky pro mezinárodní platby (BIS) z března 2025 o vývoji na mezinárodních bankovních a finančních trzích,</w:t>
      </w:r>
    </w:p>
    <w:p w14:paraId="258DCD85" w14:textId="77777777" w:rsidR="00D238C3" w:rsidRPr="000D32BD" w:rsidRDefault="00D238C3" w:rsidP="00D238C3">
      <w:pPr>
        <w:pStyle w:val="NormalHanging"/>
      </w:pPr>
      <w:r w:rsidRPr="000D32BD">
        <w:t>–</w:t>
      </w:r>
      <w:r w:rsidRPr="000D32BD">
        <w:tab/>
        <w:t>s ohledem na dopis předsedy Rady pro finanční stabilitu ministrům financí a guvernérům centrálních bank zemí G20 ze dne 21. února 2025,</w:t>
      </w:r>
    </w:p>
    <w:p w14:paraId="4C121F70" w14:textId="77777777" w:rsidR="00D238C3" w:rsidRPr="000D32BD" w:rsidRDefault="00D238C3" w:rsidP="00D238C3">
      <w:pPr>
        <w:pStyle w:val="NormalHanging"/>
      </w:pPr>
      <w:r w:rsidRPr="000D32BD">
        <w:t>–</w:t>
      </w:r>
      <w:r w:rsidRPr="000D32BD">
        <w:tab/>
        <w:t xml:space="preserve">s ohledem na zprávu Rady pro finanční stabilitu o stavu ze dne 22. října 2024 nazvanou „G20 </w:t>
      </w:r>
      <w:proofErr w:type="spellStart"/>
      <w:r w:rsidRPr="000D32BD">
        <w:t>Crypto-asset</w:t>
      </w:r>
      <w:proofErr w:type="spellEnd"/>
      <w:r w:rsidRPr="000D32BD">
        <w:t xml:space="preserve"> </w:t>
      </w:r>
      <w:proofErr w:type="spellStart"/>
      <w:r w:rsidRPr="000D32BD">
        <w:t>Policy</w:t>
      </w:r>
      <w:proofErr w:type="spellEnd"/>
      <w:r w:rsidRPr="000D32BD">
        <w:t xml:space="preserve"> </w:t>
      </w:r>
      <w:proofErr w:type="spellStart"/>
      <w:r w:rsidRPr="000D32BD">
        <w:t>Implementation</w:t>
      </w:r>
      <w:proofErr w:type="spellEnd"/>
      <w:r w:rsidRPr="000D32BD">
        <w:t xml:space="preserve"> </w:t>
      </w:r>
      <w:proofErr w:type="spellStart"/>
      <w:r w:rsidRPr="000D32BD">
        <w:t>Roadmap</w:t>
      </w:r>
      <w:proofErr w:type="spellEnd"/>
      <w:r w:rsidRPr="000D32BD">
        <w:t xml:space="preserve">“ (Plán G20 týkající se provádění politiky v oblasti </w:t>
      </w:r>
      <w:proofErr w:type="spellStart"/>
      <w:r w:rsidRPr="000D32BD">
        <w:t>kryptoaktiv</w:t>
      </w:r>
      <w:proofErr w:type="spellEnd"/>
      <w:r w:rsidRPr="000D32BD">
        <w:t>),</w:t>
      </w:r>
    </w:p>
    <w:p w14:paraId="6E4CE766" w14:textId="77777777" w:rsidR="00D238C3" w:rsidRPr="000D32BD" w:rsidRDefault="00D238C3" w:rsidP="00D238C3">
      <w:pPr>
        <w:pStyle w:val="NormalHanging"/>
      </w:pPr>
      <w:r w:rsidRPr="000D32BD">
        <w:t>–</w:t>
      </w:r>
      <w:r w:rsidRPr="000D32BD">
        <w:tab/>
        <w:t>s ohledem na zprávu Rady pro finanční stabilitu z října 2021 nazvanou „</w:t>
      </w:r>
      <w:proofErr w:type="spellStart"/>
      <w:r w:rsidRPr="000D32BD">
        <w:t>Policy</w:t>
      </w:r>
      <w:proofErr w:type="spellEnd"/>
      <w:r w:rsidRPr="000D32BD">
        <w:t xml:space="preserve"> </w:t>
      </w:r>
      <w:proofErr w:type="spellStart"/>
      <w:r w:rsidRPr="000D32BD">
        <w:t>proposals</w:t>
      </w:r>
      <w:proofErr w:type="spellEnd"/>
      <w:r w:rsidRPr="000D32BD">
        <w:t xml:space="preserve"> to </w:t>
      </w:r>
      <w:proofErr w:type="spellStart"/>
      <w:r w:rsidRPr="000D32BD">
        <w:t>enhance</w:t>
      </w:r>
      <w:proofErr w:type="spellEnd"/>
      <w:r w:rsidRPr="000D32BD">
        <w:t xml:space="preserve"> </w:t>
      </w:r>
      <w:proofErr w:type="spellStart"/>
      <w:r w:rsidRPr="000D32BD">
        <w:t>money</w:t>
      </w:r>
      <w:proofErr w:type="spellEnd"/>
      <w:r w:rsidRPr="000D32BD">
        <w:t xml:space="preserve"> market </w:t>
      </w:r>
      <w:proofErr w:type="spellStart"/>
      <w:r w:rsidRPr="000D32BD">
        <w:t>fund</w:t>
      </w:r>
      <w:proofErr w:type="spellEnd"/>
      <w:r w:rsidRPr="000D32BD">
        <w:t xml:space="preserve"> </w:t>
      </w:r>
      <w:proofErr w:type="spellStart"/>
      <w:r w:rsidRPr="000D32BD">
        <w:t>resilience</w:t>
      </w:r>
      <w:proofErr w:type="spellEnd"/>
      <w:r w:rsidRPr="000D32BD">
        <w:t xml:space="preserve">: </w:t>
      </w:r>
      <w:proofErr w:type="spellStart"/>
      <w:r w:rsidRPr="000D32BD">
        <w:t>Final</w:t>
      </w:r>
      <w:proofErr w:type="spellEnd"/>
      <w:r w:rsidRPr="000D32BD">
        <w:t xml:space="preserve"> report“ (Návrhy politik ke zvýšení odolnosti fondů peněžního trhu: závěrečná zpráva),</w:t>
      </w:r>
    </w:p>
    <w:p w14:paraId="17561A7C" w14:textId="77777777" w:rsidR="00D238C3" w:rsidRPr="000D32BD" w:rsidRDefault="00D238C3" w:rsidP="00D238C3">
      <w:pPr>
        <w:pStyle w:val="NormalHanging"/>
      </w:pPr>
      <w:r w:rsidRPr="000D32BD">
        <w:t>–</w:t>
      </w:r>
      <w:r w:rsidRPr="000D32BD">
        <w:tab/>
        <w:t xml:space="preserve">s ohledem na odpověď Evropské rady pro systémová rizika (ESRB) z listopadu 2024 na konzultaci Komise, která posuzuje přiměřenost </w:t>
      </w:r>
      <w:proofErr w:type="spellStart"/>
      <w:r w:rsidRPr="000D32BD">
        <w:t>makroobezřetnostních</w:t>
      </w:r>
      <w:proofErr w:type="spellEnd"/>
      <w:r w:rsidRPr="000D32BD">
        <w:t xml:space="preserve"> politik pro nebankovní finanční zprostředkování, nazvanou „A </w:t>
      </w:r>
      <w:proofErr w:type="spellStart"/>
      <w:r w:rsidRPr="000D32BD">
        <w:t>system-wide</w:t>
      </w:r>
      <w:proofErr w:type="spellEnd"/>
      <w:r w:rsidRPr="000D32BD">
        <w:t xml:space="preserve"> </w:t>
      </w:r>
      <w:proofErr w:type="spellStart"/>
      <w:r w:rsidRPr="000D32BD">
        <w:t>approach</w:t>
      </w:r>
      <w:proofErr w:type="spellEnd"/>
      <w:r w:rsidRPr="000D32BD">
        <w:t xml:space="preserve"> to </w:t>
      </w:r>
      <w:proofErr w:type="spellStart"/>
      <w:r w:rsidRPr="000D32BD">
        <w:t>macroprudential</w:t>
      </w:r>
      <w:proofErr w:type="spellEnd"/>
      <w:r w:rsidRPr="000D32BD">
        <w:t xml:space="preserve"> </w:t>
      </w:r>
      <w:proofErr w:type="spellStart"/>
      <w:r w:rsidRPr="000D32BD">
        <w:t>policy</w:t>
      </w:r>
      <w:proofErr w:type="spellEnd"/>
      <w:r w:rsidRPr="000D32BD">
        <w:t>“ (</w:t>
      </w:r>
      <w:proofErr w:type="spellStart"/>
      <w:r w:rsidRPr="000D32BD">
        <w:t>Celosystémový</w:t>
      </w:r>
      <w:proofErr w:type="spellEnd"/>
      <w:r w:rsidRPr="000D32BD">
        <w:t xml:space="preserve"> přístup k </w:t>
      </w:r>
      <w:proofErr w:type="spellStart"/>
      <w:r w:rsidRPr="000D32BD">
        <w:t>makroobezřetnostní</w:t>
      </w:r>
      <w:proofErr w:type="spellEnd"/>
      <w:r w:rsidRPr="000D32BD">
        <w:t xml:space="preserve"> politice),</w:t>
      </w:r>
    </w:p>
    <w:p w14:paraId="5D42C636" w14:textId="77777777" w:rsidR="00D238C3" w:rsidRPr="000D32BD" w:rsidRDefault="00D238C3" w:rsidP="00D238C3">
      <w:pPr>
        <w:pStyle w:val="NormalHanging"/>
      </w:pPr>
      <w:r w:rsidRPr="000D32BD">
        <w:lastRenderedPageBreak/>
        <w:t>–</w:t>
      </w:r>
      <w:r w:rsidRPr="000D32BD">
        <w:tab/>
        <w:t>s ohledem na zprávu ESRB o dodržování předpisů z února 2025 o doporučení ESRB ze dne 2. prosince 2021 o reformě fondů peněžního trhu (ESRB/2021/9),</w:t>
      </w:r>
    </w:p>
    <w:p w14:paraId="65BAE42D" w14:textId="77777777" w:rsidR="00D238C3" w:rsidRPr="000D32BD" w:rsidRDefault="00D238C3" w:rsidP="00D238C3">
      <w:pPr>
        <w:pStyle w:val="NormalHanging"/>
      </w:pPr>
      <w:r w:rsidRPr="000D32BD">
        <w:t>–</w:t>
      </w:r>
      <w:r w:rsidRPr="000D32BD">
        <w:tab/>
        <w:t>s ohledem na aktualizovanou zprávu Společného výboru evropských orgánů dohledu ze dne 31. března 2025 o rizicích a zranitelných místech finančního systému EU – jaro 2025,</w:t>
      </w:r>
    </w:p>
    <w:p w14:paraId="4DD07507" w14:textId="77777777" w:rsidR="00D238C3" w:rsidRPr="000D32BD" w:rsidRDefault="00D238C3" w:rsidP="00D238C3">
      <w:pPr>
        <w:pStyle w:val="NormalHanging"/>
      </w:pPr>
      <w:r w:rsidRPr="000D32BD">
        <w:t>–</w:t>
      </w:r>
      <w:r w:rsidRPr="000D32BD">
        <w:tab/>
        <w:t>s ohledem na stanovisko Evropského orgánu pro cenné papíry a trhy (ESMA) ze dne 14. února 2022 k přezkumu nařízení o fondech peněžního trhu,</w:t>
      </w:r>
    </w:p>
    <w:p w14:paraId="51266FD9" w14:textId="77777777" w:rsidR="00D238C3" w:rsidRPr="000D32BD" w:rsidRDefault="00D238C3" w:rsidP="00D238C3">
      <w:pPr>
        <w:pStyle w:val="NormalHanging"/>
      </w:pPr>
      <w:r w:rsidRPr="000D32BD">
        <w:t>–</w:t>
      </w:r>
      <w:r w:rsidRPr="000D32BD">
        <w:tab/>
        <w:t>s ohledem na zprávu Mezinárodního měnového fondu (MMF) o globální finanční stabilitě ze dne 22. dubna 2025,</w:t>
      </w:r>
    </w:p>
    <w:p w14:paraId="4A9DBDA9" w14:textId="77777777" w:rsidR="00D238C3" w:rsidRPr="000D32BD" w:rsidRDefault="00D238C3" w:rsidP="00D238C3">
      <w:pPr>
        <w:pStyle w:val="NormalHanging"/>
      </w:pPr>
      <w:r w:rsidRPr="000D32BD">
        <w:t>–</w:t>
      </w:r>
      <w:r w:rsidRPr="000D32BD">
        <w:tab/>
        <w:t xml:space="preserve">s ohledem na zprávu Maria </w:t>
      </w:r>
      <w:proofErr w:type="spellStart"/>
      <w:r w:rsidRPr="000D32BD">
        <w:t>Draghiho</w:t>
      </w:r>
      <w:proofErr w:type="spellEnd"/>
      <w:r w:rsidRPr="000D32BD">
        <w:t xml:space="preserve"> ze dne 9. září 2024 nazvanou „</w:t>
      </w:r>
      <w:proofErr w:type="spellStart"/>
      <w:r w:rsidRPr="000D32BD">
        <w:t>The</w:t>
      </w:r>
      <w:proofErr w:type="spellEnd"/>
      <w:r w:rsidRPr="000D32BD">
        <w:t xml:space="preserve"> </w:t>
      </w:r>
      <w:proofErr w:type="spellStart"/>
      <w:r w:rsidRPr="000D32BD">
        <w:t>future</w:t>
      </w:r>
      <w:proofErr w:type="spellEnd"/>
      <w:r w:rsidRPr="000D32BD">
        <w:t xml:space="preserve"> </w:t>
      </w:r>
      <w:proofErr w:type="spellStart"/>
      <w:r w:rsidRPr="000D32BD">
        <w:t>of</w:t>
      </w:r>
      <w:proofErr w:type="spellEnd"/>
      <w:r w:rsidRPr="000D32BD">
        <w:t xml:space="preserve"> </w:t>
      </w:r>
      <w:proofErr w:type="spellStart"/>
      <w:r w:rsidRPr="000D32BD">
        <w:t>European</w:t>
      </w:r>
      <w:proofErr w:type="spellEnd"/>
      <w:r w:rsidRPr="000D32BD">
        <w:t xml:space="preserve"> </w:t>
      </w:r>
      <w:proofErr w:type="spellStart"/>
      <w:r w:rsidRPr="000D32BD">
        <w:t>competitiveness</w:t>
      </w:r>
      <w:proofErr w:type="spellEnd"/>
      <w:r w:rsidRPr="000D32BD">
        <w:t>“ (Budoucnost evropské konkurenceschopnosti, dále jen „</w:t>
      </w:r>
      <w:proofErr w:type="spellStart"/>
      <w:r w:rsidRPr="000D32BD">
        <w:t>Draghiho</w:t>
      </w:r>
      <w:proofErr w:type="spellEnd"/>
      <w:r w:rsidRPr="000D32BD">
        <w:t xml:space="preserve"> zpráva“),</w:t>
      </w:r>
    </w:p>
    <w:p w14:paraId="2081D077" w14:textId="77777777" w:rsidR="00D238C3" w:rsidRPr="000D32BD" w:rsidRDefault="00D238C3" w:rsidP="00D238C3">
      <w:pPr>
        <w:pStyle w:val="NormalHanging"/>
      </w:pPr>
      <w:r w:rsidRPr="000D32BD">
        <w:t>–</w:t>
      </w:r>
      <w:r w:rsidRPr="000D32BD">
        <w:tab/>
        <w:t xml:space="preserve">s ohledem na zprávu Enrica </w:t>
      </w:r>
      <w:proofErr w:type="spellStart"/>
      <w:r w:rsidRPr="000D32BD">
        <w:t>Letty</w:t>
      </w:r>
      <w:proofErr w:type="spellEnd"/>
      <w:r w:rsidRPr="000D32BD">
        <w:t xml:space="preserve"> ze dne 17. dubna 2024 nazvanou „Much more </w:t>
      </w:r>
      <w:proofErr w:type="spellStart"/>
      <w:r w:rsidRPr="000D32BD">
        <w:t>than</w:t>
      </w:r>
      <w:proofErr w:type="spellEnd"/>
      <w:r w:rsidRPr="000D32BD">
        <w:t xml:space="preserve"> a market“ (Mnohem více než jen trh, dále jen „</w:t>
      </w:r>
      <w:proofErr w:type="spellStart"/>
      <w:r w:rsidRPr="000D32BD">
        <w:t>Lettova</w:t>
      </w:r>
      <w:proofErr w:type="spellEnd"/>
      <w:r w:rsidRPr="000D32BD">
        <w:t xml:space="preserve"> zpráva“),</w:t>
      </w:r>
    </w:p>
    <w:p w14:paraId="2F27376E" w14:textId="77777777" w:rsidR="00D238C3" w:rsidRPr="000D32BD" w:rsidRDefault="00D238C3" w:rsidP="00D238C3">
      <w:pPr>
        <w:pStyle w:val="NormalHanging"/>
      </w:pPr>
      <w:r w:rsidRPr="000D32BD">
        <w:t>–</w:t>
      </w:r>
      <w:r w:rsidRPr="000D32BD">
        <w:tab/>
        <w:t>s ohledem na své usnesení ze dne 6. července 2011 o finanční, hospodářské a sociální krizi: doporučení k opatřením a vhodným iniciativám</w:t>
      </w:r>
      <w:r w:rsidRPr="000D32BD">
        <w:rPr>
          <w:rStyle w:val="FootnoteReference"/>
        </w:rPr>
        <w:footnoteReference w:customMarkFollows="1" w:id="1"/>
        <w:t>1</w:t>
      </w:r>
      <w:r w:rsidRPr="000D32BD">
        <w:t>,</w:t>
      </w:r>
    </w:p>
    <w:p w14:paraId="0E863468" w14:textId="77777777" w:rsidR="00D238C3" w:rsidRPr="000D32BD" w:rsidRDefault="00D238C3" w:rsidP="00D238C3">
      <w:pPr>
        <w:pStyle w:val="NormalHanging"/>
      </w:pPr>
      <w:r w:rsidRPr="000D32BD">
        <w:t>–</w:t>
      </w:r>
      <w:r w:rsidRPr="000D32BD">
        <w:tab/>
        <w:t>s ohledem na zprávu Hospodářského a měnového výboru Parlamentu ze dne 26. března 2025 o bankovní unii – výroční zpráva za rok 2024,</w:t>
      </w:r>
    </w:p>
    <w:p w14:paraId="4D952B29" w14:textId="77777777" w:rsidR="00D238C3" w:rsidRPr="000D32BD" w:rsidRDefault="00D238C3" w:rsidP="00D238C3">
      <w:pPr>
        <w:pStyle w:val="NormalHanging"/>
      </w:pPr>
      <w:r w:rsidRPr="000D32BD">
        <w:t>–</w:t>
      </w:r>
      <w:r w:rsidRPr="000D32BD">
        <w:tab/>
        <w:t xml:space="preserve">s ohledem na slyšení Hospodářského a měnového výboru Parlamentu ze dne 19. března 2025 o posouzení přiměřenosti </w:t>
      </w:r>
      <w:proofErr w:type="spellStart"/>
      <w:r w:rsidRPr="000D32BD">
        <w:t>makroobezřetnostního</w:t>
      </w:r>
      <w:proofErr w:type="spellEnd"/>
      <w:r w:rsidRPr="000D32BD">
        <w:t xml:space="preserve"> rámce pro nebankovní finanční instituce v EU,</w:t>
      </w:r>
    </w:p>
    <w:p w14:paraId="6EA59244" w14:textId="77777777" w:rsidR="00D238C3" w:rsidRPr="000D32BD" w:rsidRDefault="00D238C3" w:rsidP="00D238C3">
      <w:pPr>
        <w:pStyle w:val="NormalHanging"/>
      </w:pPr>
      <w:r w:rsidRPr="000D32BD">
        <w:t>–</w:t>
      </w:r>
      <w:r w:rsidRPr="000D32BD">
        <w:tab/>
        <w:t>s ohledem na článek 55 jednacího řádu,</w:t>
      </w:r>
    </w:p>
    <w:p w14:paraId="60E93AC1" w14:textId="77777777" w:rsidR="00D238C3" w:rsidRPr="000D32BD" w:rsidRDefault="00D238C3" w:rsidP="00D238C3">
      <w:pPr>
        <w:pStyle w:val="NormalHanging"/>
      </w:pPr>
      <w:r w:rsidRPr="000D32BD">
        <w:t>–</w:t>
      </w:r>
      <w:r w:rsidRPr="000D32BD">
        <w:tab/>
        <w:t>s ohledem na zprávu Hospodářského a měnového výboru (A10-0232/2025),</w:t>
      </w:r>
    </w:p>
    <w:p w14:paraId="6E7FE849" w14:textId="77777777" w:rsidR="00D238C3" w:rsidRPr="000D32BD" w:rsidRDefault="00D238C3" w:rsidP="00D238C3">
      <w:pPr>
        <w:pStyle w:val="NormalHanging"/>
      </w:pPr>
      <w:r w:rsidRPr="000D32BD">
        <w:t>A.</w:t>
      </w:r>
      <w:r w:rsidRPr="000D32BD">
        <w:tab/>
        <w:t>vzhledem k tomu, že finanční stabilita zůstává základním pilířem hospodářské odolnosti a růstu a vyžaduje ostražitost vzhledem k velké hospodářské nejistotě, vnějším otřesům a systémovým rizikům;</w:t>
      </w:r>
    </w:p>
    <w:p w14:paraId="3BFF211F" w14:textId="77777777" w:rsidR="00D238C3" w:rsidRPr="000D32BD" w:rsidRDefault="00D238C3" w:rsidP="00D238C3">
      <w:pPr>
        <w:pStyle w:val="NormalHanging"/>
      </w:pPr>
      <w:r w:rsidRPr="000D32BD">
        <w:t>B.</w:t>
      </w:r>
      <w:r w:rsidRPr="000D32BD">
        <w:tab/>
        <w:t>vzhledem k tomu, že světová finanční krize ukázala, jaká rizika představuje pro vyspělé ekonomiky finanční nestabilita, která nabývá globálních rozměrů;</w:t>
      </w:r>
    </w:p>
    <w:p w14:paraId="45A66B9E" w14:textId="77777777" w:rsidR="00D238C3" w:rsidRPr="000D32BD" w:rsidRDefault="00D238C3" w:rsidP="00D238C3">
      <w:pPr>
        <w:pStyle w:val="NormalHanging"/>
      </w:pPr>
      <w:r w:rsidRPr="000D32BD">
        <w:t>C.</w:t>
      </w:r>
      <w:r w:rsidRPr="000D32BD">
        <w:tab/>
        <w:t>vzhledem k tomu, že pokračující agrese Ruska vůči Ukrajině a její hospodářské důsledky vedly k inflačním tlakům, volatilitě na energetických trzích a finanční nejistotě;</w:t>
      </w:r>
    </w:p>
    <w:p w14:paraId="1C7B5F92" w14:textId="77777777" w:rsidR="00D238C3" w:rsidRPr="000D32BD" w:rsidRDefault="00D238C3" w:rsidP="00D238C3">
      <w:pPr>
        <w:pStyle w:val="NormalHanging"/>
      </w:pPr>
      <w:r w:rsidRPr="000D32BD">
        <w:t>D.</w:t>
      </w:r>
      <w:r w:rsidRPr="000D32BD">
        <w:tab/>
        <w:t>vzhledem k tomu, že zavedení cel přispívá k roztříštěnosti světového obchodu, narušení dodavatelských řetězců a představuje dodatečná rizika pro finanční trhy a širší ekonomiku;</w:t>
      </w:r>
    </w:p>
    <w:p w14:paraId="440E2F58" w14:textId="77777777" w:rsidR="00D238C3" w:rsidRPr="000D32BD" w:rsidRDefault="00D238C3" w:rsidP="00D238C3">
      <w:pPr>
        <w:pStyle w:val="NormalHanging"/>
      </w:pPr>
      <w:r w:rsidRPr="000D32BD">
        <w:lastRenderedPageBreak/>
        <w:t>E.</w:t>
      </w:r>
      <w:r w:rsidRPr="000D32BD">
        <w:tab/>
        <w:t>vzhledem k tomu, že dobře integrovaná unie kapitálových trhů (UKT) má zásadní význam pro tlumení otřesů, podporu investic v rámci EU a další integraci jednotného trhu;</w:t>
      </w:r>
    </w:p>
    <w:p w14:paraId="6F3B0B7F" w14:textId="77777777" w:rsidR="00D238C3" w:rsidRPr="000D32BD" w:rsidRDefault="00D238C3" w:rsidP="00D238C3">
      <w:pPr>
        <w:pStyle w:val="NormalHanging"/>
      </w:pPr>
      <w:r w:rsidRPr="000D32BD">
        <w:t>F.</w:t>
      </w:r>
      <w:r w:rsidRPr="000D32BD">
        <w:tab/>
        <w:t>vzhledem k tomu, že stabilita nebankovních finančních institucí bude ještě důležitější, pokud Evropská unie přesune větší část svého financování na kapitálové trhy;</w:t>
      </w:r>
    </w:p>
    <w:p w14:paraId="473500BF" w14:textId="77777777" w:rsidR="00D238C3" w:rsidRPr="000D32BD" w:rsidRDefault="00D238C3" w:rsidP="00D238C3">
      <w:pPr>
        <w:pStyle w:val="NormalHanging"/>
      </w:pPr>
      <w:r w:rsidRPr="000D32BD">
        <w:t>G.</w:t>
      </w:r>
      <w:r w:rsidRPr="000D32BD">
        <w:tab/>
        <w:t>vzhledem k tomu, že nebankovní finanční instituce působí v rámci různých odvětví;</w:t>
      </w:r>
    </w:p>
    <w:p w14:paraId="576A71BB" w14:textId="77777777" w:rsidR="00D238C3" w:rsidRPr="000D32BD" w:rsidRDefault="00D238C3" w:rsidP="00D238C3">
      <w:pPr>
        <w:pStyle w:val="NormalHanging"/>
      </w:pPr>
      <w:r w:rsidRPr="000D32BD">
        <w:t>H.</w:t>
      </w:r>
      <w:r w:rsidRPr="000D32BD">
        <w:tab/>
        <w:t xml:space="preserve">vzhledem k tomu, že zpožďující se hospodářský růst, zhoršený obchodním napětím, má nepříznivé dopady na zadlužené subjekty a </w:t>
      </w:r>
      <w:proofErr w:type="gramStart"/>
      <w:r w:rsidRPr="000D32BD">
        <w:t>zvýší</w:t>
      </w:r>
      <w:proofErr w:type="gramEnd"/>
      <w:r w:rsidRPr="000D32BD">
        <w:t xml:space="preserve"> úvěrové riziko pro finanční instituce;</w:t>
      </w:r>
    </w:p>
    <w:p w14:paraId="299A04AD" w14:textId="77777777" w:rsidR="00D238C3" w:rsidRPr="000D32BD" w:rsidRDefault="00D238C3" w:rsidP="00D238C3">
      <w:pPr>
        <w:pStyle w:val="NormalHanging"/>
      </w:pPr>
      <w:r w:rsidRPr="000D32BD">
        <w:t>I.</w:t>
      </w:r>
      <w:r w:rsidRPr="000D32BD">
        <w:tab/>
        <w:t>vzhledem k tomu, že vysoké ocenění aktiv na akciových trzích a trzích s podnikovými dluhopisy vyvolává obavy z možné korekce trhu se systémovými důsledky;</w:t>
      </w:r>
    </w:p>
    <w:p w14:paraId="14B23059" w14:textId="77777777" w:rsidR="00D238C3" w:rsidRPr="000D32BD" w:rsidRDefault="00D238C3" w:rsidP="00D238C3">
      <w:pPr>
        <w:pStyle w:val="NormalHanging"/>
      </w:pPr>
      <w:r w:rsidRPr="000D32BD">
        <w:t>J.</w:t>
      </w:r>
      <w:r w:rsidRPr="000D32BD">
        <w:tab/>
        <w:t xml:space="preserve">vzhledem k tomu, že sektor nemovitostí určených k bydlení, který </w:t>
      </w:r>
      <w:proofErr w:type="gramStart"/>
      <w:r w:rsidRPr="000D32BD">
        <w:t>těží</w:t>
      </w:r>
      <w:proofErr w:type="gramEnd"/>
      <w:r w:rsidRPr="000D32BD">
        <w:t xml:space="preserve"> z nízkých úrokových sazeb, hraje klíčovou úlohu ve finanční stabilitě vzhledem ke svému ústřednímu postavení v ekonomice, významnému podílu bohatství domácností soustředěnému v nemovitostech, klíčovému zapojení finančního sektoru do financování investic do nemovitostí a rozhodující funkci nemovitostí jako zajištění na úvěrových trzích;</w:t>
      </w:r>
    </w:p>
    <w:p w14:paraId="12F59576" w14:textId="77777777" w:rsidR="00D238C3" w:rsidRPr="000D32BD" w:rsidRDefault="00D238C3" w:rsidP="00D238C3">
      <w:pPr>
        <w:pStyle w:val="NormalHanging"/>
      </w:pPr>
      <w:r w:rsidRPr="000D32BD">
        <w:t>K.</w:t>
      </w:r>
      <w:r w:rsidRPr="000D32BD">
        <w:tab/>
        <w:t>vzhledem k tomu, že složitost a provázanost finančních sektorů nabyly na významu, přičemž nebankovní finanční instituce jsou největšími věřiteli bank a širší ekonomiky;</w:t>
      </w:r>
    </w:p>
    <w:p w14:paraId="72737C26" w14:textId="77777777" w:rsidR="00D238C3" w:rsidRPr="000D32BD" w:rsidRDefault="00D238C3" w:rsidP="00D238C3">
      <w:pPr>
        <w:pStyle w:val="NormalHanging"/>
      </w:pPr>
      <w:r w:rsidRPr="000D32BD">
        <w:t>L.</w:t>
      </w:r>
      <w:r w:rsidRPr="000D32BD">
        <w:tab/>
        <w:t>vzhledem k tomu, že vzrostl vliv nebankovních finančních institucí na strategických finančních trzích, jako jsou trhy se státními dluhopisy, jak ukázalo ukončení obchodů na bázi hotovost–futures ze strany hedgeových fondů na americkém trhu státních dluhopisů během krize celních sazeb v dubnu 2025;</w:t>
      </w:r>
    </w:p>
    <w:p w14:paraId="536EA50E" w14:textId="77777777" w:rsidR="00D238C3" w:rsidRPr="000D32BD" w:rsidRDefault="00D238C3" w:rsidP="00D238C3">
      <w:pPr>
        <w:pStyle w:val="NormalHanging"/>
      </w:pPr>
      <w:r w:rsidRPr="000D32BD">
        <w:t>M.</w:t>
      </w:r>
      <w:r w:rsidRPr="000D32BD">
        <w:tab/>
        <w:t>vzhledem k tomu, že cílené reformy by mohly zvýšit odolnost fondů peněžního trhu EU v souladu s mezinárodními normami;</w:t>
      </w:r>
    </w:p>
    <w:p w14:paraId="56BEEF9D" w14:textId="77777777" w:rsidR="00D238C3" w:rsidRPr="000D32BD" w:rsidRDefault="00D238C3" w:rsidP="00D238C3">
      <w:pPr>
        <w:pStyle w:val="NormalHanging"/>
      </w:pPr>
      <w:r w:rsidRPr="000D32BD">
        <w:t>N.</w:t>
      </w:r>
      <w:r w:rsidRPr="000D32BD">
        <w:tab/>
        <w:t>vzhledem k tomu, že finanční sektor zůstává zranitelný vůči kybernetickým hrozbám, taktikám hybridní války a skrytým pákovým efektům, které by mohly destabilizovat kritickou finanční infrastrukturu;</w:t>
      </w:r>
    </w:p>
    <w:p w14:paraId="75FB3897" w14:textId="77777777" w:rsidR="00D238C3" w:rsidRPr="000D32BD" w:rsidRDefault="00D238C3" w:rsidP="00D238C3">
      <w:pPr>
        <w:pStyle w:val="Normal12a"/>
      </w:pPr>
      <w:r w:rsidRPr="00145B18">
        <w:rPr>
          <w:b/>
          <w:bCs/>
          <w:i/>
        </w:rPr>
        <w:t>Bankovní unie a unie kapitálových trhů:</w:t>
      </w:r>
      <w:r w:rsidRPr="00F6198D">
        <w:rPr>
          <w:b/>
          <w:bCs/>
          <w:i/>
        </w:rPr>
        <w:t xml:space="preserve"> tlumení</w:t>
      </w:r>
      <w:r w:rsidRPr="000D32BD">
        <w:rPr>
          <w:b/>
          <w:i/>
        </w:rPr>
        <w:t xml:space="preserve"> otřesů a odolnost</w:t>
      </w:r>
    </w:p>
    <w:p w14:paraId="41B701E6" w14:textId="77777777" w:rsidR="00D238C3" w:rsidRPr="000D32BD" w:rsidRDefault="00D238C3" w:rsidP="00D238C3">
      <w:pPr>
        <w:pStyle w:val="NormalHanging12a"/>
      </w:pPr>
      <w:r w:rsidRPr="000D32BD">
        <w:t>1.</w:t>
      </w:r>
      <w:r w:rsidRPr="000D32BD">
        <w:tab/>
        <w:t xml:space="preserve">vítá obnovenou diskusi o potřebě zvýšit produktivitu a konkurenceschopnost EU, mimo jiné prostřednictvím lépe integrovaných kapitálových trhů a hospodářství efektivně využívajícího zdroje, jak je uvedeno ve zprávách </w:t>
      </w:r>
      <w:proofErr w:type="spellStart"/>
      <w:r w:rsidRPr="000D32BD">
        <w:t>Draghiho</w:t>
      </w:r>
      <w:proofErr w:type="spellEnd"/>
      <w:r w:rsidRPr="000D32BD">
        <w:t xml:space="preserve"> a </w:t>
      </w:r>
      <w:proofErr w:type="spellStart"/>
      <w:r w:rsidRPr="000D32BD">
        <w:t>Letty</w:t>
      </w:r>
      <w:proofErr w:type="spellEnd"/>
      <w:r w:rsidRPr="000D32BD">
        <w:t>;</w:t>
      </w:r>
    </w:p>
    <w:p w14:paraId="24D0B6F0" w14:textId="77777777" w:rsidR="00D238C3" w:rsidRPr="000D32BD" w:rsidRDefault="00D238C3" w:rsidP="00D238C3">
      <w:pPr>
        <w:pStyle w:val="NormalHanging12a"/>
      </w:pPr>
      <w:r w:rsidRPr="000D32BD">
        <w:t>2.</w:t>
      </w:r>
      <w:r w:rsidRPr="000D32BD">
        <w:tab/>
        <w:t xml:space="preserve">vyzývá Komisi, aby upřednostnila agendu unie kapitálových trhů, která </w:t>
      </w:r>
      <w:proofErr w:type="gramStart"/>
      <w:r w:rsidRPr="000D32BD">
        <w:t>podpoří</w:t>
      </w:r>
      <w:proofErr w:type="gramEnd"/>
      <w:r w:rsidRPr="000D32BD">
        <w:t xml:space="preserve"> konkurenceschopnost EU a zároveň neohrozí finanční stabilitu;</w:t>
      </w:r>
    </w:p>
    <w:p w14:paraId="7606DB9E" w14:textId="77777777" w:rsidR="00D238C3" w:rsidRPr="000D32BD" w:rsidRDefault="00D238C3" w:rsidP="00D238C3">
      <w:pPr>
        <w:pStyle w:val="NormalHanging12a"/>
      </w:pPr>
      <w:r w:rsidRPr="000D32BD">
        <w:t>3.</w:t>
      </w:r>
      <w:r w:rsidRPr="000D32BD">
        <w:tab/>
        <w:t>zdůrazňuje cíl unie kapitálových trhů efektivněji mobilizovat soukromý kapitál, aby se překlenul nedostatek investic v EU, a úlohu, kterou může hrát jako tlumič otřesů; zdůrazňuje, že plán činnosti unie kapitálových trhů by měl rovněž přispět k nápravě strukturální nerovnováhy ve finančním systému EU; vyjadřuje politování nad přetrvávajícím daňovým zvýhodněním dluhu oproti vlastnímu kapitálu;</w:t>
      </w:r>
    </w:p>
    <w:p w14:paraId="002432B7" w14:textId="77777777" w:rsidR="00D238C3" w:rsidRPr="000D32BD" w:rsidRDefault="00D238C3" w:rsidP="00D238C3">
      <w:pPr>
        <w:pStyle w:val="NormalHanging12a"/>
      </w:pPr>
      <w:r w:rsidRPr="000D32BD">
        <w:lastRenderedPageBreak/>
        <w:t>4.</w:t>
      </w:r>
      <w:r w:rsidRPr="000D32BD">
        <w:tab/>
        <w:t>uznává, že dokončení bankovní unie musí být strategickou prioritou při prohlubování hospodářské a měnové unie;</w:t>
      </w:r>
    </w:p>
    <w:p w14:paraId="07BA42C4" w14:textId="77777777" w:rsidR="00D238C3" w:rsidRPr="000D32BD" w:rsidRDefault="00D238C3" w:rsidP="00D238C3">
      <w:pPr>
        <w:pStyle w:val="NormalHanging12a"/>
      </w:pPr>
      <w:r w:rsidRPr="000D32BD">
        <w:t>5.</w:t>
      </w:r>
      <w:r w:rsidRPr="000D32BD">
        <w:tab/>
        <w:t>bere na vědomí výzvy vyplývající z integrovanějších finančních trhů, jestliže není uplatňován harmonizovaný dohled, včetně kompromisu mezi efektivním sdílením rizik a diverzifikací na jedné straně a riziky nákazy, přelévání a umocňování na straně druhé;</w:t>
      </w:r>
    </w:p>
    <w:p w14:paraId="0FA01A19" w14:textId="77777777" w:rsidR="00D238C3" w:rsidRPr="000D32BD" w:rsidRDefault="00D238C3" w:rsidP="00D238C3">
      <w:pPr>
        <w:pStyle w:val="NormalHanging12a"/>
      </w:pPr>
      <w:r w:rsidRPr="000D32BD">
        <w:t>6.</w:t>
      </w:r>
      <w:r w:rsidRPr="000D32BD">
        <w:tab/>
        <w:t>uznává kompromis, pokud jde o přeshraniční bankovní konsolidaci mezi zeměpisnou diverzifikací, přeshraničními finančními službami, úsporami z rozsahu a možným oslabením vazby mezi bankami a státy na jedné straně a problémem bank, jejichž velikost nedovoluje jejich selhání, možným oslabením menších finančních center a propojením s malými a středními podniky a místními ekonomikami na straně druhé;</w:t>
      </w:r>
    </w:p>
    <w:p w14:paraId="0C15D81D" w14:textId="77777777" w:rsidR="00D238C3" w:rsidRPr="000D32BD" w:rsidRDefault="00D238C3" w:rsidP="00D238C3">
      <w:pPr>
        <w:pStyle w:val="NormalHanging12a"/>
      </w:pPr>
      <w:r w:rsidRPr="000D32BD">
        <w:t>7.</w:t>
      </w:r>
      <w:r w:rsidRPr="000D32BD">
        <w:tab/>
        <w:t>konstatuje, že systémové riziko může vyplývat i z menších institucí, neboť mohou vykazovat vysoce korelované rozvahy;</w:t>
      </w:r>
    </w:p>
    <w:p w14:paraId="3D108D1D" w14:textId="77777777" w:rsidR="00D238C3" w:rsidRPr="000D32BD" w:rsidRDefault="00D238C3" w:rsidP="00D238C3">
      <w:pPr>
        <w:pStyle w:val="NormalHanging12a"/>
      </w:pPr>
      <w:r w:rsidRPr="000D32BD">
        <w:t>8.</w:t>
      </w:r>
      <w:r w:rsidRPr="000D32BD">
        <w:tab/>
        <w:t>zdůrazňuje význam přístupu ke kapitálu, zejména pro malé a střední podniky, jako je rizikový kapitál určený pro růstové společnosti, a zároveň zachování finanční stability a zajištění toho, aby růst a odolnost šly ruku v ruce;</w:t>
      </w:r>
    </w:p>
    <w:p w14:paraId="3F02790D" w14:textId="77777777" w:rsidR="00D238C3" w:rsidRPr="000D32BD" w:rsidRDefault="00D238C3" w:rsidP="00D238C3">
      <w:pPr>
        <w:pStyle w:val="Normal12a"/>
      </w:pPr>
      <w:proofErr w:type="spellStart"/>
      <w:r w:rsidRPr="000D32BD">
        <w:rPr>
          <w:b/>
          <w:i/>
        </w:rPr>
        <w:t>Makrofinanční</w:t>
      </w:r>
      <w:proofErr w:type="spellEnd"/>
      <w:r w:rsidRPr="000D32BD">
        <w:rPr>
          <w:b/>
          <w:i/>
        </w:rPr>
        <w:t xml:space="preserve"> rizika a geopolitická nestabilita</w:t>
      </w:r>
    </w:p>
    <w:p w14:paraId="5CEAABE8" w14:textId="77777777" w:rsidR="00D238C3" w:rsidRPr="000D32BD" w:rsidRDefault="00D238C3" w:rsidP="00D238C3">
      <w:pPr>
        <w:pStyle w:val="NormalHanging12a"/>
      </w:pPr>
      <w:r w:rsidRPr="000D32BD">
        <w:t>9.</w:t>
      </w:r>
      <w:r w:rsidRPr="000D32BD">
        <w:tab/>
        <w:t>zdůrazňuje hlavní cíl ECB, tj. udržení cenové stability, a klíčovou úlohu ESRB, evropských orgánů dohledu a centrálních bank při přispívání k finanční stabilitě v Unii;</w:t>
      </w:r>
    </w:p>
    <w:p w14:paraId="31D1C85C" w14:textId="77777777" w:rsidR="00D238C3" w:rsidRPr="000D32BD" w:rsidRDefault="00D238C3" w:rsidP="00D238C3">
      <w:pPr>
        <w:pStyle w:val="NormalHanging12a"/>
      </w:pPr>
      <w:r w:rsidRPr="000D32BD">
        <w:t>10.</w:t>
      </w:r>
      <w:r w:rsidRPr="000D32BD">
        <w:tab/>
        <w:t xml:space="preserve">připomíná, že </w:t>
      </w:r>
      <w:proofErr w:type="spellStart"/>
      <w:r w:rsidRPr="000D32BD">
        <w:t>Eurosystém</w:t>
      </w:r>
      <w:proofErr w:type="spellEnd"/>
      <w:r w:rsidRPr="000D32BD">
        <w:t xml:space="preserve"> byl vybudován na principu měnové dominance; požaduje zachování nezávislosti ECB jako faktoru podporujícího finanční stabilitu;</w:t>
      </w:r>
    </w:p>
    <w:p w14:paraId="58004C89" w14:textId="77777777" w:rsidR="00D238C3" w:rsidRPr="000D32BD" w:rsidRDefault="00D238C3" w:rsidP="00D238C3">
      <w:pPr>
        <w:pStyle w:val="NormalHanging12a"/>
      </w:pPr>
      <w:r w:rsidRPr="000D32BD">
        <w:t>11.</w:t>
      </w:r>
      <w:r w:rsidRPr="000D32BD">
        <w:tab/>
        <w:t>zdůrazňuje, že některá tržní opatření centrálních bank s sebou nesou riziko narušení trhu, které by mohlo ovlivnit finanční stabilitu;</w:t>
      </w:r>
    </w:p>
    <w:p w14:paraId="1E84F8D1" w14:textId="77777777" w:rsidR="00D238C3" w:rsidRPr="000D32BD" w:rsidRDefault="00D238C3" w:rsidP="00D238C3">
      <w:pPr>
        <w:pStyle w:val="NormalHanging12a"/>
      </w:pPr>
      <w:r w:rsidRPr="000D32BD">
        <w:t>12.</w:t>
      </w:r>
      <w:r w:rsidRPr="000D32BD">
        <w:tab/>
        <w:t>bere na vědomí vystavení Unie vnějším otřesům v důsledku silných propojení se zahraničními finančními trhy a subjekty, závislosti finančního sektoru EU na poskytovatelích služeb mimo EU a tlaku z rostoucího obchodního napětí uprostřed geopolitické nejistoty;</w:t>
      </w:r>
    </w:p>
    <w:p w14:paraId="6E4A239E" w14:textId="77777777" w:rsidR="00D238C3" w:rsidRPr="000D32BD" w:rsidRDefault="00D238C3" w:rsidP="00D238C3">
      <w:pPr>
        <w:pStyle w:val="NormalHanging12a"/>
      </w:pPr>
      <w:r w:rsidRPr="000D32BD">
        <w:t>13.</w:t>
      </w:r>
      <w:r w:rsidRPr="000D32BD">
        <w:tab/>
        <w:t>zdůrazňuje rizika vysokého státního dluhu a deficitů; připomíná, že v roce 2008 byly příčinou finanční krize a následné krize eurozóny obavy trhu ohledně udržitelnosti státního dluhu, tehdejší nedostatečný rámec bankovní regulace a šíření krize prostřednictvím propojených finančních systémů;</w:t>
      </w:r>
    </w:p>
    <w:p w14:paraId="2D455F5B" w14:textId="77777777" w:rsidR="00D238C3" w:rsidRPr="000D32BD" w:rsidRDefault="00D238C3" w:rsidP="00D238C3">
      <w:pPr>
        <w:pStyle w:val="NormalHanging12a"/>
      </w:pPr>
      <w:r w:rsidRPr="000D32BD">
        <w:t>14.</w:t>
      </w:r>
      <w:r w:rsidRPr="000D32BD">
        <w:tab/>
        <w:t>varuje před vedlejšími účinky na finanční sektor; v této souvislosti bere na vědomí výzvy ke zmírnění systémových zranitelností; zdůrazňuje však, že žádný budoucí vývoj by neměl oslabovat fiskální odpovědnost jednotlivých států;</w:t>
      </w:r>
    </w:p>
    <w:p w14:paraId="596802BE" w14:textId="77777777" w:rsidR="00D238C3" w:rsidRPr="000D32BD" w:rsidRDefault="00D238C3" w:rsidP="00D238C3">
      <w:pPr>
        <w:pStyle w:val="NormalHanging12a"/>
      </w:pPr>
      <w:r w:rsidRPr="000D32BD">
        <w:t>15.</w:t>
      </w:r>
      <w:r w:rsidRPr="000D32BD">
        <w:tab/>
        <w:t>vyzývá Komisi, aby prosazovala dodržování rámce EU pro správu ekonomických záležitostí a sbližování s fiskálními pravidly Paktu o stabilitě a růstu s cílem zajistit zdravé a udržitelné veřejné finance;</w:t>
      </w:r>
    </w:p>
    <w:p w14:paraId="063E2751" w14:textId="77777777" w:rsidR="00D238C3" w:rsidRPr="000D32BD" w:rsidRDefault="00D238C3" w:rsidP="00D238C3">
      <w:pPr>
        <w:pStyle w:val="NormalHanging12a"/>
      </w:pPr>
      <w:r w:rsidRPr="000D32BD">
        <w:t>16.</w:t>
      </w:r>
      <w:r w:rsidRPr="000D32BD">
        <w:tab/>
        <w:t xml:space="preserve">uznává, že strukturální reformy zaměřené na posílení finanční a institucionální architektury eurozóny a snížení roztříštěnosti trhu by mohly posílit mezinárodní úlohu </w:t>
      </w:r>
      <w:r w:rsidRPr="000D32BD">
        <w:lastRenderedPageBreak/>
        <w:t>eura a potenciálně zvýšit finanční a měnovou stabilitu; bere na vědomí probíhající diskuse o digitálním euru;</w:t>
      </w:r>
    </w:p>
    <w:p w14:paraId="1976FE4F" w14:textId="77777777" w:rsidR="00D238C3" w:rsidRPr="000D32BD" w:rsidRDefault="00D238C3" w:rsidP="00D238C3">
      <w:pPr>
        <w:pStyle w:val="NormalHanging12a"/>
      </w:pPr>
      <w:r w:rsidRPr="000D32BD">
        <w:t>17.</w:t>
      </w:r>
      <w:r w:rsidRPr="000D32BD">
        <w:tab/>
        <w:t>zdůrazňuje potenciální nestabilitu vyplývající z vysoce zadlužených finančních institucí, ale uznává, že tyto instituce mohou v ekonomice převzít úlohy, jako je zajišťování, zlepšování likvidity trhu, určování cen nebo sdílení rizik;</w:t>
      </w:r>
    </w:p>
    <w:p w14:paraId="0506D2CD" w14:textId="77777777" w:rsidR="00D238C3" w:rsidRPr="000D32BD" w:rsidRDefault="00D238C3" w:rsidP="00D238C3">
      <w:pPr>
        <w:pStyle w:val="NormalHanging12a"/>
      </w:pPr>
      <w:r w:rsidRPr="000D32BD">
        <w:t>18.</w:t>
      </w:r>
      <w:r w:rsidRPr="000D32BD">
        <w:tab/>
        <w:t xml:space="preserve">zdůrazňuje význam koordinace mezi orgány </w:t>
      </w:r>
      <w:proofErr w:type="spellStart"/>
      <w:r w:rsidRPr="000D32BD">
        <w:t>makroobezřetnostního</w:t>
      </w:r>
      <w:proofErr w:type="spellEnd"/>
      <w:r w:rsidRPr="000D32BD">
        <w:t xml:space="preserve"> dohledu prostřednictvím analýzy systémových rizik a dohledu a sladění s </w:t>
      </w:r>
      <w:proofErr w:type="spellStart"/>
      <w:r w:rsidRPr="000D32BD">
        <w:t>mikroobezřetnostním</w:t>
      </w:r>
      <w:proofErr w:type="spellEnd"/>
      <w:r w:rsidRPr="000D32BD">
        <w:t xml:space="preserve"> dohledem, aby byla zajištěna kompatibilita;</w:t>
      </w:r>
    </w:p>
    <w:p w14:paraId="71D1BB7E" w14:textId="77777777" w:rsidR="00D238C3" w:rsidRPr="000D32BD" w:rsidRDefault="00D238C3" w:rsidP="00D238C3">
      <w:pPr>
        <w:pStyle w:val="NormalHanging12a"/>
      </w:pPr>
      <w:r w:rsidRPr="000D32BD">
        <w:t>19.</w:t>
      </w:r>
      <w:r w:rsidRPr="000D32BD">
        <w:tab/>
        <w:t>bere na vědomí potenciální rizika pro finanční stabilitu vyplývající z častějších projevů fyzických rizik klimatických a přírodních katastrof a rizik transformace souvisejících s klimatem;</w:t>
      </w:r>
    </w:p>
    <w:p w14:paraId="1612B362" w14:textId="77777777" w:rsidR="00D238C3" w:rsidRPr="00145B18" w:rsidRDefault="00D238C3" w:rsidP="00D238C3">
      <w:pPr>
        <w:pStyle w:val="Normal12a"/>
        <w:rPr>
          <w:b/>
          <w:bCs/>
          <w:i/>
          <w:iCs/>
        </w:rPr>
      </w:pPr>
      <w:r w:rsidRPr="00145B18">
        <w:rPr>
          <w:b/>
          <w:bCs/>
          <w:i/>
          <w:iCs/>
        </w:rPr>
        <w:t>Napětí v bankovním sektoru a dohled nad nebankovními finančními institucemi</w:t>
      </w:r>
    </w:p>
    <w:p w14:paraId="66786B93" w14:textId="77777777" w:rsidR="00D238C3" w:rsidRPr="000D32BD" w:rsidRDefault="00D238C3" w:rsidP="00D238C3">
      <w:pPr>
        <w:pStyle w:val="NormalHanging12a"/>
      </w:pPr>
      <w:r w:rsidRPr="000D32BD">
        <w:t>20.</w:t>
      </w:r>
      <w:r w:rsidRPr="000D32BD">
        <w:tab/>
        <w:t xml:space="preserve">zdůrazňuje, že je třeba zajistit provádění rámce </w:t>
      </w:r>
      <w:proofErr w:type="spellStart"/>
      <w:r w:rsidRPr="000D32BD">
        <w:t>Basel</w:t>
      </w:r>
      <w:proofErr w:type="spellEnd"/>
      <w:r w:rsidRPr="000D32BD">
        <w:t xml:space="preserve"> III, aby se zvýšila odolnost a globální konkurenceschopnost bank v EU; konstatuje přetrvávající nejasnosti ohledně provádění norem </w:t>
      </w:r>
      <w:proofErr w:type="spellStart"/>
      <w:r w:rsidRPr="000D32BD">
        <w:t>Basel</w:t>
      </w:r>
      <w:proofErr w:type="spellEnd"/>
      <w:r w:rsidRPr="000D32BD">
        <w:t xml:space="preserve"> III v některých významných jurisdikcích zemí mimo EU a potřebu, aby bankovní systém Unie zůstal v mezinárodním kontextu konkurenceschopný; zdůrazňuje, že je důležité zachovat integritu basilejského rámce, a podtrhuje, že samotná finanční stabilita může být považována za konkurenční výhodu;</w:t>
      </w:r>
    </w:p>
    <w:p w14:paraId="34C3D05A" w14:textId="77777777" w:rsidR="00D238C3" w:rsidRPr="000D32BD" w:rsidRDefault="00D238C3" w:rsidP="00D238C3">
      <w:pPr>
        <w:pStyle w:val="NormalHanging12a"/>
      </w:pPr>
      <w:r w:rsidRPr="000D32BD">
        <w:t>21.</w:t>
      </w:r>
      <w:r w:rsidRPr="000D32BD">
        <w:tab/>
        <w:t xml:space="preserve">zdůrazňuje, že je důležité zachovat stabilní </w:t>
      </w:r>
      <w:proofErr w:type="spellStart"/>
      <w:r w:rsidRPr="000D32BD">
        <w:t>makroobezřetnostní</w:t>
      </w:r>
      <w:proofErr w:type="spellEnd"/>
      <w:r w:rsidRPr="000D32BD">
        <w:t xml:space="preserve"> rámec a zároveň zajistit zjednodušení, právní vyjasnění a snížení zátěže, zejména pro menší subjekty; zdůrazňuje, že při navrhování a uplatňování </w:t>
      </w:r>
      <w:proofErr w:type="spellStart"/>
      <w:r w:rsidRPr="000D32BD">
        <w:t>makroobezřetnostních</w:t>
      </w:r>
      <w:proofErr w:type="spellEnd"/>
      <w:r w:rsidRPr="000D32BD">
        <w:t xml:space="preserve"> rezerv existuje prostor pro zjednodušení a harmonizaci; vyzývá Komisi a orgány dohledu, aby podle možnosti systematicky uplatňovaly zásady proporcionality, nákladové efektivnosti a digitálního zjednodušení, aniž by byla ohrožena finanční stabilita;</w:t>
      </w:r>
    </w:p>
    <w:p w14:paraId="571CE064" w14:textId="77777777" w:rsidR="00D238C3" w:rsidRPr="000D32BD" w:rsidRDefault="00D238C3" w:rsidP="00D238C3">
      <w:pPr>
        <w:pStyle w:val="NormalHanging12a"/>
      </w:pPr>
      <w:r w:rsidRPr="000D32BD">
        <w:t>22.</w:t>
      </w:r>
      <w:r w:rsidRPr="000D32BD">
        <w:tab/>
        <w:t xml:space="preserve">zdůrazňuje, že by mělo být zváženo zjednodušení reforem provedených po finanční krizi v roce 2008, pokud budou existovat jasné a opodstatněné přínosy pro reálnou ekonomiku a pokud nebudou existovat žádná rizika pro finanční stabilitu; bere na vědomí diskusi o </w:t>
      </w:r>
      <w:proofErr w:type="spellStart"/>
      <w:r w:rsidRPr="000D32BD">
        <w:t>sekuritizačním</w:t>
      </w:r>
      <w:proofErr w:type="spellEnd"/>
      <w:r w:rsidRPr="000D32BD">
        <w:t xml:space="preserve"> balíčku;</w:t>
      </w:r>
    </w:p>
    <w:p w14:paraId="09D9320D" w14:textId="77777777" w:rsidR="00D238C3" w:rsidRPr="000D32BD" w:rsidRDefault="00D238C3" w:rsidP="00D238C3">
      <w:pPr>
        <w:pStyle w:val="NormalHanging12a"/>
      </w:pPr>
      <w:r w:rsidRPr="000D32BD">
        <w:t>23.</w:t>
      </w:r>
      <w:r w:rsidRPr="000D32BD">
        <w:tab/>
        <w:t>bere na vědomí analýzu ECB týkající se přetrvávající zranitelnosti trhů s komerčními nemovitostmi, kterou umocňují rostoucí úrokové sazby a expozice nebankovních finančních institucí, které si zasluhují pečlivé sledování; vyzývá v této souvislosti ESRB, aby pečlivě sledovala úlohu nebankovních finančních institucí působících na trzích s nemovitostmi a vydala příslušná doporučení; kromě toho je si vědom vysoké míry zadluženosti domácností;</w:t>
      </w:r>
    </w:p>
    <w:p w14:paraId="6C61C867" w14:textId="77777777" w:rsidR="00D238C3" w:rsidRPr="000D32BD" w:rsidRDefault="00D238C3" w:rsidP="00D238C3">
      <w:pPr>
        <w:pStyle w:val="NormalHanging12a"/>
      </w:pPr>
      <w:r w:rsidRPr="000D32BD">
        <w:t>24.</w:t>
      </w:r>
      <w:r w:rsidRPr="000D32BD">
        <w:tab/>
        <w:t>naléhavě vyzývá ECB, aby v rámci pravidelného procesu přezkumu a hodnocení orgány dohledu v kontextu strategické autonomie posoudila expozice finančních institucí vůči geopolitickým rizikům, včetně nepřímých dopadů sankcí, cel a hospodářské roztříštěnosti;</w:t>
      </w:r>
    </w:p>
    <w:p w14:paraId="7E5213A5" w14:textId="77777777" w:rsidR="00D238C3" w:rsidRPr="000D32BD" w:rsidRDefault="00D238C3" w:rsidP="00D238C3">
      <w:pPr>
        <w:pStyle w:val="NormalHanging12a"/>
      </w:pPr>
      <w:r w:rsidRPr="000D32BD">
        <w:t>25.</w:t>
      </w:r>
      <w:r w:rsidRPr="000D32BD">
        <w:tab/>
        <w:t>uznává rostoucí systémový význam nebankovních finančních institucí, na které připadá více než 40 % aktiv finančního sektoru EU; domnívá se, že tyto subjekty mohou přispívat k rizikům pro finanční stabilitu, pokud nebudou dostatečně regulovány;</w:t>
      </w:r>
    </w:p>
    <w:p w14:paraId="2DC8A770" w14:textId="77777777" w:rsidR="00D238C3" w:rsidRPr="000D32BD" w:rsidRDefault="00D238C3" w:rsidP="00D238C3">
      <w:pPr>
        <w:pStyle w:val="NormalHanging12a"/>
      </w:pPr>
      <w:r w:rsidRPr="000D32BD">
        <w:lastRenderedPageBreak/>
        <w:t>26.</w:t>
      </w:r>
      <w:r w:rsidRPr="000D32BD">
        <w:tab/>
        <w:t>bere na vědomí rozmanitost obchodních modelů nebankovních finančních institucí a jejich důležitou úlohu při financování; zdůrazňuje, že v mnoha odvětvích již existuje evropská odvětvová regulace, například pro zajišťovací fondy (směrnice o správcích alternativních investičních fondů</w:t>
      </w:r>
      <w:r w:rsidRPr="000D32BD">
        <w:rPr>
          <w:rStyle w:val="FootnoteReference"/>
        </w:rPr>
        <w:footnoteReference w:customMarkFollows="1" w:id="2"/>
        <w:t>2</w:t>
      </w:r>
      <w:r w:rsidRPr="000D32BD">
        <w:t>), fondy peněžního trhu (nařízení o fondech peněžního trhu</w:t>
      </w:r>
      <w:r w:rsidRPr="000D32BD">
        <w:rPr>
          <w:rStyle w:val="FootnoteReference"/>
        </w:rPr>
        <w:footnoteReference w:customMarkFollows="1" w:id="3"/>
        <w:t>3</w:t>
      </w:r>
      <w:r w:rsidRPr="000D32BD">
        <w:t>), pojišťovny (Solventnost II), investiční podniky (směrnice</w:t>
      </w:r>
      <w:r w:rsidRPr="000D32BD">
        <w:rPr>
          <w:rStyle w:val="FootnoteReference"/>
        </w:rPr>
        <w:footnoteReference w:customMarkFollows="1" w:id="4"/>
        <w:t>4</w:t>
      </w:r>
      <w:r w:rsidRPr="000D32BD">
        <w:t xml:space="preserve"> a nařízení</w:t>
      </w:r>
      <w:r w:rsidRPr="000D32BD">
        <w:rPr>
          <w:rStyle w:val="FootnoteReference"/>
        </w:rPr>
        <w:footnoteReference w:customMarkFollows="1" w:id="5"/>
        <w:t>5</w:t>
      </w:r>
      <w:r w:rsidRPr="000D32BD">
        <w:t xml:space="preserve"> o investičních podnicích) nebo penzijní fondy (směrnice o institucích zaměstnaneckého penzijního pojištění</w:t>
      </w:r>
      <w:r w:rsidRPr="000D32BD">
        <w:rPr>
          <w:rStyle w:val="FootnoteReference"/>
        </w:rPr>
        <w:footnoteReference w:customMarkFollows="1" w:id="6"/>
        <w:t>6</w:t>
      </w:r>
      <w:r w:rsidRPr="000D32BD">
        <w:t>); konstatuje však, že stávající rámec se zaměřuje především na ochranu investorů a integritu trhu, a nikoli na snižování systémových rizik</w:t>
      </w:r>
      <w:r w:rsidRPr="000D32BD">
        <w:rPr>
          <w:rStyle w:val="FootnoteReference"/>
        </w:rPr>
        <w:footnoteReference w:customMarkFollows="1" w:id="7"/>
        <w:t>7</w:t>
      </w:r>
      <w:r w:rsidRPr="000D32BD">
        <w:t>; vyzývá k důkladnému přezkumu nedostatků v regulaci týkajících se nebankovních finančních institucí, a to i v méně regulovaných oblastech, jako jsou rodinné kanceláře a společnosti pro financování dodavatelského řetězce;</w:t>
      </w:r>
    </w:p>
    <w:p w14:paraId="05CC4F54" w14:textId="77777777" w:rsidR="00D238C3" w:rsidRPr="000D32BD" w:rsidRDefault="00D238C3" w:rsidP="00D238C3">
      <w:pPr>
        <w:pStyle w:val="NormalHanging12a"/>
      </w:pPr>
      <w:r w:rsidRPr="000D32BD">
        <w:t>27.</w:t>
      </w:r>
      <w:r w:rsidRPr="000D32BD">
        <w:tab/>
        <w:t>bere na vědomí zprávu Komise z roku 2023 o fungování fondů peněžního trhu a nedávné změny rámce pro fondy peněžního trhu; vyzývá Komisi, aby předložila reformu nařízení o fondech peněžního trhu</w:t>
      </w:r>
      <w:r w:rsidRPr="000D32BD">
        <w:rPr>
          <w:rStyle w:val="FootnoteReference"/>
        </w:rPr>
        <w:footnoteReference w:customMarkFollows="1" w:id="8"/>
        <w:t>8</w:t>
      </w:r>
      <w:r w:rsidRPr="000D32BD">
        <w:t xml:space="preserve"> v souladu s mezinárodními normami, regulačním pokrokem dosaženým v jiných jurisdikcích a doporučeními ESRB a ESMA;</w:t>
      </w:r>
    </w:p>
    <w:p w14:paraId="0A0C029D" w14:textId="77777777" w:rsidR="00D238C3" w:rsidRPr="00145B18" w:rsidRDefault="00D238C3" w:rsidP="00D238C3">
      <w:pPr>
        <w:pStyle w:val="Normal12a"/>
        <w:rPr>
          <w:b/>
          <w:bCs/>
          <w:i/>
          <w:iCs/>
        </w:rPr>
      </w:pPr>
      <w:r w:rsidRPr="00145B18">
        <w:rPr>
          <w:b/>
          <w:bCs/>
          <w:i/>
          <w:iCs/>
        </w:rPr>
        <w:t xml:space="preserve">Likvidita, </w:t>
      </w:r>
      <w:proofErr w:type="spellStart"/>
      <w:r w:rsidRPr="00145B18">
        <w:rPr>
          <w:b/>
          <w:bCs/>
          <w:i/>
          <w:iCs/>
        </w:rPr>
        <w:t>dozajištění</w:t>
      </w:r>
      <w:proofErr w:type="spellEnd"/>
      <w:r w:rsidRPr="00145B18">
        <w:rPr>
          <w:b/>
          <w:bCs/>
          <w:i/>
          <w:iCs/>
        </w:rPr>
        <w:t xml:space="preserve"> a digitální rizika</w:t>
      </w:r>
    </w:p>
    <w:p w14:paraId="09CD0440" w14:textId="77777777" w:rsidR="00D238C3" w:rsidRPr="000D32BD" w:rsidRDefault="00D238C3" w:rsidP="00D238C3">
      <w:pPr>
        <w:pStyle w:val="NormalHanging12a"/>
      </w:pPr>
      <w:r w:rsidRPr="000D32BD">
        <w:t>28.</w:t>
      </w:r>
      <w:r w:rsidRPr="000D32BD">
        <w:tab/>
        <w:t xml:space="preserve">zdůrazňuje skutečnost, že </w:t>
      </w:r>
      <w:proofErr w:type="spellStart"/>
      <w:r w:rsidRPr="000D32BD">
        <w:t>procyklické</w:t>
      </w:r>
      <w:proofErr w:type="spellEnd"/>
      <w:r w:rsidRPr="000D32BD">
        <w:t xml:space="preserve"> výzvy k dodatkové úhradě marže během krizí, jako byla krize COVID-19 a energetická krize v roce 2022, způsobily značné napětí v oblasti likvidity; poukazuje v této souvislosti na důležitost připravenosti na likviditu a obecně na důležitost pákového efektu a kapitálových rezerv;</w:t>
      </w:r>
    </w:p>
    <w:p w14:paraId="1928BC1B" w14:textId="77777777" w:rsidR="00D238C3" w:rsidRPr="000D32BD" w:rsidRDefault="00D238C3" w:rsidP="00D238C3">
      <w:pPr>
        <w:pStyle w:val="NormalHanging12a"/>
      </w:pPr>
      <w:r w:rsidRPr="000D32BD">
        <w:t>29.</w:t>
      </w:r>
      <w:r w:rsidRPr="000D32BD">
        <w:tab/>
        <w:t>vyzývá k vytvoření nástrojů, které by lépe zachytily rozsah a rychlost odlivu likvidity v důsledku výzev k dodatkové úhradě během systémových událostí, zejména v případě veřejných energetických služeb a nebankovních finančních institucí;</w:t>
      </w:r>
    </w:p>
    <w:p w14:paraId="4AC51BC5" w14:textId="77777777" w:rsidR="00D238C3" w:rsidRPr="000D32BD" w:rsidRDefault="00D238C3" w:rsidP="00D238C3">
      <w:pPr>
        <w:pStyle w:val="NormalHanging12a"/>
      </w:pPr>
      <w:r w:rsidRPr="000D32BD">
        <w:lastRenderedPageBreak/>
        <w:t>30.</w:t>
      </w:r>
      <w:r w:rsidRPr="000D32BD">
        <w:tab/>
        <w:t>zdůrazňuje potřebu odolné clearingové infrastruktury, spolehlivých rámců pro zajištění a koordinovaného dohledu nad ústředními protistranami; bere na vědomí rozhodnutí Komise rozšířit režim rovnocennosti na ústřední protistrany se sídlem ve Spojeném království a bere na vědomí přetrvávající obavy týkající se evropské závislosti na ústředních protistranách ze zemí mimo EU;</w:t>
      </w:r>
    </w:p>
    <w:p w14:paraId="06C724BE" w14:textId="77777777" w:rsidR="00D238C3" w:rsidRPr="000D32BD" w:rsidRDefault="00D238C3" w:rsidP="00D238C3">
      <w:pPr>
        <w:pStyle w:val="NormalHanging12a"/>
      </w:pPr>
      <w:r w:rsidRPr="000D32BD">
        <w:t>31.</w:t>
      </w:r>
      <w:r w:rsidRPr="000D32BD">
        <w:tab/>
        <w:t xml:space="preserve">podporuje větší transparentnost a </w:t>
      </w:r>
      <w:proofErr w:type="spellStart"/>
      <w:r w:rsidRPr="000D32BD">
        <w:t>makroobezřetnostní</w:t>
      </w:r>
      <w:proofErr w:type="spellEnd"/>
      <w:r w:rsidRPr="000D32BD">
        <w:t xml:space="preserve"> dohled nad postupy </w:t>
      </w:r>
      <w:proofErr w:type="spellStart"/>
      <w:r w:rsidRPr="000D32BD">
        <w:t>dozajištění</w:t>
      </w:r>
      <w:proofErr w:type="spellEnd"/>
      <w:r w:rsidRPr="000D32BD">
        <w:t>, včetně zátěžového testování a analýzy scénářů, které by vycházely z nedávné práce Rady pro finanční stabilitu o připravenosti likvidity na výzvy k dodatkové úhradě marží a na výzvy k zajištění;</w:t>
      </w:r>
    </w:p>
    <w:p w14:paraId="20D94E23" w14:textId="77777777" w:rsidR="00D238C3" w:rsidRPr="000D32BD" w:rsidRDefault="00D238C3" w:rsidP="00D238C3">
      <w:pPr>
        <w:pStyle w:val="NormalHanging12a"/>
      </w:pPr>
      <w:r w:rsidRPr="000D32BD">
        <w:t>32.</w:t>
      </w:r>
      <w:r w:rsidRPr="000D32BD">
        <w:tab/>
        <w:t xml:space="preserve">vyjadřuje znepokojení nad rostoucím propojením mezi trhy s </w:t>
      </w:r>
      <w:proofErr w:type="spellStart"/>
      <w:r w:rsidRPr="000D32BD">
        <w:t>kryptoaktivy</w:t>
      </w:r>
      <w:proofErr w:type="spellEnd"/>
      <w:r w:rsidRPr="000D32BD">
        <w:t xml:space="preserve"> a decentralizovanými finančními trhy a tradičním finančním systémem; podporuje Radu pro finanční stabilitu, normotvorné orgány a ESRB v jejich úsilí o zavedení regulačního rámce a harmonizaci jeho klasifikace;</w:t>
      </w:r>
    </w:p>
    <w:p w14:paraId="4B9768A2" w14:textId="77777777" w:rsidR="00D238C3" w:rsidRPr="000D32BD" w:rsidRDefault="00D238C3" w:rsidP="00D238C3">
      <w:pPr>
        <w:pStyle w:val="NormalHanging12a"/>
      </w:pPr>
      <w:r w:rsidRPr="000D32BD">
        <w:t>33.</w:t>
      </w:r>
      <w:r w:rsidRPr="000D32BD">
        <w:tab/>
        <w:t xml:space="preserve">bere na vědomí analýzu Rady pro finanční stabilitu, podle níž se rizika trhů s </w:t>
      </w:r>
      <w:proofErr w:type="spellStart"/>
      <w:r w:rsidRPr="000D32BD">
        <w:t>kryptoaktivy</w:t>
      </w:r>
      <w:proofErr w:type="spellEnd"/>
      <w:r w:rsidRPr="000D32BD">
        <w:t xml:space="preserve"> pro finanční stabilitu prozatím jeví jako omezená</w:t>
      </w:r>
      <w:r w:rsidRPr="000D32BD">
        <w:rPr>
          <w:rStyle w:val="FootnoteReference"/>
        </w:rPr>
        <w:footnoteReference w:customMarkFollows="1" w:id="9"/>
        <w:t>9</w:t>
      </w:r>
      <w:r w:rsidRPr="000D32BD">
        <w:t xml:space="preserve">; upozorňuje však na potenciální systémový význam vývoje na trzích s </w:t>
      </w:r>
      <w:proofErr w:type="spellStart"/>
      <w:r w:rsidRPr="000D32BD">
        <w:t>kryptoaktivy</w:t>
      </w:r>
      <w:proofErr w:type="spellEnd"/>
      <w:r w:rsidRPr="000D32BD">
        <w:t xml:space="preserve">; bere na vědomí převážně spekulativní povahu </w:t>
      </w:r>
      <w:proofErr w:type="spellStart"/>
      <w:r w:rsidRPr="000D32BD">
        <w:t>kryptoaktiv</w:t>
      </w:r>
      <w:proofErr w:type="spellEnd"/>
      <w:r w:rsidRPr="000D32BD">
        <w:t xml:space="preserve"> a jejich důležitou úlohu v nezákonných transakcích; naléhavě vyzývá Komisi a ESRB, aby pozorně sledovaly vývoj v této oblasti;</w:t>
      </w:r>
    </w:p>
    <w:p w14:paraId="0A95F97A" w14:textId="77777777" w:rsidR="00D238C3" w:rsidRPr="000D32BD" w:rsidRDefault="00D238C3" w:rsidP="00D238C3">
      <w:pPr>
        <w:pStyle w:val="NormalHanging12a"/>
      </w:pPr>
      <w:r w:rsidRPr="000D32BD">
        <w:t>34.</w:t>
      </w:r>
      <w:r w:rsidRPr="000D32BD">
        <w:tab/>
        <w:t xml:space="preserve">s potěšením bere na vědomí skutečnost, že Evropská unie zavedla obezřetnostní rámec pro </w:t>
      </w:r>
      <w:proofErr w:type="spellStart"/>
      <w:r w:rsidRPr="000D32BD">
        <w:t>kryptoaktiva</w:t>
      </w:r>
      <w:proofErr w:type="spellEnd"/>
      <w:r w:rsidRPr="000D32BD">
        <w:t xml:space="preserve"> (</w:t>
      </w:r>
      <w:proofErr w:type="spellStart"/>
      <w:r w:rsidRPr="000D32BD">
        <w:t>MiCAR</w:t>
      </w:r>
      <w:proofErr w:type="spellEnd"/>
      <w:r w:rsidRPr="000D32BD">
        <w:t>); zdůrazňuje význam včasného a důsledného provádění a vyzývá Komisi, aby sledovala zbývající mezery v právních předpisech;</w:t>
      </w:r>
    </w:p>
    <w:p w14:paraId="36908301" w14:textId="77777777" w:rsidR="00D238C3" w:rsidRPr="000D32BD" w:rsidRDefault="00D238C3" w:rsidP="00D238C3">
      <w:pPr>
        <w:pStyle w:val="NormalHanging12a"/>
      </w:pPr>
      <w:r w:rsidRPr="000D32BD">
        <w:t>35.</w:t>
      </w:r>
      <w:r w:rsidRPr="000D32BD">
        <w:tab/>
        <w:t xml:space="preserve">upozorňuje na rychlý růst trhu se </w:t>
      </w:r>
      <w:proofErr w:type="spellStart"/>
      <w:r w:rsidRPr="000D32BD">
        <w:t>stablecoiny</w:t>
      </w:r>
      <w:proofErr w:type="spellEnd"/>
      <w:r w:rsidRPr="000D32BD">
        <w:t xml:space="preserve">, který je dosud z velké části omezen na ekosystém kryptoměn; konstatuje, že regulační prostředí týkající se </w:t>
      </w:r>
      <w:proofErr w:type="spellStart"/>
      <w:r w:rsidRPr="000D32BD">
        <w:t>stablecoinů</w:t>
      </w:r>
      <w:proofErr w:type="spellEnd"/>
      <w:r w:rsidRPr="000D32BD">
        <w:t xml:space="preserve"> ve významných jurisdikcích zemí mimo EU se rychle mění; naléhavě vyzývá Komisi, aby posoudila, zda existují potenciální cesty šíření nákazy, jako například v případě vícenásobných emisí;</w:t>
      </w:r>
    </w:p>
    <w:p w14:paraId="60FE945A" w14:textId="77777777" w:rsidR="00D238C3" w:rsidRPr="000D32BD" w:rsidRDefault="00D238C3" w:rsidP="00D238C3">
      <w:pPr>
        <w:pStyle w:val="NormalHanging12a"/>
      </w:pPr>
      <w:r w:rsidRPr="000D32BD">
        <w:t>36.</w:t>
      </w:r>
      <w:r w:rsidRPr="000D32BD">
        <w:tab/>
        <w:t>zdůrazňuje, že Unie přijala opatření k posílení digitální odolnosti finančních subjektů, zejména prostřednictvím nařízení o digitální provozní odolnosti</w:t>
      </w:r>
      <w:r w:rsidRPr="000D32BD">
        <w:rPr>
          <w:rStyle w:val="FootnoteReference"/>
        </w:rPr>
        <w:footnoteReference w:customMarkFollows="1" w:id="10"/>
        <w:t>10</w:t>
      </w:r>
      <w:r w:rsidRPr="000D32BD">
        <w:t>; podporuje inovace v oblasti digitálních financí a rozsáhlé investice do kybernetické odolnosti s cílem chránit finanční infrastrukturu před vnějšími hrozbami; vyzývá Komisi a ECB, aby zmapovaly a řešily závislost evropského finančního systému na poskytovatelích digitálních služeb ze zemí mimo EU, kritická místa a riziko hybridních útoků;</w:t>
      </w:r>
    </w:p>
    <w:p w14:paraId="218E3C7B" w14:textId="77777777" w:rsidR="00D238C3" w:rsidRPr="000D32BD" w:rsidRDefault="00D238C3" w:rsidP="00D238C3">
      <w:pPr>
        <w:pStyle w:val="NormalHanging12a"/>
      </w:pPr>
      <w:r w:rsidRPr="000D32BD">
        <w:t>37.</w:t>
      </w:r>
      <w:r w:rsidRPr="000D32BD">
        <w:tab/>
        <w:t>zdůrazňuje, že zlepšení finanční gramotnosti může přispět k odolnosti jednotlivců, stabilnějším finančním trhům a větší účasti v unii kapitálových trhů;</w:t>
      </w:r>
    </w:p>
    <w:p w14:paraId="68B2F0DB" w14:textId="77777777" w:rsidR="00D238C3" w:rsidRPr="000D32BD" w:rsidRDefault="00D238C3" w:rsidP="00D238C3">
      <w:pPr>
        <w:pStyle w:val="NormalHanging12a"/>
      </w:pPr>
      <w:r w:rsidRPr="000D32BD">
        <w:t>38.</w:t>
      </w:r>
      <w:r w:rsidRPr="000D32BD">
        <w:tab/>
        <w:t>konstatuje, že zachování přiměřené a spolehlivé logistiky a infrastruktury pro dostupnost hotovosti zůstává základním prvkem finanční stability a důvěry veřejnosti;</w:t>
      </w:r>
    </w:p>
    <w:p w14:paraId="33CEE7E9" w14:textId="77777777" w:rsidR="00D238C3" w:rsidRPr="00145B18" w:rsidRDefault="00D238C3" w:rsidP="00D238C3">
      <w:pPr>
        <w:pStyle w:val="Normal12a"/>
        <w:rPr>
          <w:b/>
          <w:bCs/>
        </w:rPr>
      </w:pPr>
      <w:r w:rsidRPr="00145B18">
        <w:rPr>
          <w:b/>
          <w:bCs/>
          <w:i/>
        </w:rPr>
        <w:lastRenderedPageBreak/>
        <w:t>Posílení soudržnosti dohledu, datových kapacit a připravenosti na krize</w:t>
      </w:r>
    </w:p>
    <w:p w14:paraId="23A3B422" w14:textId="77777777" w:rsidR="00D238C3" w:rsidRPr="000D32BD" w:rsidRDefault="00D238C3" w:rsidP="00D238C3">
      <w:pPr>
        <w:pStyle w:val="NormalHanging12a"/>
      </w:pPr>
      <w:r w:rsidRPr="000D32BD">
        <w:t>39.</w:t>
      </w:r>
      <w:r w:rsidRPr="000D32BD">
        <w:tab/>
        <w:t xml:space="preserve">podporuje holistický, soudržnější systémový a na činnostech založený přístup k dohledu, který identifikuje a </w:t>
      </w:r>
      <w:proofErr w:type="gramStart"/>
      <w:r w:rsidRPr="000D32BD">
        <w:t>řeší</w:t>
      </w:r>
      <w:proofErr w:type="gramEnd"/>
      <w:r w:rsidRPr="000D32BD">
        <w:t xml:space="preserve"> rizika a zranitelná místa spojená s různými druhy činností ve finančním sektoru, jako jsou úvěrování, transakce a správa majetku;</w:t>
      </w:r>
    </w:p>
    <w:p w14:paraId="5A4231B3" w14:textId="77777777" w:rsidR="00D238C3" w:rsidRPr="000D32BD" w:rsidRDefault="00D238C3" w:rsidP="00D238C3">
      <w:pPr>
        <w:pStyle w:val="NormalHanging12a"/>
      </w:pPr>
      <w:r w:rsidRPr="000D32BD">
        <w:t>40.</w:t>
      </w:r>
      <w:r w:rsidRPr="000D32BD">
        <w:tab/>
        <w:t>zdůrazňuje význam spolehlivého a důvěryhodného rámce pro krizové řízení; zdůrazňuje úlohu jednotného mechanismu pro řešení krizí při zajišťování účinného řešení problému selhávajících institucí a funkci ECB jako věřitele poslední instance pro zajištění likvidity a důvěry během krizí; konstatuje, že stále chybí mechanismus jištění pro Jednotný fond pro řešení krizí;</w:t>
      </w:r>
    </w:p>
    <w:p w14:paraId="38798675" w14:textId="77777777" w:rsidR="00D238C3" w:rsidRPr="000D32BD" w:rsidRDefault="00D238C3" w:rsidP="00D238C3">
      <w:pPr>
        <w:pStyle w:val="NormalHanging12a"/>
      </w:pPr>
      <w:r w:rsidRPr="000D32BD">
        <w:t>41.</w:t>
      </w:r>
      <w:r w:rsidRPr="000D32BD">
        <w:tab/>
        <w:t>podporuje ECB, ESRB, evropské a vnitrostátní orgány dohledu a Orgán pro boj proti praní peněz a financování terorismu při ochraně finanční stability EU a řešení vznikajících globálních finančních rizik, včetně soudržného dohledu orgánu ESMA nad systémovými přeshraničními nebankovními finančními institucemi;</w:t>
      </w:r>
    </w:p>
    <w:p w14:paraId="2927F598" w14:textId="77777777" w:rsidR="00D238C3" w:rsidRPr="000D32BD" w:rsidRDefault="00D238C3" w:rsidP="00D238C3">
      <w:pPr>
        <w:pStyle w:val="NormalHanging12a"/>
      </w:pPr>
      <w:r w:rsidRPr="000D32BD">
        <w:t>42.</w:t>
      </w:r>
      <w:r w:rsidRPr="000D32BD">
        <w:tab/>
        <w:t>varuje před regulatorní arbitráží a zdůrazňuje potřebu řešit slabiny skrytého zadlužení, které byly odhaleny při minulých narušeních;</w:t>
      </w:r>
    </w:p>
    <w:p w14:paraId="7D059FCE" w14:textId="77777777" w:rsidR="00D238C3" w:rsidRPr="000D32BD" w:rsidRDefault="00D238C3" w:rsidP="00D238C3">
      <w:pPr>
        <w:pStyle w:val="NormalHanging12a"/>
      </w:pPr>
      <w:r w:rsidRPr="000D32BD">
        <w:t>43.</w:t>
      </w:r>
      <w:r w:rsidRPr="000D32BD">
        <w:tab/>
        <w:t>vyzývá Komisi, aby si zachovala vysokou úroveň ambicí při provádění doporučení Rady pro finanční stabilitu týkajících se zadlužení v EU;</w:t>
      </w:r>
    </w:p>
    <w:p w14:paraId="5BD0AF00" w14:textId="77777777" w:rsidR="00D238C3" w:rsidRPr="000D32BD" w:rsidRDefault="00D238C3" w:rsidP="00D238C3">
      <w:pPr>
        <w:pStyle w:val="NormalHanging12a"/>
      </w:pPr>
      <w:r w:rsidRPr="000D32BD">
        <w:t>44.</w:t>
      </w:r>
      <w:r w:rsidRPr="000D32BD">
        <w:tab/>
        <w:t>zdůrazňuje, že orgány na vnitrostátní úrovni i na úrovni EU by měly mít k dispozici kvalitativní a snadno dostupné údaje a odpovídající zdroje pro jejich analýzu;</w:t>
      </w:r>
    </w:p>
    <w:p w14:paraId="6FD674EE" w14:textId="77777777" w:rsidR="00D238C3" w:rsidRPr="000D32BD" w:rsidRDefault="00D238C3" w:rsidP="00D238C3">
      <w:pPr>
        <w:pStyle w:val="NormalHanging12a"/>
      </w:pPr>
      <w:r w:rsidRPr="000D32BD">
        <w:t>45.</w:t>
      </w:r>
      <w:r w:rsidRPr="000D32BD">
        <w:tab/>
        <w:t>vyzývá k posílení transparentnosti, kapacit pro analýzu údajů a zjednodušených mechanismů sdílení údajů mezi vnitrostátními orgány a orgány EU s ohledem na záruky ochrany údajů s cílem podpořit komplexnější rámec pro monitorování rizik a kapacity pro zátěžové testování celého systému, včetně kybernetické odolnosti, výpadků dodávek energie a rámce pro zajištění; konstatuje, že některé vnitrostátní orgány již oznámily svůj záměr provést zátěžové testy propojení mezi bankovním sektorem a sektorem nebankovních finančních institucí;</w:t>
      </w:r>
    </w:p>
    <w:p w14:paraId="1150B7D0" w14:textId="77777777" w:rsidR="00D238C3" w:rsidRPr="000D32BD" w:rsidRDefault="00D238C3" w:rsidP="00D238C3">
      <w:pPr>
        <w:pStyle w:val="NormalHanging12a"/>
      </w:pPr>
      <w:r w:rsidRPr="000D32BD">
        <w:t>46.</w:t>
      </w:r>
      <w:r w:rsidRPr="000D32BD">
        <w:tab/>
        <w:t>vyzývá k posílení spolupráce s mezinárodními finančními institucemi, včetně Mezinárodního měnového fondu, Basilejského výboru pro bankovní dohled, BIS a Rady pro finanční stabilitu, s cílem řešit přeshraniční rizika ohrožující stabilitu;</w:t>
      </w:r>
    </w:p>
    <w:p w14:paraId="60A86906" w14:textId="77777777" w:rsidR="00D238C3" w:rsidRPr="000D32BD" w:rsidRDefault="00D238C3" w:rsidP="00D238C3">
      <w:pPr>
        <w:pStyle w:val="NormalCenter12a"/>
      </w:pPr>
      <w:r w:rsidRPr="000D32BD">
        <w:t>°</w:t>
      </w:r>
    </w:p>
    <w:p w14:paraId="37D1E971" w14:textId="77777777" w:rsidR="00D238C3" w:rsidRPr="000D32BD" w:rsidRDefault="00D238C3" w:rsidP="00D238C3">
      <w:pPr>
        <w:pStyle w:val="NormalCenter12a"/>
      </w:pPr>
      <w:r w:rsidRPr="000D32BD">
        <w:t>°</w:t>
      </w:r>
      <w:r w:rsidRPr="000D32BD">
        <w:tab/>
        <w:t>°</w:t>
      </w:r>
    </w:p>
    <w:p w14:paraId="0AF55ADD" w14:textId="36602C95" w:rsidR="000D32BD" w:rsidRPr="000D32BD" w:rsidRDefault="00D238C3" w:rsidP="000D32BD">
      <w:pPr>
        <w:pStyle w:val="NormalHanging12a"/>
      </w:pPr>
      <w:r w:rsidRPr="000D32BD">
        <w:t>47.</w:t>
      </w:r>
      <w:r w:rsidRPr="000D32BD">
        <w:tab/>
        <w:t>pověřuje svou předsedkyni, aby předala toto usnesení Radě a Komisi.</w:t>
      </w:r>
    </w:p>
    <w:p w14:paraId="4EDB46A6" w14:textId="7A467545" w:rsidR="00E365E1" w:rsidRPr="000D32BD" w:rsidRDefault="00E365E1" w:rsidP="0088418F"/>
    <w:sectPr w:rsidR="00E365E1" w:rsidRPr="000D32BD" w:rsidSect="000D32BD">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F5129" w14:textId="77777777" w:rsidR="0088418F" w:rsidRPr="000D32BD" w:rsidRDefault="0088418F">
      <w:r w:rsidRPr="000D32BD">
        <w:separator/>
      </w:r>
    </w:p>
  </w:endnote>
  <w:endnote w:type="continuationSeparator" w:id="0">
    <w:p w14:paraId="5AE0FC1E" w14:textId="77777777" w:rsidR="0088418F" w:rsidRPr="000D32BD" w:rsidRDefault="0088418F">
      <w:r w:rsidRPr="000D32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A8177" w14:textId="77777777" w:rsidR="00064002" w:rsidRPr="000D32B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49729" w14:textId="77777777" w:rsidR="00064002" w:rsidRPr="000D32B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E251E" w14:textId="77777777" w:rsidR="00064002" w:rsidRPr="000D32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326B3" w14:textId="77777777" w:rsidR="0088418F" w:rsidRPr="000D32BD" w:rsidRDefault="0088418F">
      <w:r w:rsidRPr="000D32BD">
        <w:separator/>
      </w:r>
    </w:p>
  </w:footnote>
  <w:footnote w:type="continuationSeparator" w:id="0">
    <w:p w14:paraId="28A11468" w14:textId="77777777" w:rsidR="0088418F" w:rsidRPr="000D32BD" w:rsidRDefault="0088418F">
      <w:r w:rsidRPr="000D32BD">
        <w:continuationSeparator/>
      </w:r>
    </w:p>
  </w:footnote>
  <w:footnote w:id="1">
    <w:p w14:paraId="29E818AA" w14:textId="5DC026F7" w:rsidR="00D238C3" w:rsidRPr="000D32BD" w:rsidRDefault="00D238C3" w:rsidP="000D32BD">
      <w:pPr>
        <w:pStyle w:val="FootnoteText"/>
        <w:ind w:left="567" w:hanging="567"/>
        <w:rPr>
          <w:sz w:val="24"/>
          <w:lang w:val="cs-CZ"/>
        </w:rPr>
      </w:pPr>
      <w:r w:rsidRPr="000D32BD">
        <w:rPr>
          <w:sz w:val="24"/>
          <w:vertAlign w:val="superscript"/>
          <w:lang w:val="cs-CZ"/>
        </w:rPr>
        <w:t>1</w:t>
      </w:r>
      <w:r w:rsidR="000D32BD" w:rsidRPr="000D32BD">
        <w:rPr>
          <w:sz w:val="24"/>
          <w:vertAlign w:val="superscript"/>
          <w:lang w:val="cs-CZ"/>
        </w:rPr>
        <w:t xml:space="preserve"> </w:t>
      </w:r>
      <w:r w:rsidR="000D32BD" w:rsidRPr="000D32BD">
        <w:rPr>
          <w:sz w:val="24"/>
          <w:vertAlign w:val="superscript"/>
          <w:lang w:val="cs-CZ"/>
        </w:rPr>
        <w:tab/>
      </w:r>
      <w:proofErr w:type="spellStart"/>
      <w:r w:rsidRPr="000D32BD">
        <w:rPr>
          <w:sz w:val="24"/>
          <w:lang w:val="cs-CZ"/>
        </w:rPr>
        <w:t>Úř</w:t>
      </w:r>
      <w:proofErr w:type="spellEnd"/>
      <w:r w:rsidRPr="000D32BD">
        <w:rPr>
          <w:sz w:val="24"/>
          <w:lang w:val="cs-CZ"/>
        </w:rPr>
        <w:t xml:space="preserve">. </w:t>
      </w:r>
      <w:proofErr w:type="spellStart"/>
      <w:r w:rsidRPr="000D32BD">
        <w:rPr>
          <w:sz w:val="24"/>
          <w:lang w:val="cs-CZ"/>
        </w:rPr>
        <w:t>věst</w:t>
      </w:r>
      <w:proofErr w:type="spellEnd"/>
      <w:r w:rsidRPr="000D32BD">
        <w:rPr>
          <w:sz w:val="24"/>
          <w:lang w:val="cs-CZ"/>
        </w:rPr>
        <w:t>. C 33</w:t>
      </w:r>
      <w:r w:rsidR="00F6198D">
        <w:rPr>
          <w:sz w:val="24"/>
          <w:lang w:val="cs-CZ"/>
        </w:rPr>
        <w:t xml:space="preserve"> </w:t>
      </w:r>
      <w:r w:rsidRPr="000D32BD">
        <w:rPr>
          <w:sz w:val="24"/>
          <w:lang w:val="cs-CZ"/>
        </w:rPr>
        <w:t>E, 5.2.2013, s. 140.</w:t>
      </w:r>
    </w:p>
  </w:footnote>
  <w:footnote w:id="2">
    <w:p w14:paraId="4806ED8E" w14:textId="514FBF6D" w:rsidR="00D238C3" w:rsidRPr="000D32BD" w:rsidRDefault="00D238C3" w:rsidP="000D32BD">
      <w:pPr>
        <w:pStyle w:val="FootnoteText"/>
        <w:ind w:left="567" w:hanging="567"/>
        <w:rPr>
          <w:sz w:val="24"/>
          <w:lang w:val="cs-CZ"/>
        </w:rPr>
      </w:pPr>
      <w:r w:rsidRPr="000D32BD">
        <w:rPr>
          <w:sz w:val="24"/>
          <w:vertAlign w:val="superscript"/>
          <w:lang w:val="cs-CZ"/>
        </w:rPr>
        <w:t>2</w:t>
      </w:r>
      <w:r w:rsidR="000D32BD" w:rsidRPr="000D32BD">
        <w:rPr>
          <w:sz w:val="24"/>
          <w:vertAlign w:val="superscript"/>
          <w:lang w:val="cs-CZ"/>
        </w:rPr>
        <w:t xml:space="preserve"> </w:t>
      </w:r>
      <w:r w:rsidR="000D32BD" w:rsidRPr="000D32BD">
        <w:rPr>
          <w:sz w:val="24"/>
          <w:vertAlign w:val="superscript"/>
          <w:lang w:val="cs-CZ"/>
        </w:rPr>
        <w:tab/>
      </w:r>
      <w:r w:rsidRPr="000D32BD">
        <w:rPr>
          <w:sz w:val="24"/>
          <w:lang w:val="cs-CZ"/>
        </w:rPr>
        <w:t>Směrnice Evropského parlamentu a Rady 2011/61/EU ze dne 8. června 2011 o správcích alternativních investičních fondů a o změně směrnic 2003/41/ES a 2009/65/ES a nařízení (ES) č. 1060/2009 a (EU) č. 1095/2010 (</w:t>
      </w:r>
      <w:proofErr w:type="spellStart"/>
      <w:r w:rsidRPr="000D32BD">
        <w:rPr>
          <w:sz w:val="24"/>
          <w:lang w:val="cs-CZ"/>
        </w:rPr>
        <w:t>Úř</w:t>
      </w:r>
      <w:proofErr w:type="spellEnd"/>
      <w:r w:rsidRPr="000D32BD">
        <w:rPr>
          <w:sz w:val="24"/>
          <w:lang w:val="cs-CZ"/>
        </w:rPr>
        <w:t>. </w:t>
      </w:r>
      <w:proofErr w:type="spellStart"/>
      <w:r w:rsidRPr="000D32BD">
        <w:rPr>
          <w:sz w:val="24"/>
          <w:lang w:val="cs-CZ"/>
        </w:rPr>
        <w:t>věst</w:t>
      </w:r>
      <w:proofErr w:type="spellEnd"/>
      <w:r w:rsidRPr="000D32BD">
        <w:rPr>
          <w:sz w:val="24"/>
          <w:lang w:val="cs-CZ"/>
        </w:rPr>
        <w:t xml:space="preserve">. L 174, 1.7.2011, s. 1, ELI: </w:t>
      </w:r>
      <w:hyperlink r:id="rId1" w:tgtFrame="http://data.europa.eu/eli/dir/2011/61/oj" w:history="1">
        <w:r w:rsidRPr="000D32BD">
          <w:rPr>
            <w:rStyle w:val="Hyperlink"/>
            <w:sz w:val="24"/>
            <w:lang w:val="cs-CZ"/>
          </w:rPr>
          <w:t>http://data.europa.eu/eli/dir/2011/61/oj</w:t>
        </w:r>
      </w:hyperlink>
      <w:r w:rsidRPr="000D32BD">
        <w:rPr>
          <w:sz w:val="24"/>
          <w:lang w:val="cs-CZ"/>
        </w:rPr>
        <w:t>).</w:t>
      </w:r>
    </w:p>
  </w:footnote>
  <w:footnote w:id="3">
    <w:p w14:paraId="4CD4291E" w14:textId="01C1EAD4" w:rsidR="00D238C3" w:rsidRPr="000D32BD" w:rsidRDefault="00D238C3" w:rsidP="000D32BD">
      <w:pPr>
        <w:pStyle w:val="FootnoteText"/>
        <w:ind w:left="567" w:hanging="567"/>
        <w:rPr>
          <w:sz w:val="24"/>
          <w:lang w:val="cs-CZ"/>
        </w:rPr>
      </w:pPr>
      <w:r w:rsidRPr="000D32BD">
        <w:rPr>
          <w:sz w:val="24"/>
          <w:vertAlign w:val="superscript"/>
          <w:lang w:val="cs-CZ"/>
        </w:rPr>
        <w:t>3</w:t>
      </w:r>
      <w:r w:rsidR="000D32BD" w:rsidRPr="000D32BD">
        <w:rPr>
          <w:sz w:val="24"/>
          <w:vertAlign w:val="superscript"/>
          <w:lang w:val="cs-CZ"/>
        </w:rPr>
        <w:t xml:space="preserve"> </w:t>
      </w:r>
      <w:r w:rsidR="000D32BD" w:rsidRPr="000D32BD">
        <w:rPr>
          <w:sz w:val="24"/>
          <w:vertAlign w:val="superscript"/>
          <w:lang w:val="cs-CZ"/>
        </w:rPr>
        <w:tab/>
      </w:r>
      <w:r w:rsidRPr="000D32BD">
        <w:rPr>
          <w:sz w:val="24"/>
          <w:lang w:val="cs-CZ"/>
        </w:rPr>
        <w:t>Nařízení Evropského parlamentu a Rady (EU) 2017/1131 ze dne 14. června 2017 o fondech peněžního trhu, (</w:t>
      </w:r>
      <w:proofErr w:type="spellStart"/>
      <w:r w:rsidRPr="000D32BD">
        <w:rPr>
          <w:sz w:val="24"/>
          <w:lang w:val="cs-CZ"/>
        </w:rPr>
        <w:t>Úř</w:t>
      </w:r>
      <w:proofErr w:type="spellEnd"/>
      <w:r w:rsidRPr="000D32BD">
        <w:rPr>
          <w:sz w:val="24"/>
          <w:lang w:val="cs-CZ"/>
        </w:rPr>
        <w:t>. </w:t>
      </w:r>
      <w:proofErr w:type="spellStart"/>
      <w:r w:rsidRPr="000D32BD">
        <w:rPr>
          <w:sz w:val="24"/>
          <w:lang w:val="cs-CZ"/>
        </w:rPr>
        <w:t>věst</w:t>
      </w:r>
      <w:proofErr w:type="spellEnd"/>
      <w:r w:rsidRPr="000D32BD">
        <w:rPr>
          <w:sz w:val="24"/>
          <w:lang w:val="cs-CZ"/>
        </w:rPr>
        <w:t xml:space="preserve">. L 169, 30.6.2017, s. 8, ELI: </w:t>
      </w:r>
      <w:hyperlink r:id="rId2" w:tgtFrame="http://data.europa.eu/eli/reg/2017/1131/oj" w:history="1">
        <w:r w:rsidRPr="000D32BD">
          <w:rPr>
            <w:rStyle w:val="Hyperlink"/>
            <w:sz w:val="24"/>
            <w:lang w:val="cs-CZ"/>
          </w:rPr>
          <w:t>http://data.europa.eu/eli/reg/2017/1131/oj</w:t>
        </w:r>
      </w:hyperlink>
      <w:r w:rsidRPr="000D32BD">
        <w:rPr>
          <w:sz w:val="24"/>
          <w:lang w:val="cs-CZ"/>
        </w:rPr>
        <w:t>).</w:t>
      </w:r>
    </w:p>
  </w:footnote>
  <w:footnote w:id="4">
    <w:p w14:paraId="023A3726" w14:textId="6244A643" w:rsidR="00D238C3" w:rsidRPr="000D32BD" w:rsidRDefault="00D238C3" w:rsidP="000D32BD">
      <w:pPr>
        <w:pStyle w:val="FootnoteText"/>
        <w:ind w:left="567" w:hanging="567"/>
        <w:rPr>
          <w:sz w:val="24"/>
          <w:lang w:val="cs-CZ"/>
        </w:rPr>
      </w:pPr>
      <w:r w:rsidRPr="000D32BD">
        <w:rPr>
          <w:sz w:val="24"/>
          <w:vertAlign w:val="superscript"/>
          <w:lang w:val="cs-CZ"/>
        </w:rPr>
        <w:t>4</w:t>
      </w:r>
      <w:r w:rsidR="000D32BD" w:rsidRPr="000D32BD">
        <w:rPr>
          <w:sz w:val="24"/>
          <w:vertAlign w:val="superscript"/>
          <w:lang w:val="cs-CZ"/>
        </w:rPr>
        <w:t xml:space="preserve"> </w:t>
      </w:r>
      <w:r w:rsidR="000D32BD" w:rsidRPr="000D32BD">
        <w:rPr>
          <w:sz w:val="24"/>
          <w:vertAlign w:val="superscript"/>
          <w:lang w:val="cs-CZ"/>
        </w:rPr>
        <w:tab/>
      </w:r>
      <w:r w:rsidRPr="000D32BD">
        <w:rPr>
          <w:sz w:val="24"/>
          <w:lang w:val="cs-CZ"/>
        </w:rPr>
        <w:t>Směrnice Evropského parlamentu a Rady (EU) 2019/2034 ze dne 27. listopadu 2019 o obezřetnostním dohledu nad investičními podniky a o změně směrnic 2002/87/ES, 2009/65/ES, 2011/61/EU, 2013/36/EU, 2014/59/EU a 2014/65/EU (</w:t>
      </w:r>
      <w:proofErr w:type="spellStart"/>
      <w:r w:rsidRPr="000D32BD">
        <w:rPr>
          <w:sz w:val="24"/>
          <w:lang w:val="cs-CZ"/>
        </w:rPr>
        <w:t>Úř</w:t>
      </w:r>
      <w:proofErr w:type="spellEnd"/>
      <w:r w:rsidRPr="000D32BD">
        <w:rPr>
          <w:sz w:val="24"/>
          <w:lang w:val="cs-CZ"/>
        </w:rPr>
        <w:t>. </w:t>
      </w:r>
      <w:proofErr w:type="spellStart"/>
      <w:r w:rsidRPr="000D32BD">
        <w:rPr>
          <w:sz w:val="24"/>
          <w:lang w:val="cs-CZ"/>
        </w:rPr>
        <w:t>věst</w:t>
      </w:r>
      <w:proofErr w:type="spellEnd"/>
      <w:r w:rsidRPr="000D32BD">
        <w:rPr>
          <w:sz w:val="24"/>
          <w:lang w:val="cs-CZ"/>
        </w:rPr>
        <w:t xml:space="preserve">. L 314, 5.12.2019, s. 64, ELI: </w:t>
      </w:r>
      <w:hyperlink r:id="rId3" w:tgtFrame="http://data.europa.eu/eli/dir/2019/2034/oj" w:history="1">
        <w:r w:rsidRPr="000D32BD">
          <w:rPr>
            <w:rStyle w:val="Hyperlink"/>
            <w:sz w:val="24"/>
            <w:lang w:val="cs-CZ"/>
          </w:rPr>
          <w:t>http://data.europa.eu/eli/dir/2019/2034/oj</w:t>
        </w:r>
      </w:hyperlink>
      <w:r w:rsidRPr="000D32BD">
        <w:rPr>
          <w:sz w:val="24"/>
          <w:lang w:val="cs-CZ"/>
        </w:rPr>
        <w:t>).</w:t>
      </w:r>
    </w:p>
  </w:footnote>
  <w:footnote w:id="5">
    <w:p w14:paraId="0E6258B7" w14:textId="7EAB3DB7" w:rsidR="00D238C3" w:rsidRPr="000D32BD" w:rsidRDefault="00D238C3" w:rsidP="000D32BD">
      <w:pPr>
        <w:pStyle w:val="FootnoteText"/>
        <w:ind w:left="567" w:hanging="567"/>
        <w:rPr>
          <w:sz w:val="24"/>
          <w:lang w:val="cs-CZ"/>
        </w:rPr>
      </w:pPr>
      <w:r w:rsidRPr="000D32BD">
        <w:rPr>
          <w:sz w:val="24"/>
          <w:vertAlign w:val="superscript"/>
          <w:lang w:val="cs-CZ"/>
        </w:rPr>
        <w:t>5</w:t>
      </w:r>
      <w:r w:rsidR="000D32BD" w:rsidRPr="000D32BD">
        <w:rPr>
          <w:sz w:val="24"/>
          <w:vertAlign w:val="superscript"/>
          <w:lang w:val="cs-CZ"/>
        </w:rPr>
        <w:t xml:space="preserve"> </w:t>
      </w:r>
      <w:r w:rsidR="000D32BD" w:rsidRPr="000D32BD">
        <w:rPr>
          <w:sz w:val="24"/>
          <w:vertAlign w:val="superscript"/>
          <w:lang w:val="cs-CZ"/>
        </w:rPr>
        <w:tab/>
      </w:r>
      <w:r w:rsidRPr="000D32BD">
        <w:rPr>
          <w:sz w:val="24"/>
          <w:lang w:val="cs-CZ"/>
        </w:rPr>
        <w:t>Nařízení Evropského parlamentu a Rady (EU) 2019/2033 ze dne 27. listopadu 2019 o obezřetnostních požadavcích na investiční podniky a o změně nařízení (EU) č. 1093/2010, (EU) č. 575/2013, (EU) č. 600/2014 a (EU) č. 806/2014 (</w:t>
      </w:r>
      <w:proofErr w:type="spellStart"/>
      <w:r w:rsidRPr="000D32BD">
        <w:rPr>
          <w:sz w:val="24"/>
          <w:lang w:val="cs-CZ"/>
        </w:rPr>
        <w:t>Úř</w:t>
      </w:r>
      <w:proofErr w:type="spellEnd"/>
      <w:r w:rsidRPr="000D32BD">
        <w:rPr>
          <w:sz w:val="24"/>
          <w:lang w:val="cs-CZ"/>
        </w:rPr>
        <w:t>. </w:t>
      </w:r>
      <w:proofErr w:type="spellStart"/>
      <w:r w:rsidRPr="000D32BD">
        <w:rPr>
          <w:sz w:val="24"/>
          <w:lang w:val="cs-CZ"/>
        </w:rPr>
        <w:t>věst</w:t>
      </w:r>
      <w:proofErr w:type="spellEnd"/>
      <w:r w:rsidRPr="000D32BD">
        <w:rPr>
          <w:sz w:val="24"/>
          <w:lang w:val="cs-CZ"/>
        </w:rPr>
        <w:t xml:space="preserve">. L 314, 5.12.2019, s. 1, ELI: </w:t>
      </w:r>
      <w:hyperlink r:id="rId4" w:tgtFrame="http://data.europa.eu/eli/reg/2019/2033/oj" w:history="1">
        <w:r w:rsidRPr="000D32BD">
          <w:rPr>
            <w:rStyle w:val="Hyperlink"/>
            <w:sz w:val="24"/>
            <w:lang w:val="cs-CZ"/>
          </w:rPr>
          <w:t>http://data.europa.eu/eli/reg/2019/2033/oj</w:t>
        </w:r>
      </w:hyperlink>
      <w:r w:rsidRPr="000D32BD">
        <w:rPr>
          <w:sz w:val="24"/>
          <w:lang w:val="cs-CZ"/>
        </w:rPr>
        <w:t>).</w:t>
      </w:r>
    </w:p>
  </w:footnote>
  <w:footnote w:id="6">
    <w:p w14:paraId="6DF228E4" w14:textId="61F8371A" w:rsidR="00D238C3" w:rsidRPr="000D32BD" w:rsidRDefault="00D238C3" w:rsidP="000D32BD">
      <w:pPr>
        <w:pStyle w:val="FootnoteText"/>
        <w:ind w:left="567" w:hanging="567"/>
        <w:rPr>
          <w:sz w:val="24"/>
          <w:lang w:val="cs-CZ"/>
        </w:rPr>
      </w:pPr>
      <w:r w:rsidRPr="000D32BD">
        <w:rPr>
          <w:sz w:val="24"/>
          <w:vertAlign w:val="superscript"/>
          <w:lang w:val="cs-CZ"/>
        </w:rPr>
        <w:t>6</w:t>
      </w:r>
      <w:r w:rsidR="000D32BD" w:rsidRPr="000D32BD">
        <w:rPr>
          <w:sz w:val="24"/>
          <w:vertAlign w:val="superscript"/>
          <w:lang w:val="cs-CZ"/>
        </w:rPr>
        <w:t xml:space="preserve"> </w:t>
      </w:r>
      <w:r w:rsidR="000D32BD" w:rsidRPr="000D32BD">
        <w:rPr>
          <w:sz w:val="24"/>
          <w:vertAlign w:val="superscript"/>
          <w:lang w:val="cs-CZ"/>
        </w:rPr>
        <w:tab/>
      </w:r>
      <w:r w:rsidRPr="000D32BD">
        <w:rPr>
          <w:sz w:val="24"/>
          <w:lang w:val="cs-CZ"/>
        </w:rPr>
        <w:t>Směrnice Evropského parlamentu a Rady (EU) 2016/2341 ze dne 14. prosince 2016 o činnostech institucí zaměstnaneckého penzijního pojištění (IZPP) a dohledu nad nimi (</w:t>
      </w:r>
      <w:proofErr w:type="spellStart"/>
      <w:r w:rsidRPr="000D32BD">
        <w:rPr>
          <w:sz w:val="24"/>
          <w:lang w:val="cs-CZ"/>
        </w:rPr>
        <w:t>Úř</w:t>
      </w:r>
      <w:proofErr w:type="spellEnd"/>
      <w:r w:rsidRPr="000D32BD">
        <w:rPr>
          <w:sz w:val="24"/>
          <w:lang w:val="cs-CZ"/>
        </w:rPr>
        <w:t xml:space="preserve">. </w:t>
      </w:r>
      <w:proofErr w:type="spellStart"/>
      <w:r w:rsidRPr="000D32BD">
        <w:rPr>
          <w:sz w:val="24"/>
          <w:lang w:val="cs-CZ"/>
        </w:rPr>
        <w:t>věst</w:t>
      </w:r>
      <w:proofErr w:type="spellEnd"/>
      <w:r w:rsidRPr="000D32BD">
        <w:rPr>
          <w:sz w:val="24"/>
          <w:lang w:val="cs-CZ"/>
        </w:rPr>
        <w:t xml:space="preserve">. L 354, 23.12.2016, s. 37, ELI:  </w:t>
      </w:r>
      <w:hyperlink r:id="rId5" w:tgtFrame="http://data.europa.eu/eli/dir/2016/2341/oj" w:history="1">
        <w:r w:rsidRPr="000D32BD">
          <w:rPr>
            <w:rStyle w:val="Hyperlink"/>
            <w:sz w:val="24"/>
            <w:lang w:val="cs-CZ"/>
          </w:rPr>
          <w:t>http://data.europa.eu/eli/dir/2016/2341/oj</w:t>
        </w:r>
      </w:hyperlink>
      <w:r w:rsidRPr="000D32BD">
        <w:rPr>
          <w:sz w:val="24"/>
          <w:lang w:val="cs-CZ"/>
        </w:rPr>
        <w:t>).</w:t>
      </w:r>
    </w:p>
  </w:footnote>
  <w:footnote w:id="7">
    <w:p w14:paraId="7E179D73" w14:textId="24135C87" w:rsidR="00D238C3" w:rsidRPr="000D32BD" w:rsidRDefault="00D238C3" w:rsidP="000D32BD">
      <w:pPr>
        <w:pStyle w:val="FootnoteText"/>
        <w:ind w:left="567" w:hanging="567"/>
        <w:rPr>
          <w:sz w:val="24"/>
          <w:lang w:val="cs-CZ"/>
        </w:rPr>
      </w:pPr>
      <w:r w:rsidRPr="000D32BD">
        <w:rPr>
          <w:sz w:val="24"/>
          <w:vertAlign w:val="superscript"/>
          <w:lang w:val="cs-CZ"/>
        </w:rPr>
        <w:t>7</w:t>
      </w:r>
      <w:r w:rsidR="000D32BD" w:rsidRPr="000D32BD">
        <w:rPr>
          <w:sz w:val="24"/>
          <w:vertAlign w:val="superscript"/>
          <w:lang w:val="cs-CZ"/>
        </w:rPr>
        <w:t xml:space="preserve"> </w:t>
      </w:r>
      <w:r w:rsidR="000D32BD" w:rsidRPr="000D32BD">
        <w:rPr>
          <w:sz w:val="24"/>
          <w:vertAlign w:val="superscript"/>
          <w:lang w:val="cs-CZ"/>
        </w:rPr>
        <w:tab/>
      </w:r>
      <w:hyperlink r:id="rId6" w:tgtFrame="https://www.ecb.europa.eu/pub/pdf/fsr/ecb.fsr202505~0cde5244f6.en.pdf" w:history="1">
        <w:r w:rsidRPr="00145B18">
          <w:rPr>
            <w:szCs w:val="24"/>
            <w:lang w:val="cs-CZ" w:eastAsia="en-US"/>
          </w:rPr>
          <w:t>Přezkum ECB týkající se finanční stability</w:t>
        </w:r>
      </w:hyperlink>
      <w:r w:rsidRPr="00145B18">
        <w:rPr>
          <w:sz w:val="24"/>
          <w:szCs w:val="24"/>
          <w:lang w:val="cs-CZ" w:eastAsia="en-US"/>
        </w:rPr>
        <w:t>,</w:t>
      </w:r>
      <w:r w:rsidRPr="000D32BD">
        <w:rPr>
          <w:sz w:val="24"/>
          <w:lang w:val="cs-CZ"/>
        </w:rPr>
        <w:t xml:space="preserve"> květen 2025, s. 78.</w:t>
      </w:r>
    </w:p>
  </w:footnote>
  <w:footnote w:id="8">
    <w:p w14:paraId="6B0030E6" w14:textId="1D703C22" w:rsidR="00D238C3" w:rsidRPr="000D32BD" w:rsidRDefault="00D238C3" w:rsidP="000D32BD">
      <w:pPr>
        <w:pStyle w:val="FootnoteText"/>
        <w:ind w:left="567" w:hanging="567"/>
        <w:rPr>
          <w:sz w:val="24"/>
          <w:lang w:val="cs-CZ"/>
        </w:rPr>
      </w:pPr>
      <w:r w:rsidRPr="000D32BD">
        <w:rPr>
          <w:sz w:val="24"/>
          <w:vertAlign w:val="superscript"/>
          <w:lang w:val="cs-CZ"/>
        </w:rPr>
        <w:t>8</w:t>
      </w:r>
      <w:r w:rsidR="000D32BD" w:rsidRPr="000D32BD">
        <w:rPr>
          <w:sz w:val="24"/>
          <w:vertAlign w:val="superscript"/>
          <w:lang w:val="cs-CZ"/>
        </w:rPr>
        <w:t xml:space="preserve"> </w:t>
      </w:r>
      <w:r w:rsidR="000D32BD" w:rsidRPr="000D32BD">
        <w:rPr>
          <w:sz w:val="24"/>
          <w:vertAlign w:val="superscript"/>
          <w:lang w:val="cs-CZ"/>
        </w:rPr>
        <w:tab/>
      </w:r>
      <w:r w:rsidRPr="000D32BD">
        <w:rPr>
          <w:sz w:val="24"/>
          <w:lang w:val="cs-CZ"/>
        </w:rPr>
        <w:t>Nařízení Evropského parlamentu a Rady (EU) 2017/1131 ze dne 14. června 2017 o fondech peněžního trhu, (</w:t>
      </w:r>
      <w:proofErr w:type="spellStart"/>
      <w:r w:rsidRPr="000D32BD">
        <w:rPr>
          <w:sz w:val="24"/>
          <w:lang w:val="cs-CZ"/>
        </w:rPr>
        <w:t>Úř</w:t>
      </w:r>
      <w:proofErr w:type="spellEnd"/>
      <w:r w:rsidRPr="000D32BD">
        <w:rPr>
          <w:sz w:val="24"/>
          <w:lang w:val="cs-CZ"/>
        </w:rPr>
        <w:t>. </w:t>
      </w:r>
      <w:proofErr w:type="spellStart"/>
      <w:r w:rsidRPr="000D32BD">
        <w:rPr>
          <w:sz w:val="24"/>
          <w:lang w:val="cs-CZ"/>
        </w:rPr>
        <w:t>věst</w:t>
      </w:r>
      <w:proofErr w:type="spellEnd"/>
      <w:r w:rsidRPr="000D32BD">
        <w:rPr>
          <w:sz w:val="24"/>
          <w:lang w:val="cs-CZ"/>
        </w:rPr>
        <w:t xml:space="preserve">. L 169, 30.6.2017, s. 8, ELI: </w:t>
      </w:r>
      <w:hyperlink r:id="rId7" w:tgtFrame="http://data.europa.eu/eli/reg/2017/1131/oj" w:history="1">
        <w:r w:rsidRPr="000D32BD">
          <w:rPr>
            <w:rStyle w:val="Hyperlink"/>
            <w:sz w:val="24"/>
            <w:lang w:val="cs-CZ"/>
          </w:rPr>
          <w:t>http://data.europa.eu/eli/reg/2017/1131/oj</w:t>
        </w:r>
      </w:hyperlink>
      <w:r w:rsidRPr="000D32BD">
        <w:rPr>
          <w:sz w:val="24"/>
          <w:lang w:val="cs-CZ"/>
        </w:rPr>
        <w:t>).</w:t>
      </w:r>
    </w:p>
  </w:footnote>
  <w:footnote w:id="9">
    <w:p w14:paraId="0160C598" w14:textId="56FBDA77" w:rsidR="00D238C3" w:rsidRPr="000D32BD" w:rsidRDefault="00D238C3" w:rsidP="000D32BD">
      <w:pPr>
        <w:pStyle w:val="FootnoteText"/>
        <w:ind w:left="567" w:hanging="567"/>
        <w:rPr>
          <w:sz w:val="24"/>
          <w:lang w:val="cs-CZ"/>
        </w:rPr>
      </w:pPr>
      <w:r w:rsidRPr="000D32BD">
        <w:rPr>
          <w:sz w:val="24"/>
          <w:vertAlign w:val="superscript"/>
          <w:lang w:val="cs-CZ"/>
        </w:rPr>
        <w:t>9</w:t>
      </w:r>
      <w:r w:rsidR="000D32BD" w:rsidRPr="000D32BD">
        <w:rPr>
          <w:sz w:val="24"/>
          <w:vertAlign w:val="superscript"/>
          <w:lang w:val="cs-CZ"/>
        </w:rPr>
        <w:t xml:space="preserve"> </w:t>
      </w:r>
      <w:r w:rsidR="000D32BD" w:rsidRPr="000D32BD">
        <w:rPr>
          <w:sz w:val="24"/>
          <w:vertAlign w:val="superscript"/>
          <w:lang w:val="cs-CZ"/>
        </w:rPr>
        <w:tab/>
      </w:r>
      <w:hyperlink r:id="rId8" w:tgtFrame="https://www.fsb.org/uploads/P221024-3.pdf" w:history="1">
        <w:r w:rsidRPr="00145B18">
          <w:rPr>
            <w:szCs w:val="24"/>
            <w:lang w:val="cs-CZ"/>
          </w:rPr>
          <w:t xml:space="preserve">Zpráva skupiny G20 o stavu provádění politiky v oblasti </w:t>
        </w:r>
        <w:proofErr w:type="spellStart"/>
        <w:r w:rsidRPr="00145B18">
          <w:rPr>
            <w:szCs w:val="24"/>
            <w:lang w:val="cs-CZ"/>
          </w:rPr>
          <w:t>kryptoaktiv</w:t>
        </w:r>
        <w:proofErr w:type="spellEnd"/>
      </w:hyperlink>
      <w:r w:rsidRPr="00F6198D">
        <w:rPr>
          <w:sz w:val="24"/>
          <w:szCs w:val="24"/>
          <w:lang w:val="cs-CZ"/>
        </w:rPr>
        <w:t>,</w:t>
      </w:r>
      <w:r w:rsidRPr="000D32BD">
        <w:rPr>
          <w:sz w:val="24"/>
          <w:lang w:val="cs-CZ"/>
        </w:rPr>
        <w:t xml:space="preserve"> 22. října 2024.</w:t>
      </w:r>
    </w:p>
  </w:footnote>
  <w:footnote w:id="10">
    <w:p w14:paraId="78890A31" w14:textId="65917931" w:rsidR="00D238C3" w:rsidRPr="000D32BD" w:rsidRDefault="00D238C3" w:rsidP="000D32BD">
      <w:pPr>
        <w:pStyle w:val="FootnoteText"/>
        <w:ind w:left="567" w:hanging="567"/>
        <w:rPr>
          <w:sz w:val="24"/>
          <w:lang w:val="cs-CZ"/>
        </w:rPr>
      </w:pPr>
      <w:r w:rsidRPr="000D32BD">
        <w:rPr>
          <w:sz w:val="24"/>
          <w:vertAlign w:val="superscript"/>
          <w:lang w:val="cs-CZ"/>
        </w:rPr>
        <w:t>10</w:t>
      </w:r>
      <w:r w:rsidR="000D32BD" w:rsidRPr="000D32BD">
        <w:rPr>
          <w:sz w:val="24"/>
          <w:vertAlign w:val="superscript"/>
          <w:lang w:val="cs-CZ"/>
        </w:rPr>
        <w:t xml:space="preserve"> </w:t>
      </w:r>
      <w:r w:rsidR="000D32BD" w:rsidRPr="000D32BD">
        <w:rPr>
          <w:sz w:val="24"/>
          <w:vertAlign w:val="superscript"/>
          <w:lang w:val="cs-CZ"/>
        </w:rPr>
        <w:tab/>
      </w:r>
      <w:r w:rsidRPr="000D32BD">
        <w:rPr>
          <w:sz w:val="24"/>
          <w:lang w:val="cs-CZ"/>
        </w:rPr>
        <w:t>Nařízení Evropského parlamentu a Rady (EU) 2022/2554 ze dne 14. prosince 2022 o digitální provozní odolnosti finančního sektoru a o změně nařízení (ES) č. 1060/2009, (EU) č. 648/2012, (EU) č. 600/2014, (EU) č. 909/2014 a (EU) 2016/1011 (</w:t>
      </w:r>
      <w:proofErr w:type="spellStart"/>
      <w:r w:rsidRPr="000D32BD">
        <w:rPr>
          <w:sz w:val="24"/>
          <w:lang w:val="cs-CZ"/>
        </w:rPr>
        <w:t>Úř</w:t>
      </w:r>
      <w:proofErr w:type="spellEnd"/>
      <w:r w:rsidRPr="000D32BD">
        <w:rPr>
          <w:sz w:val="24"/>
          <w:lang w:val="cs-CZ"/>
        </w:rPr>
        <w:t>. </w:t>
      </w:r>
      <w:proofErr w:type="spellStart"/>
      <w:r w:rsidRPr="000D32BD">
        <w:rPr>
          <w:sz w:val="24"/>
          <w:lang w:val="cs-CZ"/>
        </w:rPr>
        <w:t>věst</w:t>
      </w:r>
      <w:proofErr w:type="spellEnd"/>
      <w:r w:rsidRPr="000D32BD">
        <w:rPr>
          <w:sz w:val="24"/>
          <w:lang w:val="cs-CZ"/>
        </w:rPr>
        <w:t xml:space="preserve">. L 333, 27.12.2022, s. 1, ELI: </w:t>
      </w:r>
      <w:hyperlink r:id="rId9" w:tgtFrame="http://data.europa.eu/eli/reg/2022/2554/oj" w:history="1">
        <w:r w:rsidRPr="000D32BD">
          <w:rPr>
            <w:rStyle w:val="Hyperlink"/>
            <w:sz w:val="24"/>
            <w:lang w:val="cs-CZ"/>
          </w:rPr>
          <w:t>http://data.europa.eu/eli/reg/2022/2554/oj</w:t>
        </w:r>
      </w:hyperlink>
      <w:r w:rsidRPr="000D32BD">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2C9C7" w14:textId="77777777" w:rsidR="00064002" w:rsidRPr="000D32B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1244A" w14:textId="77777777" w:rsidR="00064002" w:rsidRPr="000D32B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AF625" w14:textId="77777777" w:rsidR="00064002" w:rsidRPr="000D32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5903129">
    <w:abstractNumId w:val="9"/>
  </w:num>
  <w:num w:numId="2" w16cid:durableId="296882033">
    <w:abstractNumId w:val="9"/>
  </w:num>
  <w:num w:numId="3" w16cid:durableId="1877497290">
    <w:abstractNumId w:val="7"/>
  </w:num>
  <w:num w:numId="4" w16cid:durableId="1322347183">
    <w:abstractNumId w:val="7"/>
  </w:num>
  <w:num w:numId="5" w16cid:durableId="953245647">
    <w:abstractNumId w:val="6"/>
  </w:num>
  <w:num w:numId="6" w16cid:durableId="1449348129">
    <w:abstractNumId w:val="6"/>
  </w:num>
  <w:num w:numId="7" w16cid:durableId="459611634">
    <w:abstractNumId w:val="5"/>
  </w:num>
  <w:num w:numId="8" w16cid:durableId="1470317595">
    <w:abstractNumId w:val="5"/>
  </w:num>
  <w:num w:numId="9" w16cid:durableId="1004476373">
    <w:abstractNumId w:val="4"/>
  </w:num>
  <w:num w:numId="10" w16cid:durableId="252931857">
    <w:abstractNumId w:val="4"/>
  </w:num>
  <w:num w:numId="11" w16cid:durableId="526260128">
    <w:abstractNumId w:val="8"/>
  </w:num>
  <w:num w:numId="12" w16cid:durableId="1822387431">
    <w:abstractNumId w:val="8"/>
  </w:num>
  <w:num w:numId="13" w16cid:durableId="1510757813">
    <w:abstractNumId w:val="3"/>
  </w:num>
  <w:num w:numId="14" w16cid:durableId="1260721289">
    <w:abstractNumId w:val="3"/>
  </w:num>
  <w:num w:numId="15" w16cid:durableId="309941742">
    <w:abstractNumId w:val="2"/>
  </w:num>
  <w:num w:numId="16" w16cid:durableId="532117676">
    <w:abstractNumId w:val="2"/>
  </w:num>
  <w:num w:numId="17" w16cid:durableId="229080044">
    <w:abstractNumId w:val="1"/>
  </w:num>
  <w:num w:numId="18" w16cid:durableId="1622760805">
    <w:abstractNumId w:val="1"/>
  </w:num>
  <w:num w:numId="19" w16cid:durableId="542642204">
    <w:abstractNumId w:val="0"/>
  </w:num>
  <w:num w:numId="20" w16cid:durableId="962688703">
    <w:abstractNumId w:val="0"/>
  </w:num>
  <w:num w:numId="21" w16cid:durableId="579674391">
    <w:abstractNumId w:val="9"/>
  </w:num>
  <w:num w:numId="22" w16cid:durableId="763302944">
    <w:abstractNumId w:val="7"/>
  </w:num>
  <w:num w:numId="23" w16cid:durableId="1112551053">
    <w:abstractNumId w:val="6"/>
  </w:num>
  <w:num w:numId="24" w16cid:durableId="100808365">
    <w:abstractNumId w:val="5"/>
  </w:num>
  <w:num w:numId="25" w16cid:durableId="229654137">
    <w:abstractNumId w:val="4"/>
  </w:num>
  <w:num w:numId="26" w16cid:durableId="1711227739">
    <w:abstractNumId w:val="8"/>
  </w:num>
  <w:num w:numId="27" w16cid:durableId="502168070">
    <w:abstractNumId w:val="3"/>
  </w:num>
  <w:num w:numId="28" w16cid:durableId="1992368497">
    <w:abstractNumId w:val="2"/>
  </w:num>
  <w:num w:numId="29" w16cid:durableId="1056978550">
    <w:abstractNumId w:val="1"/>
  </w:num>
  <w:num w:numId="30" w16cid:durableId="1319729012">
    <w:abstractNumId w:val="0"/>
  </w:num>
  <w:num w:numId="31" w16cid:durableId="1982618194">
    <w:abstractNumId w:val="9"/>
  </w:num>
  <w:num w:numId="32" w16cid:durableId="1203134476">
    <w:abstractNumId w:val="7"/>
  </w:num>
  <w:num w:numId="33" w16cid:durableId="1835759340">
    <w:abstractNumId w:val="6"/>
  </w:num>
  <w:num w:numId="34" w16cid:durableId="303433083">
    <w:abstractNumId w:val="5"/>
  </w:num>
  <w:num w:numId="35" w16cid:durableId="1906645251">
    <w:abstractNumId w:val="4"/>
  </w:num>
  <w:num w:numId="36" w16cid:durableId="1779711490">
    <w:abstractNumId w:val="8"/>
  </w:num>
  <w:num w:numId="37" w16cid:durableId="1058017182">
    <w:abstractNumId w:val="3"/>
  </w:num>
  <w:num w:numId="38" w16cid:durableId="162210285">
    <w:abstractNumId w:val="2"/>
  </w:num>
  <w:num w:numId="39" w16cid:durableId="1486900656">
    <w:abstractNumId w:val="1"/>
  </w:num>
  <w:num w:numId="40" w16cid:durableId="745761208">
    <w:abstractNumId w:val="0"/>
  </w:num>
  <w:num w:numId="41" w16cid:durableId="1727364853">
    <w:abstractNumId w:val="10"/>
  </w:num>
  <w:num w:numId="42" w16cid:durableId="309485408">
    <w:abstractNumId w:val="10"/>
  </w:num>
  <w:num w:numId="43" w16cid:durableId="1406950704">
    <w:abstractNumId w:val="10"/>
  </w:num>
  <w:num w:numId="44" w16cid:durableId="3364633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CS"/>
    <w:docVar w:name="dvnumam" w:val="0"/>
    <w:docVar w:name="dvpe" w:val="771.960"/>
    <w:docVar w:name="dvrapporteur" w:val="Zpravodaj: "/>
    <w:docVar w:name="dvtitre" w:val="Usnesení Evropského parlamentu ze dne.... 2026 o ochraně a podpoře finanční stability v podmínkách hospodářské nejistoty(2025/2051(INI))"/>
  </w:docVars>
  <w:rsids>
    <w:rsidRoot w:val="0088418F"/>
    <w:rsid w:val="00002272"/>
    <w:rsid w:val="00064002"/>
    <w:rsid w:val="000677B9"/>
    <w:rsid w:val="000831BA"/>
    <w:rsid w:val="000A42CC"/>
    <w:rsid w:val="000D32BD"/>
    <w:rsid w:val="000E7DD9"/>
    <w:rsid w:val="0010095E"/>
    <w:rsid w:val="00125B37"/>
    <w:rsid w:val="00145B18"/>
    <w:rsid w:val="00187494"/>
    <w:rsid w:val="001F32AE"/>
    <w:rsid w:val="002452C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7CD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18F"/>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6AE3"/>
    <w:rsid w:val="00C941CB"/>
    <w:rsid w:val="00CC2357"/>
    <w:rsid w:val="00CF071A"/>
    <w:rsid w:val="00D058B8"/>
    <w:rsid w:val="00D238C3"/>
    <w:rsid w:val="00D56C11"/>
    <w:rsid w:val="00D834A0"/>
    <w:rsid w:val="00D872DF"/>
    <w:rsid w:val="00D91E21"/>
    <w:rsid w:val="00DA7FCD"/>
    <w:rsid w:val="00E365E1"/>
    <w:rsid w:val="00E52522"/>
    <w:rsid w:val="00E820A4"/>
    <w:rsid w:val="00EB006A"/>
    <w:rsid w:val="00EB4772"/>
    <w:rsid w:val="00ED169E"/>
    <w:rsid w:val="00ED4235"/>
    <w:rsid w:val="00F04346"/>
    <w:rsid w:val="00F075DC"/>
    <w:rsid w:val="00F149E9"/>
    <w:rsid w:val="00F5134D"/>
    <w:rsid w:val="00F6198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E57ADB"/>
  <w15:chartTrackingRefBased/>
  <w15:docId w15:val="{AB24F793-CE4C-48CD-8EFA-116B7CC27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238C3"/>
    <w:pPr>
      <w:widowControl/>
      <w:spacing w:after="240"/>
    </w:pPr>
    <w:rPr>
      <w:szCs w:val="24"/>
      <w:lang w:eastAsia="en-US"/>
    </w:rPr>
  </w:style>
  <w:style w:type="paragraph" w:customStyle="1" w:styleId="NormalHanging12a">
    <w:name w:val="NormalHanging12a"/>
    <w:basedOn w:val="Normal"/>
    <w:rsid w:val="00D238C3"/>
    <w:pPr>
      <w:widowControl/>
      <w:spacing w:after="240"/>
      <w:ind w:left="566" w:hanging="566"/>
    </w:pPr>
    <w:rPr>
      <w:szCs w:val="24"/>
      <w:lang w:eastAsia="en-US"/>
    </w:rPr>
  </w:style>
  <w:style w:type="paragraph" w:customStyle="1" w:styleId="Normal12">
    <w:name w:val="Normal12"/>
    <w:basedOn w:val="Normal"/>
    <w:rsid w:val="00D238C3"/>
    <w:pPr>
      <w:widowControl/>
      <w:spacing w:after="240"/>
    </w:pPr>
    <w:rPr>
      <w:szCs w:val="24"/>
      <w:lang w:eastAsia="en-US"/>
    </w:rPr>
  </w:style>
  <w:style w:type="paragraph" w:customStyle="1" w:styleId="NormalHanging">
    <w:name w:val="NormalHanging"/>
    <w:basedOn w:val="Normal"/>
    <w:rsid w:val="00D238C3"/>
    <w:pPr>
      <w:widowControl/>
      <w:spacing w:after="240"/>
      <w:ind w:left="566" w:hanging="566"/>
    </w:pPr>
    <w:rPr>
      <w:szCs w:val="24"/>
      <w:lang w:eastAsia="en-US"/>
    </w:rPr>
  </w:style>
  <w:style w:type="paragraph" w:customStyle="1" w:styleId="NormalCenter12a">
    <w:name w:val="NormalCenter12a"/>
    <w:basedOn w:val="Normal"/>
    <w:rsid w:val="00D238C3"/>
    <w:pPr>
      <w:widowControl/>
      <w:spacing w:after="240"/>
      <w:jc w:val="center"/>
    </w:pPr>
    <w:rPr>
      <w:szCs w:val="24"/>
      <w:lang w:eastAsia="en-US"/>
    </w:rPr>
  </w:style>
  <w:style w:type="character" w:styleId="Hyperlink">
    <w:name w:val="Hyperlink"/>
    <w:basedOn w:val="DefaultParagraphFont"/>
    <w:rsid w:val="00D238C3"/>
    <w:rPr>
      <w:color w:val="0000FF"/>
      <w:u w:val="single"/>
    </w:rPr>
  </w:style>
  <w:style w:type="paragraph" w:styleId="Revision">
    <w:name w:val="Revision"/>
    <w:hidden/>
    <w:uiPriority w:val="99"/>
    <w:semiHidden/>
    <w:rsid w:val="00F6198D"/>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4DC0021"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fsb.org/uploads/P221024-3.pdf" TargetMode="External"/><Relationship Id="rId3" Type="http://schemas.openxmlformats.org/officeDocument/2006/relationships/hyperlink" Target="http://data.europa.eu/eli/dir/2019/2034/oj" TargetMode="External"/><Relationship Id="rId7" Type="http://schemas.openxmlformats.org/officeDocument/2006/relationships/hyperlink" Target="http://data.europa.eu/eli/reg/2017/1131/oj" TargetMode="External"/><Relationship Id="rId2" Type="http://schemas.openxmlformats.org/officeDocument/2006/relationships/hyperlink" Target="http://data.europa.eu/eli/reg/2017/1131/oj" TargetMode="External"/><Relationship Id="rId1" Type="http://schemas.openxmlformats.org/officeDocument/2006/relationships/hyperlink" Target="http://data.europa.eu/eli/dir/2011/61/oj" TargetMode="External"/><Relationship Id="rId6" Type="http://schemas.openxmlformats.org/officeDocument/2006/relationships/hyperlink" Target="https://www.ecb.europa.eu/pub/pdf/fsr/ecb.fsr202505~0cde5244f6.en.pdf" TargetMode="External"/><Relationship Id="rId5" Type="http://schemas.openxmlformats.org/officeDocument/2006/relationships/hyperlink" Target="http://data.europa.eu/eli/dir/2016/2341/oj" TargetMode="External"/><Relationship Id="rId4" Type="http://schemas.openxmlformats.org/officeDocument/2006/relationships/hyperlink" Target="http://data.europa.eu/eli/reg/2019/2033/oj" TargetMode="External"/><Relationship Id="rId9" Type="http://schemas.openxmlformats.org/officeDocument/2006/relationships/hyperlink" Target="http://data.europa.eu/eli/reg/2022/25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2709</Words>
  <Characters>17216</Characters>
  <Application>Microsoft Office Word</Application>
  <DocSecurity>0</DocSecurity>
  <Lines>143</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2026-01-20T12:51:00Z</dcterms:created>
  <dcterms:modified xsi:type="dcterms:W3CDTF">2026-01-20T12:51:00Z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A10-0232/2025</vt:lpwstr>
  </property>
  <property fmtid="{D5CDD505-2E9C-101B-9397-08002B2CF9AE}" pid="4" name="&lt;Type&gt;">
    <vt:lpwstr>RR</vt:lpwstr>
  </property>
</Properties>
</file>