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189B" w14:paraId="05F41F8B" w14:textId="77777777" w:rsidTr="0010095E">
        <w:trPr>
          <w:trHeight w:hRule="exact" w:val="1418"/>
        </w:trPr>
        <w:tc>
          <w:tcPr>
            <w:tcW w:w="6804" w:type="dxa"/>
            <w:shd w:val="clear" w:color="auto" w:fill="auto"/>
            <w:vAlign w:val="center"/>
          </w:tcPr>
          <w:p w14:paraId="119FA7C0" w14:textId="77777777" w:rsidR="00751A4A" w:rsidRPr="00D5189B" w:rsidRDefault="006A4F10" w:rsidP="0010095E">
            <w:pPr>
              <w:pStyle w:val="EPName"/>
            </w:pPr>
            <w:r w:rsidRPr="00D5189B">
              <w:t>Ευρωπαϊκό Κοινοβούλιο</w:t>
            </w:r>
          </w:p>
          <w:p w14:paraId="34F324D3" w14:textId="77777777" w:rsidR="00751A4A" w:rsidRPr="00D5189B" w:rsidRDefault="005F1B17" w:rsidP="005F1B17">
            <w:pPr>
              <w:pStyle w:val="EPTerm"/>
              <w:rPr>
                <w:rStyle w:val="HideTWBExt"/>
                <w:noProof w:val="0"/>
                <w:vanish w:val="0"/>
                <w:color w:val="auto"/>
              </w:rPr>
            </w:pPr>
            <w:r w:rsidRPr="00D5189B">
              <w:t>2024</w:t>
            </w:r>
            <w:r w:rsidR="00817416" w:rsidRPr="00D5189B">
              <w:t>-202</w:t>
            </w:r>
            <w:r w:rsidRPr="00D5189B">
              <w:t>9</w:t>
            </w:r>
          </w:p>
        </w:tc>
        <w:tc>
          <w:tcPr>
            <w:tcW w:w="2268" w:type="dxa"/>
            <w:shd w:val="clear" w:color="auto" w:fill="auto"/>
          </w:tcPr>
          <w:p w14:paraId="6ED895B4" w14:textId="77777777" w:rsidR="00751A4A" w:rsidRPr="00D5189B" w:rsidRDefault="00187494" w:rsidP="0010095E">
            <w:pPr>
              <w:pStyle w:val="EPLogo"/>
            </w:pPr>
            <w:r w:rsidRPr="00D5189B">
              <w:rPr>
                <w:noProof/>
                <w:lang w:eastAsia="ja-JP"/>
              </w:rPr>
              <w:drawing>
                <wp:inline distT="0" distB="0" distL="0" distR="0" wp14:anchorId="008D25A6" wp14:editId="41EA08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6AC26F" w14:textId="77777777" w:rsidR="00D058B8" w:rsidRPr="00D5189B" w:rsidRDefault="00D058B8" w:rsidP="004C5D52">
      <w:pPr>
        <w:pStyle w:val="LineTop"/>
      </w:pPr>
    </w:p>
    <w:p w14:paraId="77B1D2DE" w14:textId="77777777" w:rsidR="00680577" w:rsidRPr="00D5189B" w:rsidRDefault="006A4F10" w:rsidP="00680577">
      <w:pPr>
        <w:pStyle w:val="EPBodyTA1"/>
      </w:pPr>
      <w:r w:rsidRPr="00D5189B">
        <w:t>ΚΕΙΜΕΝΑ ΠΟΥ ΕΓΚΡΙΘΗΚΑΝ</w:t>
      </w:r>
    </w:p>
    <w:p w14:paraId="7BF397D7" w14:textId="77777777" w:rsidR="00D058B8" w:rsidRPr="00D5189B" w:rsidRDefault="00D058B8" w:rsidP="00D058B8">
      <w:pPr>
        <w:pStyle w:val="LineBottom"/>
      </w:pPr>
    </w:p>
    <w:p w14:paraId="4B150EF6" w14:textId="5A2690B5" w:rsidR="006A4F10" w:rsidRPr="00D5189B" w:rsidRDefault="006A4F10" w:rsidP="006A4F10">
      <w:pPr>
        <w:pStyle w:val="ATHeading1"/>
      </w:pPr>
      <w:bookmarkStart w:id="0" w:name="TANumber"/>
      <w:r w:rsidRPr="00D5189B">
        <w:t>P10_TA(202</w:t>
      </w:r>
      <w:r w:rsidR="005D253F" w:rsidRPr="00D5189B">
        <w:t>6</w:t>
      </w:r>
      <w:r w:rsidRPr="00D5189B">
        <w:t>)000</w:t>
      </w:r>
      <w:r w:rsidR="00D5189B" w:rsidRPr="00D5189B">
        <w:t>4</w:t>
      </w:r>
      <w:bookmarkEnd w:id="0"/>
    </w:p>
    <w:p w14:paraId="01EBD6F3" w14:textId="77777777" w:rsidR="006A4F10" w:rsidRPr="00D5189B" w:rsidRDefault="006A4F10" w:rsidP="006A4F10">
      <w:pPr>
        <w:pStyle w:val="ATHeading2"/>
      </w:pPr>
      <w:bookmarkStart w:id="1" w:name="title"/>
      <w:r w:rsidRPr="00D5189B">
        <w:t>Διασφάλιση και προώθηση της χρηματοπιστωτικής σταθερότητας εν μέσω οικονομικής αβεβαιότητας</w:t>
      </w:r>
      <w:bookmarkEnd w:id="1"/>
    </w:p>
    <w:p w14:paraId="4FA1EB1D" w14:textId="77777777" w:rsidR="006A4F10" w:rsidRPr="00D5189B" w:rsidRDefault="006A4F10" w:rsidP="006A4F10">
      <w:pPr>
        <w:rPr>
          <w:i/>
          <w:vanish/>
        </w:rPr>
      </w:pPr>
      <w:r w:rsidRPr="00D5189B">
        <w:rPr>
          <w:i/>
        </w:rPr>
        <w:fldChar w:fldCharType="begin"/>
      </w:r>
      <w:r w:rsidRPr="00D5189B">
        <w:rPr>
          <w:i/>
        </w:rPr>
        <w:instrText xml:space="preserve"> TC"(</w:instrText>
      </w:r>
      <w:bookmarkStart w:id="2" w:name="DocNumber"/>
      <w:r w:rsidRPr="00D5189B">
        <w:rPr>
          <w:i/>
        </w:rPr>
        <w:instrText>A10-0232/2025</w:instrText>
      </w:r>
      <w:bookmarkEnd w:id="2"/>
      <w:r w:rsidRPr="00D5189B">
        <w:rPr>
          <w:i/>
        </w:rPr>
        <w:instrText xml:space="preserve"> - Εισηγητής: Johan Van Overtveldt)"\l3 \n&gt; \* MERGEFORMAT </w:instrText>
      </w:r>
      <w:r w:rsidRPr="00D5189B">
        <w:rPr>
          <w:i/>
        </w:rPr>
        <w:fldChar w:fldCharType="end"/>
      </w:r>
    </w:p>
    <w:p w14:paraId="11C59247" w14:textId="77777777" w:rsidR="006A4F10" w:rsidRPr="00D5189B" w:rsidRDefault="006A4F10" w:rsidP="006A4F10">
      <w:pPr>
        <w:rPr>
          <w:vanish/>
        </w:rPr>
      </w:pPr>
      <w:bookmarkStart w:id="3" w:name="Commission"/>
      <w:r w:rsidRPr="00D5189B">
        <w:rPr>
          <w:vanish/>
        </w:rPr>
        <w:t>Επιτροπή Οικονομικής και Νομισματικής Πολιτικής</w:t>
      </w:r>
      <w:bookmarkEnd w:id="3"/>
    </w:p>
    <w:p w14:paraId="638976FF" w14:textId="77777777" w:rsidR="006A4F10" w:rsidRPr="00D5189B" w:rsidRDefault="006A4F10" w:rsidP="006A4F10">
      <w:pPr>
        <w:rPr>
          <w:vanish/>
        </w:rPr>
      </w:pPr>
      <w:bookmarkStart w:id="4" w:name="PE"/>
      <w:r w:rsidRPr="00D5189B">
        <w:rPr>
          <w:vanish/>
        </w:rPr>
        <w:t>PE771.960</w:t>
      </w:r>
      <w:bookmarkEnd w:id="4"/>
    </w:p>
    <w:p w14:paraId="2BA7003C" w14:textId="253837BD" w:rsidR="006A4F10" w:rsidRPr="00D5189B" w:rsidRDefault="006A4F10" w:rsidP="006A4F10">
      <w:pPr>
        <w:pStyle w:val="ATHeading3"/>
      </w:pPr>
      <w:bookmarkStart w:id="5" w:name="Sujet"/>
      <w:r w:rsidRPr="00D5189B">
        <w:t xml:space="preserve">Ψήφισμα του Ευρωπαϊκού Κοινοβουλίου </w:t>
      </w:r>
      <w:r w:rsidR="005D253F" w:rsidRPr="00D5189B">
        <w:t xml:space="preserve">της </w:t>
      </w:r>
      <w:r w:rsidR="00E30E0B" w:rsidRPr="00D5189B">
        <w:t>20ή</w:t>
      </w:r>
      <w:r w:rsidR="005D253F" w:rsidRPr="00D5189B">
        <w:t xml:space="preserve">ς Ιανουαρίου 2026 </w:t>
      </w:r>
      <w:r w:rsidRPr="00D5189B">
        <w:t>σχετικά με τη διασφάλιση και την προώθηση της χρηματοπιστωτικής σταθερότητας εν μέσω οικονομικής αβεβαιότητας</w:t>
      </w:r>
      <w:bookmarkEnd w:id="5"/>
      <w:r w:rsidRPr="00D5189B">
        <w:t xml:space="preserve"> </w:t>
      </w:r>
      <w:bookmarkStart w:id="6" w:name="References"/>
      <w:r w:rsidRPr="00D5189B">
        <w:t>(2025/2051(INI))</w:t>
      </w:r>
      <w:bookmarkEnd w:id="6"/>
    </w:p>
    <w:p w14:paraId="5BE11597" w14:textId="77777777" w:rsidR="0020749A" w:rsidRPr="00D5189B" w:rsidRDefault="0020749A" w:rsidP="0020749A">
      <w:pPr>
        <w:pStyle w:val="NormalBold12a"/>
      </w:pPr>
    </w:p>
    <w:p w14:paraId="65062296" w14:textId="77777777" w:rsidR="0020749A" w:rsidRPr="00D5189B" w:rsidRDefault="0020749A" w:rsidP="0020749A">
      <w:pPr>
        <w:pStyle w:val="Normal12"/>
      </w:pPr>
      <w:r w:rsidRPr="00D5189B">
        <w:rPr>
          <w:i/>
        </w:rPr>
        <w:t>Το Ευρωπαϊκό Κοινοβούλιο</w:t>
      </w:r>
      <w:r w:rsidRPr="00D5189B">
        <w:t>,</w:t>
      </w:r>
    </w:p>
    <w:p w14:paraId="3769C170" w14:textId="7CDB50EE" w:rsidR="0020749A" w:rsidRPr="00D5189B" w:rsidRDefault="0020749A" w:rsidP="005D253F">
      <w:pPr>
        <w:pStyle w:val="NormalHanging"/>
        <w:ind w:left="567" w:hanging="567"/>
      </w:pPr>
      <w:r w:rsidRPr="00D5189B">
        <w:t>–</w:t>
      </w:r>
      <w:r w:rsidRPr="00D5189B">
        <w:tab/>
        <w:t xml:space="preserve">έχοντας υπόψη την έκθεση της Επιτροπής, της 24ης Ιανουαρίου 2024, σχετικά με την επανεξέταση του πλαισίου μακροπροληπτικής εποπτείας για πιστωτικά ιδρύματα, τους συστημικούς κινδύνους που συνδέονται με μη τραπεζικούς χρηματοοικονομικούς διαμεσολαβητές (NBFI) και τη </w:t>
      </w:r>
      <w:proofErr w:type="spellStart"/>
      <w:r w:rsidRPr="00D5189B">
        <w:t>διασυνδεσιμότητά</w:t>
      </w:r>
      <w:proofErr w:type="spellEnd"/>
      <w:r w:rsidRPr="00D5189B">
        <w:t xml:space="preserve"> τους με πιστωτικά ιδρύματα, σύμφωνα με το άρθρο 513 του κανονισμού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για την τροποποίηση του κανονισμού (ΕΕ) αριθ. 648/2012 (COM(2024)0021),</w:t>
      </w:r>
    </w:p>
    <w:p w14:paraId="6F2EC392" w14:textId="530D7E2D" w:rsidR="0020749A" w:rsidRPr="00D5189B" w:rsidRDefault="0020749A" w:rsidP="005D253F">
      <w:pPr>
        <w:pStyle w:val="NormalHanging"/>
        <w:ind w:left="567" w:hanging="567"/>
      </w:pPr>
      <w:r w:rsidRPr="00D5189B">
        <w:t>–</w:t>
      </w:r>
      <w:r w:rsidRPr="00D5189B">
        <w:tab/>
        <w:t>έχοντας υπόψη την έκθεση της Ευρωπαϊκής Κεντρικής Τράπεζας (ΕΚΤ) για τη χρηματοπιστωτική σταθερότητα, του Νοεμβρίου</w:t>
      </w:r>
      <w:r w:rsidR="00FB4E5B" w:rsidRPr="00D5189B">
        <w:t xml:space="preserve"> του</w:t>
      </w:r>
      <w:r w:rsidRPr="00D5189B">
        <w:t xml:space="preserve"> 2024,</w:t>
      </w:r>
    </w:p>
    <w:p w14:paraId="7011A8BB" w14:textId="77777777" w:rsidR="0020749A" w:rsidRPr="00D5189B" w:rsidRDefault="0020749A" w:rsidP="005D253F">
      <w:pPr>
        <w:pStyle w:val="NormalHanging"/>
        <w:ind w:left="567" w:hanging="567"/>
      </w:pPr>
      <w:r w:rsidRPr="00D5189B">
        <w:t>–</w:t>
      </w:r>
      <w:r w:rsidRPr="00D5189B">
        <w:tab/>
        <w:t>έχοντας υπόψη την έκθεση της ΕΚΤ για τη χρηματοπιστωτική σταθερότητα, του Μαΐου του 2025,</w:t>
      </w:r>
    </w:p>
    <w:p w14:paraId="7082EEF7" w14:textId="675A3F4E" w:rsidR="0020749A" w:rsidRPr="00D5189B" w:rsidRDefault="0020749A" w:rsidP="005D253F">
      <w:pPr>
        <w:pStyle w:val="NormalHanging"/>
        <w:ind w:left="567" w:hanging="567"/>
      </w:pPr>
      <w:r w:rsidRPr="00D5189B">
        <w:t>–</w:t>
      </w:r>
      <w:r w:rsidRPr="00D5189B">
        <w:tab/>
        <w:t xml:space="preserve">έχοντας υπόψη την τριμηνιαία επισκόπηση της Τράπεζας Διεθνών Διακανονισμών (ΤΔΔ), του Μαρτίου </w:t>
      </w:r>
      <w:r w:rsidR="00FB4E5B" w:rsidRPr="00D5189B">
        <w:t xml:space="preserve">του </w:t>
      </w:r>
      <w:r w:rsidRPr="00D5189B">
        <w:t>2025, σχετικά με τις εξελίξεις στις διεθνείς τραπεζικές και χρηματοπιστωτικές αγορές,</w:t>
      </w:r>
    </w:p>
    <w:p w14:paraId="6A165C42" w14:textId="77777777" w:rsidR="0020749A" w:rsidRPr="00D5189B" w:rsidRDefault="0020749A" w:rsidP="005D253F">
      <w:pPr>
        <w:pStyle w:val="NormalHanging"/>
        <w:ind w:left="567" w:hanging="567"/>
      </w:pPr>
      <w:r w:rsidRPr="00D5189B">
        <w:t>–</w:t>
      </w:r>
      <w:r w:rsidRPr="00D5189B">
        <w:tab/>
        <w:t>έχοντας υπόψη την επιστολή της 21ης Φεβρουαρίου 2025 που απηύθυνε ο πρόεδρος του Συμβουλίου Χρηματοπιστωτικής Σταθερότητας (ΣΧΣ) προς τους υπουργούς Οικονομικών και τους διοικητές Κεντρικών Τραπεζών της G20,</w:t>
      </w:r>
    </w:p>
    <w:p w14:paraId="76DE4AC8" w14:textId="2CD67221" w:rsidR="0020749A" w:rsidRPr="00D5189B" w:rsidRDefault="0020749A" w:rsidP="005D253F">
      <w:pPr>
        <w:pStyle w:val="NormalHanging"/>
        <w:ind w:left="567" w:hanging="567"/>
      </w:pPr>
      <w:r w:rsidRPr="00D5189B">
        <w:t>–</w:t>
      </w:r>
      <w:r w:rsidRPr="00D5189B">
        <w:tab/>
        <w:t xml:space="preserve">έχοντας υπόψη την έκθεση προόδου του ΣΧΣ, της 22ας Οκτωβρίου 2024, με τίτλο «G20 </w:t>
      </w:r>
      <w:proofErr w:type="spellStart"/>
      <w:r w:rsidRPr="00D5189B">
        <w:t>Crypto-asset</w:t>
      </w:r>
      <w:proofErr w:type="spellEnd"/>
      <w:r w:rsidRPr="00D5189B">
        <w:t xml:space="preserve"> Policy </w:t>
      </w:r>
      <w:proofErr w:type="spellStart"/>
      <w:r w:rsidRPr="00D5189B">
        <w:t>Implementation</w:t>
      </w:r>
      <w:proofErr w:type="spellEnd"/>
      <w:r w:rsidRPr="00D5189B">
        <w:t xml:space="preserve"> </w:t>
      </w:r>
      <w:proofErr w:type="spellStart"/>
      <w:r w:rsidRPr="00D5189B">
        <w:t>Roadmap</w:t>
      </w:r>
      <w:proofErr w:type="spellEnd"/>
      <w:r w:rsidRPr="00D5189B">
        <w:t xml:space="preserve">» </w:t>
      </w:r>
      <w:r w:rsidR="00FB4E5B" w:rsidRPr="00D5189B">
        <w:t>(</w:t>
      </w:r>
      <w:r w:rsidRPr="00D5189B">
        <w:t>Χάρτης πορείας της G20 για την εφαρμογή της πολιτικής για τα κρυπτοστοιχεία</w:t>
      </w:r>
      <w:r w:rsidR="00FB4E5B" w:rsidRPr="00D5189B">
        <w:t>)</w:t>
      </w:r>
      <w:r w:rsidRPr="00D5189B">
        <w:t>,</w:t>
      </w:r>
    </w:p>
    <w:p w14:paraId="48E7CFB2" w14:textId="1282921C" w:rsidR="0020749A" w:rsidRPr="00D5189B" w:rsidRDefault="0020749A" w:rsidP="005D253F">
      <w:pPr>
        <w:pStyle w:val="NormalHanging"/>
        <w:ind w:left="567" w:hanging="567"/>
      </w:pPr>
      <w:r w:rsidRPr="00D5189B">
        <w:t>–</w:t>
      </w:r>
      <w:r w:rsidRPr="00D5189B">
        <w:tab/>
        <w:t xml:space="preserve">έχοντας υπόψη την έκθεση του ΣΧΣ, του Οκτωβρίου </w:t>
      </w:r>
      <w:r w:rsidR="00FB4E5B" w:rsidRPr="00D5189B">
        <w:t xml:space="preserve">του </w:t>
      </w:r>
      <w:r w:rsidRPr="00D5189B">
        <w:t xml:space="preserve">2021, με τίτλο «Policy </w:t>
      </w:r>
      <w:proofErr w:type="spellStart"/>
      <w:r w:rsidRPr="00D5189B">
        <w:t>proposals</w:t>
      </w:r>
      <w:proofErr w:type="spellEnd"/>
      <w:r w:rsidRPr="00D5189B">
        <w:t xml:space="preserve"> </w:t>
      </w:r>
      <w:proofErr w:type="spellStart"/>
      <w:r w:rsidRPr="00D5189B">
        <w:t>to</w:t>
      </w:r>
      <w:proofErr w:type="spellEnd"/>
      <w:r w:rsidRPr="00D5189B">
        <w:t xml:space="preserve"> </w:t>
      </w:r>
      <w:proofErr w:type="spellStart"/>
      <w:r w:rsidRPr="00D5189B">
        <w:t>enhancing</w:t>
      </w:r>
      <w:proofErr w:type="spellEnd"/>
      <w:r w:rsidRPr="00D5189B">
        <w:t xml:space="preserve"> </w:t>
      </w:r>
      <w:proofErr w:type="spellStart"/>
      <w:r w:rsidRPr="00D5189B">
        <w:t>money</w:t>
      </w:r>
      <w:proofErr w:type="spellEnd"/>
      <w:r w:rsidRPr="00D5189B">
        <w:t xml:space="preserve"> </w:t>
      </w:r>
      <w:proofErr w:type="spellStart"/>
      <w:r w:rsidRPr="00D5189B">
        <w:t>market</w:t>
      </w:r>
      <w:proofErr w:type="spellEnd"/>
      <w:r w:rsidRPr="00D5189B">
        <w:t xml:space="preserve"> </w:t>
      </w:r>
      <w:proofErr w:type="spellStart"/>
      <w:r w:rsidRPr="00D5189B">
        <w:t>funds</w:t>
      </w:r>
      <w:proofErr w:type="spellEnd"/>
      <w:r w:rsidRPr="00D5189B">
        <w:t xml:space="preserve"> </w:t>
      </w:r>
      <w:proofErr w:type="spellStart"/>
      <w:r w:rsidRPr="00D5189B">
        <w:t>resilience</w:t>
      </w:r>
      <w:proofErr w:type="spellEnd"/>
      <w:r w:rsidRPr="00D5189B">
        <w:t xml:space="preserve">: </w:t>
      </w:r>
      <w:proofErr w:type="spellStart"/>
      <w:r w:rsidRPr="00D5189B">
        <w:t>Final</w:t>
      </w:r>
      <w:proofErr w:type="spellEnd"/>
      <w:r w:rsidRPr="00D5189B">
        <w:t xml:space="preserve"> </w:t>
      </w:r>
      <w:proofErr w:type="spellStart"/>
      <w:r w:rsidRPr="00D5189B">
        <w:t>report</w:t>
      </w:r>
      <w:proofErr w:type="spellEnd"/>
      <w:r w:rsidRPr="00D5189B">
        <w:t xml:space="preserve">» </w:t>
      </w:r>
      <w:r w:rsidR="00FB4E5B" w:rsidRPr="00D5189B">
        <w:t>(</w:t>
      </w:r>
      <w:r w:rsidRPr="00D5189B">
        <w:t xml:space="preserve">Προτάσεις </w:t>
      </w:r>
      <w:r w:rsidRPr="00D5189B">
        <w:lastRenderedPageBreak/>
        <w:t xml:space="preserve">πολιτικής για την ενίσχυση της ανθεκτικότητας των αμοιβαίων κεφαλαίων της χρηματαγοράς: </w:t>
      </w:r>
      <w:r w:rsidR="00FB4E5B" w:rsidRPr="00D5189B">
        <w:t>Τ</w:t>
      </w:r>
      <w:r w:rsidRPr="00D5189B">
        <w:t>ελική έκθεση</w:t>
      </w:r>
      <w:r w:rsidR="00FB4E5B" w:rsidRPr="00D5189B">
        <w:t>)</w:t>
      </w:r>
      <w:r w:rsidRPr="00D5189B">
        <w:t>,</w:t>
      </w:r>
    </w:p>
    <w:p w14:paraId="0017AF04" w14:textId="510DE886" w:rsidR="0020749A" w:rsidRPr="00D5189B" w:rsidRDefault="0020749A" w:rsidP="005D253F">
      <w:pPr>
        <w:pStyle w:val="NormalHanging"/>
        <w:ind w:left="567" w:hanging="567"/>
      </w:pPr>
      <w:r w:rsidRPr="00D5189B">
        <w:t>–</w:t>
      </w:r>
      <w:r w:rsidRPr="00D5189B">
        <w:tab/>
        <w:t xml:space="preserve">έχοντας υπόψη την απάντηση του Ευρωπαϊκού Συμβουλίου Συστημικού Κινδύνου (ΕΣΣΚ), του Νοεμβρίου </w:t>
      </w:r>
      <w:r w:rsidR="00FB4E5B" w:rsidRPr="00D5189B">
        <w:t xml:space="preserve">του </w:t>
      </w:r>
      <w:r w:rsidRPr="00D5189B">
        <w:t xml:space="preserve">2024, στη διαβούλευση της Επιτροπής για την αξιολόγηση της επάρκειας των </w:t>
      </w:r>
      <w:proofErr w:type="spellStart"/>
      <w:r w:rsidRPr="00D5189B">
        <w:t>μακροπροληπτικών</w:t>
      </w:r>
      <w:proofErr w:type="spellEnd"/>
      <w:r w:rsidRPr="00D5189B">
        <w:t xml:space="preserve"> πολιτικών για τη μη τραπεζική χρηματοοικονομική διαμεσολάβηση, με τίτλο «A </w:t>
      </w:r>
      <w:proofErr w:type="spellStart"/>
      <w:r w:rsidRPr="00D5189B">
        <w:t>system-wide</w:t>
      </w:r>
      <w:proofErr w:type="spellEnd"/>
      <w:r w:rsidRPr="00D5189B">
        <w:t xml:space="preserve"> </w:t>
      </w:r>
      <w:proofErr w:type="spellStart"/>
      <w:r w:rsidRPr="00D5189B">
        <w:t>approach</w:t>
      </w:r>
      <w:proofErr w:type="spellEnd"/>
      <w:r w:rsidRPr="00D5189B">
        <w:t xml:space="preserve"> </w:t>
      </w:r>
      <w:proofErr w:type="spellStart"/>
      <w:r w:rsidRPr="00D5189B">
        <w:t>to</w:t>
      </w:r>
      <w:proofErr w:type="spellEnd"/>
      <w:r w:rsidRPr="00D5189B">
        <w:t xml:space="preserve"> </w:t>
      </w:r>
      <w:proofErr w:type="spellStart"/>
      <w:r w:rsidRPr="00D5189B">
        <w:t>macroprudential</w:t>
      </w:r>
      <w:proofErr w:type="spellEnd"/>
      <w:r w:rsidRPr="00D5189B">
        <w:t xml:space="preserve"> </w:t>
      </w:r>
      <w:proofErr w:type="spellStart"/>
      <w:r w:rsidRPr="00D5189B">
        <w:t>policy</w:t>
      </w:r>
      <w:proofErr w:type="spellEnd"/>
      <w:r w:rsidRPr="00D5189B">
        <w:t xml:space="preserve">» </w:t>
      </w:r>
      <w:r w:rsidR="00FB4E5B" w:rsidRPr="00D5189B">
        <w:t>(</w:t>
      </w:r>
      <w:r w:rsidRPr="00D5189B">
        <w:t>Μια συστημική προσέγγιση της μακροπροληπτικής πολιτικής</w:t>
      </w:r>
      <w:r w:rsidR="00FB4E5B" w:rsidRPr="00D5189B">
        <w:t>)</w:t>
      </w:r>
      <w:r w:rsidRPr="00D5189B">
        <w:t>,</w:t>
      </w:r>
    </w:p>
    <w:p w14:paraId="27A1EDA4" w14:textId="5C9A7C9D" w:rsidR="0020749A" w:rsidRPr="00D5189B" w:rsidRDefault="0020749A" w:rsidP="005D253F">
      <w:pPr>
        <w:pStyle w:val="NormalHanging"/>
        <w:ind w:left="567" w:hanging="567"/>
      </w:pPr>
      <w:r w:rsidRPr="00D5189B">
        <w:t>–</w:t>
      </w:r>
      <w:r w:rsidRPr="00D5189B">
        <w:tab/>
        <w:t xml:space="preserve">έχοντας υπόψη την έκθεση συμμόρφωσης του ΕΣΣΚ, του Φεβρουαρίου </w:t>
      </w:r>
      <w:r w:rsidR="00FB4E5B" w:rsidRPr="00D5189B">
        <w:t xml:space="preserve">του </w:t>
      </w:r>
      <w:r w:rsidRPr="00D5189B">
        <w:t>2025, στη σύσταση του ΕΣΣΚ, της 2ας Δεκεμβρίου 2021, σχετικά με τη μεταρρύθμιση των αμοιβαίων κεφαλαίων της χρηματαγοράς (ESRB/2021/9),</w:t>
      </w:r>
    </w:p>
    <w:p w14:paraId="0A268779" w14:textId="5BA98673" w:rsidR="0020749A" w:rsidRPr="00D5189B" w:rsidRDefault="0020749A" w:rsidP="005D253F">
      <w:pPr>
        <w:pStyle w:val="NormalHanging"/>
        <w:ind w:left="567" w:hanging="567"/>
      </w:pPr>
      <w:r w:rsidRPr="00D5189B">
        <w:t>–</w:t>
      </w:r>
      <w:r w:rsidRPr="00D5189B">
        <w:tab/>
        <w:t xml:space="preserve">έχοντας υπόψη το έγγραφο, της 31ης Μαρτίου 2025, της Μικτής Επιτροπής των Ευρωπαϊκών Εποπτικών Αρχών με τίτλο «Joint Committee </w:t>
      </w:r>
      <w:proofErr w:type="spellStart"/>
      <w:r w:rsidRPr="00D5189B">
        <w:t>update</w:t>
      </w:r>
      <w:proofErr w:type="spellEnd"/>
      <w:r w:rsidRPr="00D5189B">
        <w:t xml:space="preserve"> on </w:t>
      </w:r>
      <w:proofErr w:type="spellStart"/>
      <w:r w:rsidRPr="00D5189B">
        <w:t>risks</w:t>
      </w:r>
      <w:proofErr w:type="spellEnd"/>
      <w:r w:rsidRPr="00D5189B">
        <w:t xml:space="preserve"> and </w:t>
      </w:r>
      <w:proofErr w:type="spellStart"/>
      <w:r w:rsidRPr="00D5189B">
        <w:t>vulnerabilities</w:t>
      </w:r>
      <w:proofErr w:type="spellEnd"/>
      <w:r w:rsidRPr="00D5189B">
        <w:t xml:space="preserve"> in the EU </w:t>
      </w:r>
      <w:proofErr w:type="spellStart"/>
      <w:r w:rsidRPr="00D5189B">
        <w:t>financial</w:t>
      </w:r>
      <w:proofErr w:type="spellEnd"/>
      <w:r w:rsidRPr="00D5189B">
        <w:t xml:space="preserve"> </w:t>
      </w:r>
      <w:proofErr w:type="spellStart"/>
      <w:r w:rsidRPr="00D5189B">
        <w:t>system</w:t>
      </w:r>
      <w:proofErr w:type="spellEnd"/>
      <w:r w:rsidRPr="00D5189B">
        <w:t xml:space="preserve"> – </w:t>
      </w:r>
      <w:proofErr w:type="spellStart"/>
      <w:r w:rsidRPr="00D5189B">
        <w:t>spring</w:t>
      </w:r>
      <w:proofErr w:type="spellEnd"/>
      <w:r w:rsidRPr="00D5189B">
        <w:t xml:space="preserve"> 2025» </w:t>
      </w:r>
      <w:r w:rsidR="00FB4E5B" w:rsidRPr="00D5189B">
        <w:t>(</w:t>
      </w:r>
      <w:r w:rsidRPr="00D5189B">
        <w:t>Ενημέρωση σχετικά με τους κινδύνους και τις ευπάθειες του χρηματοοικονομικού συστήματος της ΕΕ – Άνοιξη 2025</w:t>
      </w:r>
      <w:r w:rsidR="00FB4E5B" w:rsidRPr="00D5189B">
        <w:t>)</w:t>
      </w:r>
      <w:r w:rsidRPr="00D5189B">
        <w:t>,</w:t>
      </w:r>
    </w:p>
    <w:p w14:paraId="0327D460" w14:textId="77777777" w:rsidR="0020749A" w:rsidRPr="00D5189B" w:rsidRDefault="0020749A" w:rsidP="005D253F">
      <w:pPr>
        <w:pStyle w:val="NormalHanging"/>
        <w:ind w:left="567" w:hanging="567"/>
      </w:pPr>
      <w:r w:rsidRPr="00D5189B">
        <w:t>–</w:t>
      </w:r>
      <w:r w:rsidRPr="00D5189B">
        <w:tab/>
        <w:t>έχοντας υπόψη τη γνώμη της Ευρωπαϊκής Αρχής Κινητών Αξιών και Αγορών (ESMA), της 14ης Φεβρουαρίου 2022, σχετικά με την επανεξέταση του κανονισμού για τα αμοιβαία κεφάλαια της χρηματαγοράς,</w:t>
      </w:r>
    </w:p>
    <w:p w14:paraId="2A0B08D2" w14:textId="1197D467" w:rsidR="0020749A" w:rsidRPr="00D5189B" w:rsidRDefault="0020749A" w:rsidP="005D253F">
      <w:pPr>
        <w:pStyle w:val="NormalHanging"/>
        <w:ind w:left="567" w:hanging="567"/>
      </w:pPr>
      <w:r w:rsidRPr="00D5189B">
        <w:t>–</w:t>
      </w:r>
      <w:r w:rsidRPr="00D5189B">
        <w:tab/>
        <w:t>έχοντας υπόψη την έκθεση του Διεθνούς Νομισματικού Ταμείου (ΔΝΤ), της 22ας</w:t>
      </w:r>
      <w:r w:rsidR="00FB4E5B" w:rsidRPr="00D5189B">
        <w:t> </w:t>
      </w:r>
      <w:r w:rsidRPr="00D5189B">
        <w:t>Απριλίου 2025, για την παγκόσμια χρηματοπιστωτική σταθερότητα,</w:t>
      </w:r>
    </w:p>
    <w:p w14:paraId="045E1EA3" w14:textId="44F7AB1B" w:rsidR="0020749A" w:rsidRPr="00D5189B" w:rsidRDefault="0020749A" w:rsidP="005D253F">
      <w:pPr>
        <w:pStyle w:val="NormalHanging"/>
        <w:ind w:left="567" w:hanging="567"/>
      </w:pPr>
      <w:r w:rsidRPr="00D5189B">
        <w:t>–</w:t>
      </w:r>
      <w:r w:rsidRPr="00D5189B">
        <w:tab/>
        <w:t xml:space="preserve">έχοντας υπόψη την έκθεση του </w:t>
      </w:r>
      <w:proofErr w:type="spellStart"/>
      <w:r w:rsidRPr="00D5189B">
        <w:t>Mario</w:t>
      </w:r>
      <w:proofErr w:type="spellEnd"/>
      <w:r w:rsidRPr="00D5189B">
        <w:t xml:space="preserve"> </w:t>
      </w:r>
      <w:proofErr w:type="spellStart"/>
      <w:r w:rsidRPr="00D5189B">
        <w:t>Draghi</w:t>
      </w:r>
      <w:proofErr w:type="spellEnd"/>
      <w:r w:rsidRPr="00D5189B">
        <w:t xml:space="preserve">, της 9ης Σεπτεμβρίου 2024, με τίτλο «The </w:t>
      </w:r>
      <w:proofErr w:type="spellStart"/>
      <w:r w:rsidRPr="00D5189B">
        <w:t>future</w:t>
      </w:r>
      <w:proofErr w:type="spellEnd"/>
      <w:r w:rsidRPr="00D5189B">
        <w:t xml:space="preserve"> of European </w:t>
      </w:r>
      <w:proofErr w:type="spellStart"/>
      <w:r w:rsidRPr="00D5189B">
        <w:t>competitiveness</w:t>
      </w:r>
      <w:proofErr w:type="spellEnd"/>
      <w:r w:rsidRPr="00D5189B">
        <w:t xml:space="preserve">» </w:t>
      </w:r>
      <w:r w:rsidR="00FB4E5B" w:rsidRPr="00D5189B">
        <w:t>(</w:t>
      </w:r>
      <w:r w:rsidRPr="00D5189B">
        <w:t>Το μέλλον της ευρωπαϊκής ανταγωνιστικότητας</w:t>
      </w:r>
      <w:r w:rsidR="00FB4E5B" w:rsidRPr="00D5189B">
        <w:t>)</w:t>
      </w:r>
      <w:r w:rsidRPr="00D5189B">
        <w:t xml:space="preserve"> (έκθεση </w:t>
      </w:r>
      <w:proofErr w:type="spellStart"/>
      <w:r w:rsidRPr="00D5189B">
        <w:t>Draghi</w:t>
      </w:r>
      <w:proofErr w:type="spellEnd"/>
      <w:r w:rsidRPr="00D5189B">
        <w:t>),</w:t>
      </w:r>
    </w:p>
    <w:p w14:paraId="29C9FC21" w14:textId="6DD3A56C" w:rsidR="0020749A" w:rsidRPr="00D5189B" w:rsidRDefault="0020749A" w:rsidP="005D253F">
      <w:pPr>
        <w:pStyle w:val="NormalHanging"/>
        <w:ind w:left="567" w:hanging="567"/>
      </w:pPr>
      <w:r w:rsidRPr="00D5189B">
        <w:t>–</w:t>
      </w:r>
      <w:r w:rsidRPr="00D5189B">
        <w:tab/>
        <w:t xml:space="preserve">έχοντας υπόψη την έκθεση του </w:t>
      </w:r>
      <w:proofErr w:type="spellStart"/>
      <w:r w:rsidRPr="00D5189B">
        <w:t>Enrico</w:t>
      </w:r>
      <w:proofErr w:type="spellEnd"/>
      <w:r w:rsidRPr="00D5189B">
        <w:t xml:space="preserve"> Letta, της 17ης Απριλίου 2024, με τίτλο «</w:t>
      </w:r>
      <w:proofErr w:type="spellStart"/>
      <w:r w:rsidRPr="00D5189B">
        <w:t>Much</w:t>
      </w:r>
      <w:proofErr w:type="spellEnd"/>
      <w:r w:rsidRPr="00D5189B">
        <w:t xml:space="preserve"> </w:t>
      </w:r>
      <w:proofErr w:type="spellStart"/>
      <w:r w:rsidRPr="00D5189B">
        <w:t>more</w:t>
      </w:r>
      <w:proofErr w:type="spellEnd"/>
      <w:r w:rsidRPr="00D5189B">
        <w:t xml:space="preserve"> </w:t>
      </w:r>
      <w:proofErr w:type="spellStart"/>
      <w:r w:rsidRPr="00D5189B">
        <w:t>than</w:t>
      </w:r>
      <w:proofErr w:type="spellEnd"/>
      <w:r w:rsidRPr="00D5189B">
        <w:t xml:space="preserve"> a </w:t>
      </w:r>
      <w:proofErr w:type="spellStart"/>
      <w:r w:rsidRPr="00D5189B">
        <w:t>market</w:t>
      </w:r>
      <w:proofErr w:type="spellEnd"/>
      <w:r w:rsidRPr="00D5189B">
        <w:t xml:space="preserve">» </w:t>
      </w:r>
      <w:r w:rsidR="00FB4E5B" w:rsidRPr="00D5189B">
        <w:t>(</w:t>
      </w:r>
      <w:r w:rsidRPr="00D5189B">
        <w:t>Πολύ περισσότερο από μια απλή αγορά</w:t>
      </w:r>
      <w:r w:rsidR="00FB4E5B" w:rsidRPr="00D5189B">
        <w:t>)</w:t>
      </w:r>
      <w:r w:rsidRPr="00D5189B">
        <w:t xml:space="preserve"> (έκθεση Letta),</w:t>
      </w:r>
    </w:p>
    <w:p w14:paraId="44DA3835" w14:textId="77777777" w:rsidR="0020749A" w:rsidRPr="00D5189B" w:rsidRDefault="0020749A" w:rsidP="005D253F">
      <w:pPr>
        <w:pStyle w:val="NormalHanging"/>
        <w:ind w:left="567" w:hanging="567"/>
      </w:pPr>
      <w:r w:rsidRPr="00D5189B">
        <w:t>–</w:t>
      </w:r>
      <w:r w:rsidRPr="00D5189B">
        <w:tab/>
        <w:t>έχοντας υπόψη το ψήφισμά του, της 6ης Ιουλίου 2011, σχετικά με τη χρηματοπιστωτική, οικονομική και κοινωνική κρίση: συστάσεις για τα ενδεικνυόμενα μέτρα και πρωτοβουλίες</w:t>
      </w:r>
      <w:r w:rsidRPr="00D5189B">
        <w:rPr>
          <w:rStyle w:val="FootnoteReference"/>
        </w:rPr>
        <w:footnoteReference w:customMarkFollows="1" w:id="1"/>
        <w:t>1</w:t>
      </w:r>
      <w:r w:rsidRPr="00D5189B">
        <w:t>,</w:t>
      </w:r>
    </w:p>
    <w:p w14:paraId="02AB2844" w14:textId="77777777" w:rsidR="0020749A" w:rsidRPr="00D5189B" w:rsidRDefault="0020749A" w:rsidP="005D253F">
      <w:pPr>
        <w:pStyle w:val="NormalHanging"/>
        <w:ind w:left="567" w:hanging="567"/>
      </w:pPr>
      <w:r w:rsidRPr="00D5189B">
        <w:t>–</w:t>
      </w:r>
      <w:r w:rsidRPr="00D5189B">
        <w:tab/>
        <w:t>έχοντας υπόψη την έκθεση της Επιτροπής Οικονομικής και Νομισματικής Πολιτικής, της 26ης Μαρτίου 2025, σχετικά με την Τραπεζική Ένωση – ετήσια έκθεση 2024,</w:t>
      </w:r>
    </w:p>
    <w:p w14:paraId="7B347877" w14:textId="77777777" w:rsidR="0020749A" w:rsidRPr="00D5189B" w:rsidRDefault="0020749A" w:rsidP="005D253F">
      <w:pPr>
        <w:pStyle w:val="NormalHanging"/>
        <w:ind w:left="567" w:hanging="567"/>
      </w:pPr>
      <w:r w:rsidRPr="00D5189B">
        <w:t>–</w:t>
      </w:r>
      <w:r w:rsidRPr="00D5189B">
        <w:tab/>
        <w:t xml:space="preserve">έχοντας υπόψη την ακρόαση της Επιτροπής Οικονομικής και Νομισματικής Πολιτικής, της 19ης Μαρτίου 2025, σχετικά με την αξιολόγηση της επάρκειας του </w:t>
      </w:r>
      <w:proofErr w:type="spellStart"/>
      <w:r w:rsidRPr="00D5189B">
        <w:t>μακροπροληπτικού</w:t>
      </w:r>
      <w:proofErr w:type="spellEnd"/>
      <w:r w:rsidRPr="00D5189B">
        <w:t xml:space="preserve"> πλαισίου για τα μη τραπεζικά χρηματοπιστωτικά ιδρύματα στην ΕΕ,</w:t>
      </w:r>
    </w:p>
    <w:p w14:paraId="26FE5D2D" w14:textId="77777777" w:rsidR="0020749A" w:rsidRPr="00D5189B" w:rsidRDefault="0020749A" w:rsidP="005D253F">
      <w:pPr>
        <w:pStyle w:val="NormalHanging"/>
        <w:ind w:left="567" w:hanging="567"/>
      </w:pPr>
      <w:r w:rsidRPr="00D5189B">
        <w:t>–</w:t>
      </w:r>
      <w:r w:rsidRPr="00D5189B">
        <w:tab/>
        <w:t>έχοντας υπόψη το άρθρο 55 του Κανονισμού του,</w:t>
      </w:r>
    </w:p>
    <w:p w14:paraId="07496024" w14:textId="77777777" w:rsidR="0020749A" w:rsidRPr="00D5189B" w:rsidRDefault="0020749A" w:rsidP="005D253F">
      <w:pPr>
        <w:pStyle w:val="NormalHanging"/>
        <w:ind w:left="567" w:hanging="567"/>
      </w:pPr>
      <w:r w:rsidRPr="00D5189B">
        <w:lastRenderedPageBreak/>
        <w:t>–</w:t>
      </w:r>
      <w:r w:rsidRPr="00D5189B">
        <w:tab/>
        <w:t>έχοντας υπόψη την έκθεση της Επιτροπής Οικονομικής και Νομισματικής Πολιτικής (A10-0232/2025),</w:t>
      </w:r>
    </w:p>
    <w:p w14:paraId="24FA01EC" w14:textId="77777777" w:rsidR="0020749A" w:rsidRPr="00D5189B" w:rsidRDefault="0020749A" w:rsidP="005D253F">
      <w:pPr>
        <w:pStyle w:val="NormalHanging"/>
        <w:ind w:left="567" w:hanging="567"/>
      </w:pPr>
      <w:r w:rsidRPr="00D5189B">
        <w:t>Α.</w:t>
      </w:r>
      <w:r w:rsidRPr="00D5189B">
        <w:tab/>
        <w:t>λαμβάνοντας υπόψη ότι η χρηματοπιστωτική σταθερότητα παραμένει ακρογωνιαίος λίθος της οικονομικής ανθεκτικότητας και ανάπτυξης και γι’ αυτό απαιτείται επαγρύπνηση ενόψει της υψηλής οικονομικής αβεβαιότητας, των εξωτερικών κλυδωνισμών και των συστημικών κινδύνων·</w:t>
      </w:r>
    </w:p>
    <w:p w14:paraId="26288118" w14:textId="77777777" w:rsidR="0020749A" w:rsidRPr="00D5189B" w:rsidRDefault="0020749A" w:rsidP="005D253F">
      <w:pPr>
        <w:pStyle w:val="NormalHanging"/>
        <w:ind w:left="567" w:hanging="567"/>
      </w:pPr>
      <w:r w:rsidRPr="00D5189B">
        <w:t>Β.</w:t>
      </w:r>
      <w:r w:rsidRPr="00D5189B">
        <w:tab/>
        <w:t>λαμβάνοντας υπόψη ότι η παγκόσμια χρηματοπιστωτική κρίση έχει καταστήσει εμφανείς τους παγκόσμιας κλίμακας κινδύνους χρηματοπιστωτικής αστάθειας με τους οποίους βρίσκονται αντιμέτωπες οι προηγμένες οικονομίες·</w:t>
      </w:r>
    </w:p>
    <w:p w14:paraId="7AED3EB2" w14:textId="77777777" w:rsidR="0020749A" w:rsidRPr="00D5189B" w:rsidRDefault="0020749A" w:rsidP="005D253F">
      <w:pPr>
        <w:pStyle w:val="NormalHanging"/>
        <w:ind w:left="567" w:hanging="567"/>
      </w:pPr>
      <w:r w:rsidRPr="00D5189B">
        <w:t>Γ.</w:t>
      </w:r>
      <w:r w:rsidRPr="00D5189B">
        <w:tab/>
        <w:t>λαμβάνοντας υπόψη ότι η συνεχιζόμενη επίθεση της Ρωσίας κατά της Ουκρανίας και οι οικονομικές συνέπειές της έχουν προκαλέσει πληθωριστικές πιέσεις, αστάθεια στις αγορές ενέργειας και χρηματοπιστωτική αβεβαιότητα·</w:t>
      </w:r>
    </w:p>
    <w:p w14:paraId="7A8B2FB7" w14:textId="77777777" w:rsidR="0020749A" w:rsidRPr="00D5189B" w:rsidRDefault="0020749A" w:rsidP="005D253F">
      <w:pPr>
        <w:pStyle w:val="NormalHanging"/>
        <w:ind w:left="567" w:hanging="567"/>
      </w:pPr>
      <w:r w:rsidRPr="00D5189B">
        <w:t>Δ.</w:t>
      </w:r>
      <w:r w:rsidRPr="00D5189B">
        <w:tab/>
        <w:t>λαμβάνοντας υπόψη ότι η επιβολή δασμών συμβάλλει στον κατακερματισμό του παγκόσμιου εμπορίου, επιδεινώνοντας τις διαταραχές στην αλυσίδα εφοδιασμού και δημιουργώντας πρόσθετους κινδύνους για τις χρηματοπιστωτικές αγορές και την ευρύτερη οικονομία·</w:t>
      </w:r>
    </w:p>
    <w:p w14:paraId="48B285D4" w14:textId="77777777" w:rsidR="0020749A" w:rsidRPr="00D5189B" w:rsidRDefault="0020749A" w:rsidP="005D253F">
      <w:pPr>
        <w:pStyle w:val="NormalHanging"/>
        <w:ind w:left="567" w:hanging="567"/>
      </w:pPr>
      <w:r w:rsidRPr="00D5189B">
        <w:t>Ε.</w:t>
      </w:r>
      <w:r w:rsidRPr="00D5189B">
        <w:tab/>
        <w:t>λαμβάνοντας υπόψη ότι μια Ένωση Κεφαλαιαγορών (CMU) με ικανοποιητικό βαθμό ολοκλήρωσης είναι απαραίτητη για την απορρόφηση των κλυδωνισμών, την προώθηση των επενδύσεων εντός της ΕΕ και την περαιτέρω ολοκλήρωση της ενιαίας αγοράς·</w:t>
      </w:r>
    </w:p>
    <w:p w14:paraId="03C4E3B8" w14:textId="77777777" w:rsidR="0020749A" w:rsidRPr="00D5189B" w:rsidRDefault="0020749A" w:rsidP="005D253F">
      <w:pPr>
        <w:pStyle w:val="NormalHanging"/>
        <w:ind w:left="567" w:hanging="567"/>
      </w:pPr>
      <w:r w:rsidRPr="00D5189B">
        <w:t>ΣΤ.</w:t>
      </w:r>
      <w:r w:rsidRPr="00D5189B">
        <w:tab/>
        <w:t>λαμβάνοντας υπόψη ότι η σταθερότητα των μη τραπεζικών χρηματοοικονομικών διαμεσολαβητών (NBFI) θα είναι ακόμη πιο σημαντική αν η Ευρωπαϊκή Ένωση μεταφέρει μεγαλύτερο μέρος της χρηματοδότησής της στις κεφαλαιαγορές·</w:t>
      </w:r>
    </w:p>
    <w:p w14:paraId="3360CB2F" w14:textId="77777777" w:rsidR="0020749A" w:rsidRPr="00D5189B" w:rsidRDefault="0020749A" w:rsidP="005D253F">
      <w:pPr>
        <w:pStyle w:val="NormalHanging"/>
        <w:ind w:left="567" w:hanging="567"/>
      </w:pPr>
      <w:r w:rsidRPr="00D5189B">
        <w:t>Ζ.</w:t>
      </w:r>
      <w:r w:rsidRPr="00D5189B">
        <w:tab/>
        <w:t>λαμβάνοντας υπόψη ότι οι NBFI δραστηριοποιούνται σε πολύ διαφορετικούς τομείς·</w:t>
      </w:r>
    </w:p>
    <w:p w14:paraId="235F8C8A" w14:textId="77777777" w:rsidR="0020749A" w:rsidRPr="00D5189B" w:rsidRDefault="0020749A" w:rsidP="005D253F">
      <w:pPr>
        <w:pStyle w:val="NormalHanging"/>
        <w:ind w:left="567" w:hanging="567"/>
      </w:pPr>
      <w:r w:rsidRPr="00D5189B">
        <w:t>Η.</w:t>
      </w:r>
      <w:r w:rsidRPr="00D5189B">
        <w:tab/>
        <w:t>λαμβάνοντας υπόψη ότι η καθυστερημένη οικονομική ανάπτυξη, η οποία επιδεινώνεται από τις εμπορικές εντάσεις, έχει δυσμενείς επιπτώσεις στις μοχλευμένες οντότητες και θα αυξήσει τον πιστωτικό κίνδυνο για τα χρηματοπιστωτικά ιδρύματα·</w:t>
      </w:r>
    </w:p>
    <w:p w14:paraId="239F4208" w14:textId="77777777" w:rsidR="0020749A" w:rsidRPr="00D5189B" w:rsidRDefault="0020749A" w:rsidP="005D253F">
      <w:pPr>
        <w:pStyle w:val="NormalHanging"/>
        <w:ind w:left="567" w:hanging="567"/>
      </w:pPr>
      <w:r w:rsidRPr="00D5189B">
        <w:t>Θ.</w:t>
      </w:r>
      <w:r w:rsidRPr="00D5189B">
        <w:tab/>
        <w:t>λαμβάνοντας υπόψη ότι οι υψηλές αποτιμήσεις περιουσιακών στοιχείων στις αγορές μετοχών και εταιρικών ομολόγων εγείρουν ανησυχίες σχετικά με τη δυνατότητα διόρθωσης της αγοράς με συστημικές συνέπειες·</w:t>
      </w:r>
    </w:p>
    <w:p w14:paraId="2FB4F3B7" w14:textId="77777777" w:rsidR="0020749A" w:rsidRPr="00D5189B" w:rsidRDefault="0020749A" w:rsidP="005D253F">
      <w:pPr>
        <w:pStyle w:val="NormalHanging"/>
        <w:ind w:left="567" w:hanging="567"/>
      </w:pPr>
      <w:r w:rsidRPr="00D5189B">
        <w:t>Ι.</w:t>
      </w:r>
      <w:r w:rsidRPr="00D5189B">
        <w:tab/>
        <w:t>λαμβάνοντας υπόψη ότι ο τομέας των οικιστικών ακινήτων, ο οποίος έχει επωφεληθεί από το περιβάλλον χαμηλών επιτοκίων, διαδραματίζει καίριο ρόλο στη χρηματοπιστωτική σταθερότητα λόγω της κεντρικής του θέσης στην οικονομία, του σημαντικού μεριδίου του πλούτου των νοικοκυριών που συγκεντρώνεται σε ακίνητα, της βασικής συμμετοχής του χρηματοπιστωτικού τομέα στη χρηματοδότηση επενδύσεων σε ακίνητα, και της κρίσιμης λειτουργίας των ακινήτων ως εξασφαλίσεων στις πιστωτικές αγορές·</w:t>
      </w:r>
    </w:p>
    <w:p w14:paraId="4BF67FE8" w14:textId="77777777" w:rsidR="0020749A" w:rsidRPr="00D5189B" w:rsidRDefault="0020749A" w:rsidP="005D253F">
      <w:pPr>
        <w:pStyle w:val="NormalHanging"/>
        <w:ind w:left="567" w:hanging="567"/>
      </w:pPr>
      <w:r w:rsidRPr="00D5189B">
        <w:t>ΙΑ.</w:t>
      </w:r>
      <w:r w:rsidRPr="00D5189B">
        <w:tab/>
        <w:t>λαμβάνοντας υπόψη ότι η πολυπλοκότητα και η διασύνδεση μεταξύ των χρηματοπιστωτικών τομέων έχουν αποκτήσει μεγαλύτερη σημασία, καθώς οι NBFI είναι καθαροί δανειστές των τραπεζών και της ευρύτερης οικονομίας·</w:t>
      </w:r>
    </w:p>
    <w:p w14:paraId="4A95CB9C" w14:textId="5F190271" w:rsidR="0020749A" w:rsidRPr="00D5189B" w:rsidRDefault="0020749A" w:rsidP="005D253F">
      <w:pPr>
        <w:pStyle w:val="NormalHanging"/>
        <w:ind w:left="567" w:hanging="567"/>
      </w:pPr>
      <w:r w:rsidRPr="00D5189B">
        <w:lastRenderedPageBreak/>
        <w:t>ΙΒ.</w:t>
      </w:r>
      <w:r w:rsidRPr="00D5189B">
        <w:tab/>
        <w:t xml:space="preserve">λαμβάνοντας υπόψη ότι το αποτύπωμα των NBFI στις στρατηγικές χρηματοπιστωτικές αγορές, όπως οι αγορές κρατικών ομολόγων, έχει αυξηθεί, όπως φάνηκε από την τακτική των αμοιβαίων κεφαλαίων αντιστάθμισης κινδύνου να κλείσουν θέσεις σε βασικές συναλλαγές συμβολαίων μελλοντικής εκπλήρωσης με μετρητά στην αγορά κρατικών τίτλων των ΗΠΑ κατά τη διάρκεια της κρίσης των δασμών του Απριλίου </w:t>
      </w:r>
      <w:r w:rsidR="00FB4E5B" w:rsidRPr="00D5189B">
        <w:t xml:space="preserve">του </w:t>
      </w:r>
      <w:r w:rsidRPr="00D5189B">
        <w:t>2025·</w:t>
      </w:r>
    </w:p>
    <w:p w14:paraId="6FB101D3" w14:textId="77777777" w:rsidR="0020749A" w:rsidRPr="00D5189B" w:rsidRDefault="0020749A" w:rsidP="005D253F">
      <w:pPr>
        <w:pStyle w:val="NormalHanging"/>
        <w:ind w:left="567" w:hanging="567"/>
      </w:pPr>
      <w:r w:rsidRPr="00D5189B">
        <w:t>ΙΓ.</w:t>
      </w:r>
      <w:r w:rsidRPr="00D5189B">
        <w:tab/>
        <w:t>λαμβάνοντας υπόψη ότι οι στοχευμένες μεταρρυθμίσεις θα μπορούσαν να βελτιώσουν την ανθεκτικότητα των αμοιβαίων κεφαλαίων της χρηματαγοράς της ΕΕ σύμφωνα με τα διεθνή πρότυπα·</w:t>
      </w:r>
    </w:p>
    <w:p w14:paraId="749FF9E7" w14:textId="77777777" w:rsidR="0020749A" w:rsidRPr="00D5189B" w:rsidRDefault="0020749A" w:rsidP="005D253F">
      <w:pPr>
        <w:pStyle w:val="NormalHanging"/>
        <w:ind w:left="567" w:hanging="567"/>
      </w:pPr>
      <w:r w:rsidRPr="00D5189B">
        <w:t>ΙΔ.</w:t>
      </w:r>
      <w:r w:rsidRPr="00D5189B">
        <w:tab/>
        <w:t>λαμβάνοντας υπόψη ότι ο χρηματοπιστωτικός τομέας παραμένει ευάλωτος σε κυβερνοαπειλές, τακτικές υβριδικού πολέμου και αφανείς μοχλεύσεις που θα μπορούσαν να αποσταθεροποιήσουν κρίσιμες χρηματοπιστωτικές υποδομές·</w:t>
      </w:r>
    </w:p>
    <w:p w14:paraId="384315AB" w14:textId="77777777" w:rsidR="0020749A" w:rsidRPr="00D5189B" w:rsidRDefault="0020749A" w:rsidP="005D253F">
      <w:pPr>
        <w:pStyle w:val="Normal12a"/>
        <w:rPr>
          <w:b/>
          <w:bCs/>
        </w:rPr>
      </w:pPr>
      <w:r w:rsidRPr="00D5189B">
        <w:rPr>
          <w:b/>
          <w:bCs/>
          <w:i/>
        </w:rPr>
        <w:t>Τραπεζική Ένωση και Ένωση Κεφαλαιαγορών: απορρόφηση κλυδωνισμών και ανθεκτικότητα</w:t>
      </w:r>
    </w:p>
    <w:p w14:paraId="00A3199E" w14:textId="2EE6016C" w:rsidR="0020749A" w:rsidRPr="00D5189B" w:rsidRDefault="004B080E" w:rsidP="004B080E">
      <w:pPr>
        <w:pStyle w:val="NormalHanging12a"/>
        <w:ind w:left="570" w:hanging="570"/>
      </w:pPr>
      <w:r w:rsidRPr="00D5189B">
        <w:t>1.</w:t>
      </w:r>
      <w:r w:rsidRPr="00D5189B">
        <w:tab/>
      </w:r>
      <w:r w:rsidR="0020749A" w:rsidRPr="00D5189B">
        <w:t xml:space="preserve">επικροτεί την επανέναρξη της συζήτησης σχετικά με την ανάγκη να τονωθεί η παραγωγικότητα και η ανταγωνιστικότητα της ΕΕ με καλύτερα ολοκληρωμένες κεφαλαιαγορές και μια αποδοτική, από πλευράς πόρων, οικονομία, όπως περιγράφεται στις εκθέσεις </w:t>
      </w:r>
      <w:proofErr w:type="spellStart"/>
      <w:r w:rsidR="0020749A" w:rsidRPr="00D5189B">
        <w:t>Draghi</w:t>
      </w:r>
      <w:proofErr w:type="spellEnd"/>
      <w:r w:rsidR="0020749A" w:rsidRPr="00D5189B">
        <w:t xml:space="preserve"> και Letta·</w:t>
      </w:r>
    </w:p>
    <w:p w14:paraId="0C1A635F" w14:textId="78A00B7F" w:rsidR="0020749A" w:rsidRPr="00D5189B" w:rsidRDefault="004B080E" w:rsidP="004B080E">
      <w:pPr>
        <w:pStyle w:val="NormalHanging12a"/>
        <w:ind w:left="570" w:hanging="570"/>
      </w:pPr>
      <w:r w:rsidRPr="00D5189B">
        <w:t>2.</w:t>
      </w:r>
      <w:r w:rsidRPr="00D5189B">
        <w:tab/>
      </w:r>
      <w:r w:rsidR="0020749A" w:rsidRPr="00D5189B">
        <w:t>καλεί την Επιτροπή να δώσει προτεραιότητα σε ένα θεματολόγιο για την Ένωση Κεφαλαιαγορών που στηρίζει την ανταγωνιστικότητα της ΕΕ χωρίς να υπονομεύει τη χρηματοπιστωτική σταθερότητα·</w:t>
      </w:r>
    </w:p>
    <w:p w14:paraId="6B62E3FD" w14:textId="2F30A7BF" w:rsidR="0020749A" w:rsidRPr="00D5189B" w:rsidRDefault="004B080E" w:rsidP="004B080E">
      <w:pPr>
        <w:pStyle w:val="NormalHanging12a"/>
        <w:ind w:left="570" w:hanging="570"/>
      </w:pPr>
      <w:r w:rsidRPr="00D5189B">
        <w:t>3.</w:t>
      </w:r>
      <w:r w:rsidRPr="00D5189B">
        <w:tab/>
      </w:r>
      <w:r w:rsidR="0020749A" w:rsidRPr="00D5189B">
        <w:t>τονίζει τον στόχο της Ένωσης Κεφαλαιαγορών να κινητοποιήσει αποτελεσματικότερα ιδιωτικά κεφάλαια για τη γεφύρωση του επενδυτικού κενού της ΕΕ, και τον ρόλο που μπορεί να διαδραματίσει ως μέσο απορρόφησης κρίσεων· υπογραμμίζει ότι το θεματολόγιο για την Ένωση Κεφαλαιαγορών θα πρέπει επίσης να συμβάλει στη διόρθωση των διαρθρωτικών ανισορροπιών στο χρηματοοικονομικό σύστημα της ΕΕ· αποδοκιμάζει το γεγονός ότι εξακολουθεί να υπάρχει μια προτίμηση για ευνοϊκή φορολογική μεταχείριση του χρέους των εταιρειών έναντι του μετοχικού κεφαλαίου·</w:t>
      </w:r>
    </w:p>
    <w:p w14:paraId="4BD15A42" w14:textId="04B858BB" w:rsidR="0020749A" w:rsidRPr="00D5189B" w:rsidRDefault="004B080E" w:rsidP="004B080E">
      <w:pPr>
        <w:pStyle w:val="NormalHanging12a"/>
        <w:ind w:left="570" w:hanging="570"/>
      </w:pPr>
      <w:r w:rsidRPr="00D5189B">
        <w:t>4.</w:t>
      </w:r>
      <w:r w:rsidRPr="00D5189B">
        <w:tab/>
      </w:r>
      <w:r w:rsidR="0020749A" w:rsidRPr="00D5189B">
        <w:t>αναγνωρίζει ότι η ολοκλήρωση της Τραπεζικής Ένωσης πρέπει να αποτελεί στρατηγική προτεραιότητα για την εμβάθυνση της Οικονομικής και Νομισματικής Ένωσης·</w:t>
      </w:r>
    </w:p>
    <w:p w14:paraId="39806314" w14:textId="0CE69394" w:rsidR="0020749A" w:rsidRPr="00D5189B" w:rsidRDefault="004B080E" w:rsidP="004B080E">
      <w:pPr>
        <w:pStyle w:val="NormalHanging12a"/>
        <w:ind w:left="570" w:hanging="570"/>
      </w:pPr>
      <w:r w:rsidRPr="00D5189B">
        <w:t>5.</w:t>
      </w:r>
      <w:r w:rsidRPr="00D5189B">
        <w:tab/>
      </w:r>
      <w:r w:rsidR="0020749A" w:rsidRPr="00D5189B">
        <w:t>σημειώνει τις προκλήσεις που απορρέουν από τις πιο ολοκληρωμένες χρηματοπιστωτικές αγορές ελλείψει πιο συνεκτικής εποπτείας, συμπεριλαμβανομένης της στάθμισης μεταξύ, αφενός, του αποτελεσματικού επιμερισμού του κινδύνου και της διαφοροποίησης και, αφετέρου, των κινδύνων μετάδοσης, διάχυσης και ενίσχυσης·</w:t>
      </w:r>
    </w:p>
    <w:p w14:paraId="0D65CC96" w14:textId="4DD8B00C" w:rsidR="0020749A" w:rsidRPr="00D5189B" w:rsidRDefault="004B080E" w:rsidP="004B080E">
      <w:pPr>
        <w:pStyle w:val="NormalHanging12a"/>
        <w:ind w:left="570" w:hanging="570"/>
      </w:pPr>
      <w:r w:rsidRPr="00D5189B">
        <w:t>6.</w:t>
      </w:r>
      <w:r w:rsidRPr="00D5189B">
        <w:tab/>
      </w:r>
      <w:r w:rsidR="0020749A" w:rsidRPr="00D5189B">
        <w:t>αναγνωρίζει τη στάθμιση όσον αφορά τη διασυνοριακή τραπεζική ενοποίηση μεταξύ, αφενός, της γεωγραφικής διαφοροποίησης, των διασυνοριακών χρηματοπιστωτικών υπηρεσιών, των οικονομιών κλίμακας και της δυνητικής αποδυνάμωσης του εξαιρετικά ισχυρού δεσμού μεταξύ τραπεζών και κρατών και, αφετέρου, του προβλήματος της ύπαρξης ιδρυμάτων το μέγεθος των οποίων δεν επιτρέπει την πτώχευση, της δυνητικής αποδυνάμωσης των μικρότερων χρηματοπιστωτικών κέντρων και των δεσμών με τις μικρές και μεσαίες επιχειρήσεις (ΜΜΕ) και τις τοπικές οικονομίες·</w:t>
      </w:r>
    </w:p>
    <w:p w14:paraId="15665390" w14:textId="32B466CE" w:rsidR="0020749A" w:rsidRPr="00D5189B" w:rsidRDefault="004B080E" w:rsidP="004B080E">
      <w:pPr>
        <w:pStyle w:val="NormalHanging12a"/>
        <w:ind w:left="570" w:hanging="570"/>
      </w:pPr>
      <w:r w:rsidRPr="00D5189B">
        <w:lastRenderedPageBreak/>
        <w:t>7.</w:t>
      </w:r>
      <w:r w:rsidRPr="00D5189B">
        <w:tab/>
      </w:r>
      <w:r w:rsidR="0020749A" w:rsidRPr="00D5189B">
        <w:t>σημειώνει ότι συστημικός κίνδυνος μπορεί επίσης να ανακύψει από μικρότερα ιδρύματα, καθώς ενδέχεται να παρουσιάζουν άκρως συσχετισμένους ισολογισμούς·</w:t>
      </w:r>
    </w:p>
    <w:p w14:paraId="11A07037" w14:textId="3F837F38" w:rsidR="0020749A" w:rsidRPr="00D5189B" w:rsidRDefault="004B080E" w:rsidP="004B080E">
      <w:pPr>
        <w:pStyle w:val="NormalHanging12a"/>
        <w:ind w:left="570" w:hanging="570"/>
      </w:pPr>
      <w:r w:rsidRPr="00D5189B">
        <w:t>8.</w:t>
      </w:r>
      <w:r w:rsidRPr="00D5189B">
        <w:tab/>
      </w:r>
      <w:r w:rsidR="0020749A" w:rsidRPr="00D5189B">
        <w:t>τονίζει τη σημασία της πρόσβασης σε κεφάλαια, ιδίως για τις ΜΜΕ, όπως τα επιχειρηματικά κεφάλαια που διοχετεύονται σε εταιρείες ανάπτυξης, με παράλληλη διατήρηση της χρηματοπιστωτικής σταθερότητας, ούτως ώστε να συμβαδίζουν η ανάπτυξη και η ανθεκτικότητα·</w:t>
      </w:r>
    </w:p>
    <w:p w14:paraId="52FDAA99" w14:textId="77777777" w:rsidR="0020749A" w:rsidRPr="00D5189B" w:rsidRDefault="0020749A" w:rsidP="005D253F">
      <w:pPr>
        <w:pStyle w:val="Normal12a"/>
        <w:ind w:left="567" w:hanging="567"/>
      </w:pPr>
      <w:r w:rsidRPr="00D5189B">
        <w:rPr>
          <w:b/>
          <w:i/>
        </w:rPr>
        <w:t>Μακροοικονομικοί κίνδυνοι και γεωπολιτική αστάθεια</w:t>
      </w:r>
    </w:p>
    <w:p w14:paraId="68868765" w14:textId="65B72E99" w:rsidR="0020749A" w:rsidRPr="00D5189B" w:rsidRDefault="004B080E" w:rsidP="004B080E">
      <w:pPr>
        <w:pStyle w:val="NormalHanging12a"/>
        <w:ind w:left="570" w:hanging="570"/>
      </w:pPr>
      <w:r w:rsidRPr="00D5189B">
        <w:t>9.</w:t>
      </w:r>
      <w:r w:rsidRPr="00D5189B">
        <w:tab/>
      </w:r>
      <w:r w:rsidR="0020749A" w:rsidRPr="00D5189B">
        <w:t>επισημαίνει τον πρωταρχικό στόχο της ΕΚΤ για διατήρηση της σταθερότητας των τιμών και την καίρια συμβολή του ΕΣΣΚ, των ευρωπαϊκών εποπτικών αρχών και των κεντρικών τραπεζών στη χρηματοπιστωτική σταθερότητα στην Ένωση·</w:t>
      </w:r>
    </w:p>
    <w:p w14:paraId="0C052967" w14:textId="56AA7E2B" w:rsidR="0020749A" w:rsidRPr="00D5189B" w:rsidRDefault="004B080E" w:rsidP="004B080E">
      <w:pPr>
        <w:pStyle w:val="NormalHanging12a"/>
        <w:ind w:left="570" w:hanging="570"/>
      </w:pPr>
      <w:r w:rsidRPr="00D5189B">
        <w:t>10.</w:t>
      </w:r>
      <w:r w:rsidRPr="00D5189B">
        <w:tab/>
      </w:r>
      <w:r w:rsidR="0020749A" w:rsidRPr="00D5189B">
        <w:t>υπενθυμίζει ότι το Ευρωσύστημα έχει διαμορφωθεί με βάση την αρχή της νομισματικής κυριαρχίας· ζητεί τη διατήρηση της ανεξαρτησίας της ΕΚΤ ως παράγοντα στήριξης της χρηματοπιστωτικής σταθερότητας·</w:t>
      </w:r>
    </w:p>
    <w:p w14:paraId="3D1203A0" w14:textId="0AD98AB2" w:rsidR="0020749A" w:rsidRPr="00D5189B" w:rsidRDefault="004B080E" w:rsidP="004B080E">
      <w:pPr>
        <w:pStyle w:val="NormalHanging12a"/>
        <w:ind w:left="570" w:hanging="570"/>
      </w:pPr>
      <w:r w:rsidRPr="00D5189B">
        <w:t>11.</w:t>
      </w:r>
      <w:r w:rsidRPr="00D5189B">
        <w:tab/>
      </w:r>
      <w:r w:rsidR="0020749A" w:rsidRPr="00D5189B">
        <w:t>τονίζει ότι ορισμένες παρεμβάσεις της κεντρικής τράπεζας στην αγορά ενέχουν κίνδυνο στρεβλώσεων της αγοράς που ενδέχεται να επηρεάσουν τη χρηματοπιστωτική σταθερότητα·</w:t>
      </w:r>
    </w:p>
    <w:p w14:paraId="7721D53B" w14:textId="025826EA" w:rsidR="0020749A" w:rsidRPr="00D5189B" w:rsidRDefault="004B080E" w:rsidP="004B080E">
      <w:pPr>
        <w:pStyle w:val="NormalHanging12a"/>
        <w:ind w:left="570" w:hanging="570"/>
      </w:pPr>
      <w:r w:rsidRPr="00D5189B">
        <w:t>12.</w:t>
      </w:r>
      <w:r w:rsidRPr="00D5189B">
        <w:tab/>
      </w:r>
      <w:r w:rsidR="0020749A" w:rsidRPr="00D5189B">
        <w:t>λαμβάνει υπόψη την έκθεση της Ένωσης σε εξωτερικούς κλυδωνισμούς λόγω στενών αλληλεξαρτήσεων με ξένες χρηματοπιστωτικές αγορές και οντότητες, την εξάρτηση μεγάλων τμημάτων του ενωσιακού χρηματοπιστωτικού τομέα από παρόχους υπηρεσιών εκτός ΕΕ, και τις πιέσεις που προκύπτουν από τις αυξανόμενες εμπορικές εντάσεις εν μέσω γεωπολιτικής αβεβαιότητας·</w:t>
      </w:r>
    </w:p>
    <w:p w14:paraId="67FE3CE8" w14:textId="7C130FF5" w:rsidR="0020749A" w:rsidRPr="00D5189B" w:rsidRDefault="004B080E" w:rsidP="004B080E">
      <w:pPr>
        <w:pStyle w:val="NormalHanging12a"/>
        <w:ind w:left="570" w:hanging="570"/>
      </w:pPr>
      <w:r w:rsidRPr="00D5189B">
        <w:t>13.</w:t>
      </w:r>
      <w:r w:rsidRPr="00D5189B">
        <w:tab/>
      </w:r>
      <w:r w:rsidR="0020749A" w:rsidRPr="00D5189B">
        <w:t>τονίζει τους κινδύνους υψηλού δημόσιου χρέους και ελλειμμάτων· υπενθυμίζει ότι οι ανησυχίες της αγοράς σχετικά με τη βιωσιμότητα του δημόσιου χρέους, η ύπαρξη ανεπαρκούς τραπεζικού ρυθμιστικού πλαισίου εκείνη την εποχή και η μετάδοση μέσω διασυνδεδεμένων χρηματοπιστωτικών συστημάτων οδήγησαν στη χρηματοπιστωτική κρίση του 2008 και στην επακόλουθη κρίση που έπληξε την ευρωζώνη·</w:t>
      </w:r>
    </w:p>
    <w:p w14:paraId="1F736F84" w14:textId="438FBB59" w:rsidR="0020749A" w:rsidRPr="00D5189B" w:rsidRDefault="004B080E" w:rsidP="004B080E">
      <w:pPr>
        <w:pStyle w:val="NormalHanging12a"/>
        <w:ind w:left="570" w:hanging="570"/>
      </w:pPr>
      <w:r w:rsidRPr="00D5189B">
        <w:t>14.</w:t>
      </w:r>
      <w:r w:rsidRPr="00D5189B">
        <w:tab/>
      </w:r>
      <w:r w:rsidR="0020749A" w:rsidRPr="00D5189B">
        <w:t>προειδοποιεί για τις δευτερογενείς επιπτώσεις στον χρηματοπιστωτικό τομέα· σημειώνει, στο πλαίσιο αυτό, τις εκκλήσεις για μετριασμό των συστημικών ευπαθειών· τονίζει, ωστόσο, ότι τυχόν μελλοντικές εξελίξεις δεν θα πρέπει να υπονομεύουν την εθνική αρμοδιότητα σε θέματα προϋπολογισμού·</w:t>
      </w:r>
    </w:p>
    <w:p w14:paraId="2A89EFA0" w14:textId="31CA93AA" w:rsidR="0020749A" w:rsidRPr="00D5189B" w:rsidRDefault="004B080E" w:rsidP="004B080E">
      <w:pPr>
        <w:pStyle w:val="NormalHanging12a"/>
        <w:ind w:left="570" w:hanging="570"/>
      </w:pPr>
      <w:r w:rsidRPr="00D5189B">
        <w:t>15.</w:t>
      </w:r>
      <w:r w:rsidRPr="00D5189B">
        <w:tab/>
      </w:r>
      <w:r w:rsidR="0020749A" w:rsidRPr="00D5189B">
        <w:t>καλεί την Επιτροπή να επιβάλει τη συμμόρφωση με το πλαίσιο οικονομικής διακυβέρνησης της ΕΕ και τη σύγκλιση με τους δημοσιονομικούς κανόνες του Συμφώνου Σταθερότητας και Ανάπτυξης για τη διασφάλιση υγιών και βιώσιμων δημόσιων οικονομικών·</w:t>
      </w:r>
    </w:p>
    <w:p w14:paraId="08BA8A58" w14:textId="7DC60C16" w:rsidR="0020749A" w:rsidRPr="00D5189B" w:rsidRDefault="004B080E" w:rsidP="004B080E">
      <w:pPr>
        <w:pStyle w:val="NormalHanging12a"/>
        <w:ind w:left="570" w:hanging="570"/>
      </w:pPr>
      <w:r w:rsidRPr="00D5189B">
        <w:t>16.</w:t>
      </w:r>
      <w:r w:rsidRPr="00D5189B">
        <w:tab/>
      </w:r>
      <w:r w:rsidR="0020749A" w:rsidRPr="00D5189B">
        <w:t>αναγνωρίζει ότι οι διαρθρωτικές μεταρρυθμίσεις για την ενίσχυση της χρηματοπιστωτικής και θεσμικής αρχιτεκτονικής της ζώνης του ευρώ και η μείωση του κατακερματισμού της αγοράς θα μπορούσαν να ενισχύσουν τον διεθνή ρόλο του ευρώ και ενδεχομένως να στηρίξουν τη χρηματοπιστωτική και νομισματική σταθερότητα· σημειώνει τις εν εξελίξει συζητήσεις για το ψηφιακό ευρώ·</w:t>
      </w:r>
    </w:p>
    <w:p w14:paraId="775A14CD" w14:textId="78AC1C49" w:rsidR="0020749A" w:rsidRPr="00D5189B" w:rsidRDefault="004B080E" w:rsidP="004B080E">
      <w:pPr>
        <w:pStyle w:val="NormalHanging12a"/>
        <w:ind w:left="570" w:hanging="570"/>
      </w:pPr>
      <w:r w:rsidRPr="00D5189B">
        <w:t>17.</w:t>
      </w:r>
      <w:r w:rsidRPr="00D5189B">
        <w:tab/>
      </w:r>
      <w:r w:rsidR="0020749A" w:rsidRPr="00D5189B">
        <w:t xml:space="preserve">εφιστά την προσοχή στην αστάθεια που θα μπορούσε να προκληθεί από χρηματοπιστωτικά ιδρύματα με υψηλή μόχλευση, αναγνωρίζοντας παράλληλα ότι </w:t>
      </w:r>
      <w:r w:rsidR="0020749A" w:rsidRPr="00D5189B">
        <w:lastRenderedPageBreak/>
        <w:t>μπορούν να διαδραματίσουν οικονομικό ρόλο, μεταξύ άλλων παρεμβαίνοντας σε πράξεις αντιστάθμισης κινδύνου, βελτιώνοντας τη ρευστότητα της αγοράς, επιτρέποντας τον καθορισμό των τιμών ή τον επιμερισμό του κινδύνου·</w:t>
      </w:r>
    </w:p>
    <w:p w14:paraId="55DCFD93" w14:textId="75F2A4E0" w:rsidR="0020749A" w:rsidRPr="00D5189B" w:rsidRDefault="004B080E" w:rsidP="004B080E">
      <w:pPr>
        <w:pStyle w:val="NormalHanging12a"/>
        <w:ind w:left="570" w:hanging="570"/>
      </w:pPr>
      <w:r w:rsidRPr="00D5189B">
        <w:t>18.</w:t>
      </w:r>
      <w:r w:rsidRPr="00D5189B">
        <w:tab/>
      </w:r>
      <w:r w:rsidR="0020749A" w:rsidRPr="00D5189B">
        <w:t xml:space="preserve">τονίζει τη σημασία του συντονισμού μεταξύ των αρχών μακροπροληπτικής εποπτείας μέσω της ανάλυσης και της εποπτείας των συστημικών κινδύνων, και της ευθυγράμμισης με τη </w:t>
      </w:r>
      <w:proofErr w:type="spellStart"/>
      <w:r w:rsidR="0020749A" w:rsidRPr="00D5189B">
        <w:t>μικροπροληπτική</w:t>
      </w:r>
      <w:proofErr w:type="spellEnd"/>
      <w:r w:rsidR="0020749A" w:rsidRPr="00D5189B">
        <w:t xml:space="preserve"> εποπτεία για τη διασφάλιση της συμβατότητας·</w:t>
      </w:r>
    </w:p>
    <w:p w14:paraId="19F8C90C" w14:textId="0087D492" w:rsidR="0020749A" w:rsidRPr="00D5189B" w:rsidRDefault="004B080E" w:rsidP="004B080E">
      <w:pPr>
        <w:pStyle w:val="NormalHanging12a"/>
        <w:ind w:left="570" w:hanging="570"/>
      </w:pPr>
      <w:r w:rsidRPr="00D5189B">
        <w:t>19.</w:t>
      </w:r>
      <w:r w:rsidRPr="00D5189B">
        <w:tab/>
      </w:r>
      <w:r w:rsidR="0020749A" w:rsidRPr="00D5189B">
        <w:t>αναγνωρίζει τους δυνητικούς κινδύνους για τη χρηματοπιστωτική σταθερότητα που προκύπτουν από τη συχνότερη εκδήλωση φυσικών κινδύνων που σχετίζονται με το κλίμα και τη φύση, και από τους κινδύνους μετάβασης που σχετίζονται με τη κλιματική αλλαγή·</w:t>
      </w:r>
    </w:p>
    <w:p w14:paraId="78458043" w14:textId="77777777" w:rsidR="0020749A" w:rsidRPr="00D5189B" w:rsidRDefault="0020749A" w:rsidP="005D253F">
      <w:pPr>
        <w:pStyle w:val="Normal12a"/>
        <w:ind w:left="567" w:hanging="567"/>
        <w:rPr>
          <w:b/>
          <w:bCs/>
        </w:rPr>
      </w:pPr>
      <w:r w:rsidRPr="00D5189B">
        <w:rPr>
          <w:b/>
          <w:bCs/>
          <w:i/>
        </w:rPr>
        <w:t>Πιέσεις στον τραπεζικό τομέα και εποπτεία των NBFI</w:t>
      </w:r>
    </w:p>
    <w:p w14:paraId="1D567F4E" w14:textId="178265CB" w:rsidR="0020749A" w:rsidRPr="00D5189B" w:rsidRDefault="004B080E" w:rsidP="004B080E">
      <w:pPr>
        <w:pStyle w:val="NormalHanging12a"/>
        <w:ind w:left="570" w:hanging="570"/>
      </w:pPr>
      <w:r w:rsidRPr="00D5189B">
        <w:t>20.</w:t>
      </w:r>
      <w:r w:rsidRPr="00D5189B">
        <w:tab/>
      </w:r>
      <w:r w:rsidR="0020749A" w:rsidRPr="00D5189B">
        <w:t>τονίζει την ανάγκη να διασφαλιστεί η εφαρμογή του πλαισίου της Βασιλείας ΙΙΙ για την ενίσχυση της ανθεκτικότητας και της παγκόσμιας ανταγωνιστικότητας των τραπεζών της ΕΕ· σημειώνει τη συνεχιζόμενη έλλειψη σαφήνειας όσον αφορά την εφαρμογή των προτύπων της Βασιλείας ΙΙΙ σε ορισμένες σημαντικές δικαιοδοσίες τρίτων χωρών και την ανάγκη να παραμείνει ανταγωνιστικό το τραπεζικό σύστημα της Ένωσης σε διεθνές πλαίσιο· τονίζει τη σημασία της διατήρησης της ακεραιότητας του πλαισίου της Βασιλείας, υπογραμμίζοντας ότι η ίδια η χρηματοπιστωτική σταθερότητα μπορεί να θεωρηθεί ανταγωνιστικό πλεονέκτημα·</w:t>
      </w:r>
    </w:p>
    <w:p w14:paraId="1A5E9BA5" w14:textId="503EE274" w:rsidR="0020749A" w:rsidRPr="00D5189B" w:rsidRDefault="004B080E" w:rsidP="004B080E">
      <w:pPr>
        <w:pStyle w:val="NormalHanging12a"/>
        <w:ind w:left="570" w:hanging="570"/>
      </w:pPr>
      <w:r w:rsidRPr="00D5189B">
        <w:t>21.</w:t>
      </w:r>
      <w:r w:rsidRPr="00D5189B">
        <w:tab/>
      </w:r>
      <w:r w:rsidR="0020749A" w:rsidRPr="00D5189B">
        <w:t xml:space="preserve">τονίζει ότι είναι σημαντικό να διατηρηθεί ένα υγιές </w:t>
      </w:r>
      <w:proofErr w:type="spellStart"/>
      <w:r w:rsidR="0020749A" w:rsidRPr="00D5189B">
        <w:t>μακροπροληπτικό</w:t>
      </w:r>
      <w:proofErr w:type="spellEnd"/>
      <w:r w:rsidR="0020749A" w:rsidRPr="00D5189B">
        <w:t xml:space="preserve"> πλαίσιο παράλληλα με τη διασφάλιση της απλούστευσης, της νομικής αποσαφήνισης και της μείωσης του φόρτου, ιδίως για τις μικρότερες οντότητες· επισημαίνει ότι υπάρχει περιθώριο για απλούστευση και εναρμόνιση όσον αφορά τον σχεδιασμό και την εφαρμογή </w:t>
      </w:r>
      <w:proofErr w:type="spellStart"/>
      <w:r w:rsidR="0020749A" w:rsidRPr="00D5189B">
        <w:t>μακροπροληπτικών</w:t>
      </w:r>
      <w:proofErr w:type="spellEnd"/>
      <w:r w:rsidR="0020749A" w:rsidRPr="00D5189B">
        <w:t xml:space="preserve"> αποθεμάτων ασφαλείας· καλεί την Επιτροπή και τις εποπτικές αρχές να εφαρμόζουν συστηματικά τις αρχές της αναλογικότητας, της οικονομικής αποδοτικότητας και της ψηφιακής απλούστευσης, όπου είναι δυνατόν και χωρίς να θέτουν σε κίνδυνο τη χρηματοπιστωτική σταθερότητα·</w:t>
      </w:r>
    </w:p>
    <w:p w14:paraId="3A85C748" w14:textId="07BBF1FB" w:rsidR="0020749A" w:rsidRPr="00D5189B" w:rsidRDefault="004B080E" w:rsidP="004B080E">
      <w:pPr>
        <w:pStyle w:val="NormalHanging12a"/>
        <w:ind w:left="570" w:hanging="570"/>
      </w:pPr>
      <w:r w:rsidRPr="00D5189B">
        <w:t>22.</w:t>
      </w:r>
      <w:r w:rsidRPr="00D5189B">
        <w:tab/>
      </w:r>
      <w:r w:rsidR="0020749A" w:rsidRPr="00D5189B">
        <w:t>τονίζει ότι θα πρέπει να εξεταστεί το ενδεχόμενο απλούστευσης των μεταρρυθμίσεων της χρηματοπιστωτικής κρίσης μετά το 2008, εφόσον υπάρχουν σαφή και τεκμηριωμένα οφέλη για την πραγματική οικονομία και εφόσον δεν προκύπτουν κίνδυνοι για τη χρηματοπιστωτική σταθερότητα· λαμβάνει γνώση της συζήτησης σχετικά με τη δέσμη μέτρων για τις τιτλοποιήσεις·</w:t>
      </w:r>
    </w:p>
    <w:p w14:paraId="393AF3CB" w14:textId="7E8321FD" w:rsidR="0020749A" w:rsidRPr="00D5189B" w:rsidRDefault="004B080E" w:rsidP="004B080E">
      <w:pPr>
        <w:pStyle w:val="NormalHanging12a"/>
        <w:ind w:left="570" w:hanging="570"/>
      </w:pPr>
      <w:r w:rsidRPr="00D5189B">
        <w:t>23.</w:t>
      </w:r>
      <w:r w:rsidRPr="00D5189B">
        <w:tab/>
      </w:r>
      <w:r w:rsidR="0020749A" w:rsidRPr="00D5189B">
        <w:t>σημειώνει την ανάλυση της ΕΚΤ όσον αφορά τις επίμονες ευπάθειες στις αγορές εμπορικών ακινήτων, σε συνδυασμό με την αύξηση των επιτοκίων και τα ανοίγματα σε NBFI, οι οποίοι χρήζουν στενής παρακολούθησης· καλεί, στο πλαίσιο αυτό, το ΕΣΣΚ να παρακολουθεί στενά τον ρόλο των NBFI που δραστηριοποιούνται στις αγορές ακινήτων και να εκδίδει σχετικές συστάσεις· αναγνωρίζει, επιπλέον, τα υψηλά επίπεδα χρέους των νοικοκυριών·</w:t>
      </w:r>
    </w:p>
    <w:p w14:paraId="25A77609" w14:textId="3F60C570" w:rsidR="0020749A" w:rsidRPr="00D5189B" w:rsidRDefault="004B080E" w:rsidP="004B080E">
      <w:pPr>
        <w:pStyle w:val="NormalHanging12a"/>
        <w:ind w:left="570" w:hanging="570"/>
      </w:pPr>
      <w:r w:rsidRPr="00D5189B">
        <w:t>24.</w:t>
      </w:r>
      <w:r w:rsidRPr="00D5189B">
        <w:tab/>
      </w:r>
      <w:r w:rsidR="0020749A" w:rsidRPr="00D5189B">
        <w:t>καλεί την ΕΚΤ να αξιολογήσει την έκθεση των χρηματοπιστωτικών ιδρυμάτων σε γεωπολιτικούς κινδύνους, συμπεριλαμβανομένων των έμμεσων επιπτώσεων των κυρώσεων, των δασμών και του οικονομικού κατακερματισμού, ως μέρος της τακτικής διαδικασίας εποπτικού ελέγχου και αξιολόγησης στο πλαίσιο της στρατηγικής αυτονομίας·</w:t>
      </w:r>
    </w:p>
    <w:p w14:paraId="2467EF18" w14:textId="37B1E9BD" w:rsidR="0020749A" w:rsidRPr="00D5189B" w:rsidRDefault="004B080E" w:rsidP="004B080E">
      <w:pPr>
        <w:pStyle w:val="NormalHanging12a"/>
        <w:ind w:left="570" w:hanging="570"/>
      </w:pPr>
      <w:r w:rsidRPr="00D5189B">
        <w:lastRenderedPageBreak/>
        <w:t>25.</w:t>
      </w:r>
      <w:r w:rsidRPr="00D5189B">
        <w:tab/>
      </w:r>
      <w:r w:rsidR="0020749A" w:rsidRPr="00D5189B">
        <w:t>αναγνωρίζει την αυξανόμενη συστημική σημασία των NBFI, οι οποίοι αντιπροσωπεύουν πάνω από το 40 % των στοιχείων ενεργητικού του χρηματοπιστωτικού τομέα της ΕΕ· θεωρεί ότι οι εν λόγω οντότητες ενδέχεται να συμβάλλουν σε κινδύνους για τη χρηματοπιστωτική σταθερότητα όταν δεν ρυθμίζονται επαρκώς·</w:t>
      </w:r>
    </w:p>
    <w:p w14:paraId="424C2B8F" w14:textId="4F52D493" w:rsidR="0020749A" w:rsidRPr="00D5189B" w:rsidRDefault="004B080E" w:rsidP="004B080E">
      <w:pPr>
        <w:pStyle w:val="NormalHanging12a"/>
        <w:ind w:left="570" w:hanging="570"/>
      </w:pPr>
      <w:r w:rsidRPr="00D5189B">
        <w:t>26.</w:t>
      </w:r>
      <w:r w:rsidRPr="00D5189B">
        <w:tab/>
      </w:r>
      <w:r w:rsidR="0020749A" w:rsidRPr="00D5189B">
        <w:t>σημειώνει την ποικιλομορφία των επιχειρηματικών μοντέλων των NBFI και τον σημαντικό χρηματοδοτικό τους ρόλο· επισημαίνει ότι, για πολλούς τομείς, υπάρχει ήδη ευρωπαϊκή τομεακή ρύθμιση, όπως για τα αμοιβαία κεφάλαια αντιστάθμισης κινδύνου (οδηγία σχετικά με τους διαχειριστές οργανισμών εναλλακτικών επενδύσεων</w:t>
      </w:r>
      <w:r w:rsidR="0020749A" w:rsidRPr="00D5189B">
        <w:rPr>
          <w:rStyle w:val="FootnoteReference"/>
        </w:rPr>
        <w:footnoteReference w:customMarkFollows="1" w:id="2"/>
        <w:t>2</w:t>
      </w:r>
      <w:r w:rsidR="0020749A" w:rsidRPr="00D5189B">
        <w:t>), τα αμοιβαία κεφάλαια της χρηματαγοράς (κανονισμός για τα αμοιβαία κεφάλαια βραχυπρόθεσμων επενδύσεων</w:t>
      </w:r>
      <w:r w:rsidR="0020749A" w:rsidRPr="00D5189B">
        <w:rPr>
          <w:rStyle w:val="FootnoteReference"/>
        </w:rPr>
        <w:footnoteReference w:customMarkFollows="1" w:id="3"/>
        <w:t>3</w:t>
      </w:r>
      <w:r w:rsidR="0020749A" w:rsidRPr="00D5189B">
        <w:t>), τις ασφαλιστικές επιχειρήσεις (Φερεγγυότητα II), τις επιχειρήσεις επενδύσεων (οδηγία και κανονισμός για τις επιχειρήσεις επενδύσεων</w:t>
      </w:r>
      <w:r w:rsidR="0020749A" w:rsidRPr="00D5189B">
        <w:rPr>
          <w:rStyle w:val="FootnoteReference"/>
        </w:rPr>
        <w:footnoteReference w:customMarkFollows="1" w:id="4"/>
        <w:t>4</w:t>
      </w:r>
      <w:r w:rsidR="00FB4E5B" w:rsidRPr="00D5189B">
        <w:t xml:space="preserve"> </w:t>
      </w:r>
      <w:r w:rsidR="0020749A" w:rsidRPr="00D5189B">
        <w:rPr>
          <w:rStyle w:val="FootnoteReference"/>
        </w:rPr>
        <w:footnoteReference w:customMarkFollows="1" w:id="5"/>
        <w:t>5</w:t>
      </w:r>
      <w:r w:rsidR="0020749A" w:rsidRPr="00D5189B">
        <w:t>) ή τα συνταξιοδοτικά ταμεία (οδηγία για τα ιδρύματα επαγγελματικών συνταξιοδοτικών παροχών</w:t>
      </w:r>
      <w:r w:rsidR="0020749A" w:rsidRPr="00D5189B">
        <w:rPr>
          <w:rStyle w:val="FootnoteReference"/>
        </w:rPr>
        <w:footnoteReference w:customMarkFollows="1" w:id="6"/>
        <w:t>6</w:t>
      </w:r>
      <w:r w:rsidR="0020749A" w:rsidRPr="00D5189B">
        <w:t>)· σημειώνει, ωστόσο, ότι το ισχύον πλαίσιο επικεντρώνεται πρωτίστως στην προστασία των επενδυτών και στην ακεραιότητα της αγοράς και όχι στη μείωση των συστημικών κινδύνων</w:t>
      </w:r>
      <w:r w:rsidR="0020749A" w:rsidRPr="00D5189B">
        <w:rPr>
          <w:rStyle w:val="FootnoteReference"/>
        </w:rPr>
        <w:footnoteReference w:customMarkFollows="1" w:id="7"/>
        <w:t>7</w:t>
      </w:r>
      <w:r w:rsidR="0020749A" w:rsidRPr="00D5189B">
        <w:t>· ζητεί να εξεταστούν διεξοδικά τα κενά στη νομοθεσία περί NBFI, μεταξύ άλλων σε λιγότερο ελεγχόμενους τομείς, όπως τα γραφεία διαχείρισης οικογενειακής περιουσίας και οι εταιρείες χρηματοδότησης της αλυσίδας εφοδιασμού·</w:t>
      </w:r>
    </w:p>
    <w:p w14:paraId="7F2FDD7E" w14:textId="7A594FAF" w:rsidR="0020749A" w:rsidRPr="00D5189B" w:rsidRDefault="004B080E" w:rsidP="004B080E">
      <w:pPr>
        <w:pStyle w:val="NormalHanging12a"/>
        <w:ind w:left="570" w:hanging="570"/>
      </w:pPr>
      <w:r w:rsidRPr="00D5189B">
        <w:t>27.</w:t>
      </w:r>
      <w:r w:rsidRPr="00D5189B">
        <w:tab/>
      </w:r>
      <w:r w:rsidR="0020749A" w:rsidRPr="00D5189B">
        <w:t>σημειώνει την έκθεση της Επιτροπής του 2023 σχετικά με τη λειτουργία των αμοιβαίων κεφαλαίων της χρηματαγοράς και τις πρόσφατες τροποποιήσεις του πλαισίου για τα αμοιβαία κεφάλαια της χρηματαγοράς· καλεί την Επιτροπή να προτείνει μεταρρύθμιση του κανονισμού για τα αμοιβαία κεφάλαια της χρηματαγοράς</w:t>
      </w:r>
      <w:r w:rsidR="0020749A" w:rsidRPr="00D5189B">
        <w:rPr>
          <w:rStyle w:val="FootnoteReference"/>
        </w:rPr>
        <w:footnoteReference w:customMarkFollows="1" w:id="8"/>
        <w:t>8</w:t>
      </w:r>
      <w:r w:rsidR="0020749A" w:rsidRPr="00D5189B">
        <w:t xml:space="preserve"> σύμφωνα με τα διεθνή </w:t>
      </w:r>
      <w:r w:rsidR="0020749A" w:rsidRPr="00D5189B">
        <w:lastRenderedPageBreak/>
        <w:t>πρότυπα, την κανονιστική πρόοδο που έχει σημειωθεί σε άλλες δικαιοδοσίες και τις συστάσεις του ΕΣΣΚ και της ESMA·</w:t>
      </w:r>
    </w:p>
    <w:p w14:paraId="6A513517" w14:textId="77777777" w:rsidR="0020749A" w:rsidRPr="00D5189B" w:rsidRDefault="0020749A" w:rsidP="005D253F">
      <w:pPr>
        <w:pStyle w:val="Normal12a"/>
        <w:ind w:left="567" w:hanging="567"/>
        <w:rPr>
          <w:b/>
          <w:bCs/>
        </w:rPr>
      </w:pPr>
      <w:r w:rsidRPr="00D5189B">
        <w:rPr>
          <w:b/>
          <w:bCs/>
          <w:i/>
        </w:rPr>
        <w:t>Ρευστότητα, καθορισμός περιθωρίου και ψηφιακοί κίνδυνοι</w:t>
      </w:r>
    </w:p>
    <w:p w14:paraId="486E992F" w14:textId="3F92B5E8" w:rsidR="0020749A" w:rsidRPr="00D5189B" w:rsidRDefault="004B080E" w:rsidP="004B080E">
      <w:pPr>
        <w:pStyle w:val="NormalHanging12a"/>
        <w:ind w:left="570" w:hanging="570"/>
      </w:pPr>
      <w:r w:rsidRPr="00D5189B">
        <w:t>28.</w:t>
      </w:r>
      <w:r w:rsidRPr="00D5189B">
        <w:tab/>
      </w:r>
      <w:r w:rsidR="0020749A" w:rsidRPr="00D5189B">
        <w:t>επισημαίνει το γεγονός ότι οι φιλοκυκλικές απαιτήσεις περιθωρίου κατά τη διάρκεια κρίσεων όπως η νόσος COVID-19 και η ενεργειακή αναταραχή του 2022 δημιούργησαν ακραίες καταστάσεις ρευστότητας· σημειώνει τη σημασία της ετοιμότητας όσον αφορά τη ρευστότητα και, εν γένει, της μόχλευσης και των κεφαλαιακών αποθεμάτων ασφαλείας στο πλαίσιο αυτό·</w:t>
      </w:r>
    </w:p>
    <w:p w14:paraId="55F77425" w14:textId="1E22FEB9" w:rsidR="0020749A" w:rsidRPr="00D5189B" w:rsidRDefault="004B080E" w:rsidP="004B080E">
      <w:pPr>
        <w:pStyle w:val="NormalHanging12a"/>
        <w:ind w:left="570" w:hanging="570"/>
      </w:pPr>
      <w:r w:rsidRPr="00D5189B">
        <w:t>29.</w:t>
      </w:r>
      <w:r w:rsidRPr="00D5189B">
        <w:tab/>
      </w:r>
      <w:r w:rsidR="0020749A" w:rsidRPr="00D5189B">
        <w:t>ζητεί εργαλεία για την καλύτερη αποτύπωση της κλίμακας και της ταχύτητας των εκροών ρευστότητας που προκύπτουν από απαιτήσεις περιθωρίου κατά τη διάρκεια συστημικών γεγονότων, ιδίως για τις επιχειρήσεις κοινής ωφελείας στον τομέα της ενέργειας και τους NBFI·</w:t>
      </w:r>
    </w:p>
    <w:p w14:paraId="112F81A4" w14:textId="4FAF963A" w:rsidR="0020749A" w:rsidRPr="00D5189B" w:rsidRDefault="004B080E" w:rsidP="004B080E">
      <w:pPr>
        <w:pStyle w:val="NormalHanging12a"/>
        <w:ind w:left="570" w:hanging="570"/>
      </w:pPr>
      <w:r w:rsidRPr="00D5189B">
        <w:t>30.</w:t>
      </w:r>
      <w:r w:rsidRPr="00D5189B">
        <w:tab/>
      </w:r>
      <w:r w:rsidR="0020749A" w:rsidRPr="00D5189B">
        <w:t>τονίζει την ανάγκη για ανθεκτικές υποδομές εκκαθάρισης, εύρωστα πλαίσια εξασφαλίσεων και συντονισμένη εποπτεία των κεντρικών αντισυμβαλλομένων· σημειώνει την απόφαση της Επιτροπής να επεκτείνει το καθεστώς ισοδυναμίας για τους κεντρικούς αντισυμβαλλομένους με έδρα στο Ηνωμένο Βασίλειο, και σημειώνει τον συνεχή προβληματισμό σχετικά με την εξάρτηση της Ευρώπης από κεντρικούς αντισυμβαλλομένους εκτός ΕΕ·</w:t>
      </w:r>
    </w:p>
    <w:p w14:paraId="668D2E04" w14:textId="52F6588A" w:rsidR="0020749A" w:rsidRPr="00D5189B" w:rsidRDefault="004B080E" w:rsidP="004B080E">
      <w:pPr>
        <w:pStyle w:val="NormalHanging12a"/>
        <w:ind w:left="570" w:hanging="570"/>
      </w:pPr>
      <w:r w:rsidRPr="00D5189B">
        <w:t>31.</w:t>
      </w:r>
      <w:r w:rsidRPr="00D5189B">
        <w:tab/>
      </w:r>
      <w:r w:rsidR="0020749A" w:rsidRPr="00D5189B">
        <w:t>υποστηρίζει την αύξηση της διαφάνειας και της μακροπροληπτικής εποπτείας στις πρακτικές καθορισμού περιθωρίου, συμπεριλαμβανομένων των προσομοιώσεων ακραίων καταστάσεων και της ανάλυσης σεναρίων, με βάση τις πρόσφατες εργασίες του ΣΧΣ σχετικά με την ετοιμότητα όσον αφορά τη ρευστότητα για τις απαιτήσεις περιθωρίου και παροχής εξασφάλισης·</w:t>
      </w:r>
    </w:p>
    <w:p w14:paraId="512B4D8F" w14:textId="3DADE350" w:rsidR="0020749A" w:rsidRPr="00D5189B" w:rsidRDefault="004B080E" w:rsidP="004B080E">
      <w:pPr>
        <w:pStyle w:val="NormalHanging12a"/>
        <w:ind w:left="570" w:hanging="570"/>
      </w:pPr>
      <w:r w:rsidRPr="00D5189B">
        <w:t>32.</w:t>
      </w:r>
      <w:r w:rsidRPr="00D5189B">
        <w:tab/>
      </w:r>
      <w:r w:rsidR="0020749A" w:rsidRPr="00D5189B">
        <w:t>εκφράζει την ανησυχία του για τις αυξανόμενες διασυνδέσεις μεταξύ των αγορών κρυπτοστοιχείων και των αποκεντρωμένων χρηματοπιστωτικών αγορών και του παραδοσιακού χρηματοπιστωτικού συστήματος· υποστηρίζει το ΣΧΣ, τους φορείς καθορισμού προτύπων και το ΕΣΣΚ στις προσπάθειές τους να εγκαθιδρύσουν ένα κανονιστικό πλαίσιο και να εναρμονίσουν την ταξινόμησή του·</w:t>
      </w:r>
    </w:p>
    <w:p w14:paraId="054B3554" w14:textId="31C3C01D" w:rsidR="0020749A" w:rsidRPr="00D5189B" w:rsidRDefault="004B080E" w:rsidP="004B080E">
      <w:pPr>
        <w:pStyle w:val="NormalHanging12a"/>
        <w:ind w:left="570" w:hanging="570"/>
      </w:pPr>
      <w:r w:rsidRPr="00D5189B">
        <w:t>33.</w:t>
      </w:r>
      <w:r w:rsidRPr="00D5189B">
        <w:tab/>
      </w:r>
      <w:r w:rsidR="0020749A" w:rsidRPr="00D5189B">
        <w:t>σημειώνει ότι, σύμφωνα με την ανάλυση του ΣΧΣ, προς το παρόν φαίνονται περιορισμένοι οι κίνδυνοι για τη χρηματοπιστωτική σταθερότητα που ανακύπτουν από τις αγορές κρυπτοστοιχείων</w:t>
      </w:r>
      <w:r w:rsidR="0020749A" w:rsidRPr="00D5189B">
        <w:rPr>
          <w:rStyle w:val="FootnoteReference"/>
        </w:rPr>
        <w:footnoteReference w:customMarkFollows="1" w:id="9"/>
        <w:t>9</w:t>
      </w:r>
      <w:r w:rsidR="0020749A" w:rsidRPr="00D5189B">
        <w:t>· επισημαίνει, ωστόσο, τη δυνητικά συστημική σπουδαιότητα των εξελίξεων στις αγορές κρυπτοστοιχείων· σημειώνει τον σε μεγάλο βαθμό κερδοσκοπικό χαρακτήρα των κρυπτοστοιχείων και τον σημαντικό ρόλο που διαδραματίζουν στις παράνομες συναλλαγές· παροτρύνει την Επιτροπή και το ΕΣΣΚ να παρακολουθούν στενά τις εξελίξεις στον τομέα αυτό·</w:t>
      </w:r>
    </w:p>
    <w:p w14:paraId="31498AD8" w14:textId="1448391D" w:rsidR="0020749A" w:rsidRPr="00D5189B" w:rsidRDefault="004B080E" w:rsidP="004B080E">
      <w:pPr>
        <w:pStyle w:val="NormalHanging12a"/>
        <w:ind w:left="570" w:hanging="570"/>
      </w:pPr>
      <w:r w:rsidRPr="00D5189B">
        <w:t>34.</w:t>
      </w:r>
      <w:r w:rsidRPr="00D5189B">
        <w:tab/>
      </w:r>
      <w:r w:rsidR="0020749A" w:rsidRPr="00D5189B">
        <w:t>επικροτεί το γεγονός ότι η Ευρωπαϊκή Ένωση έχει θεσπίσει πλαίσιο προληπτικής εποπτείας για τα κρυπτοστοιχεία (</w:t>
      </w:r>
      <w:proofErr w:type="spellStart"/>
      <w:r w:rsidR="0020749A" w:rsidRPr="00D5189B">
        <w:t>MiCAR</w:t>
      </w:r>
      <w:proofErr w:type="spellEnd"/>
      <w:r w:rsidR="0020749A" w:rsidRPr="00D5189B">
        <w:t>)· τονίζει τη σημασία της έγκαιρης και συνεπούς εφαρμογής και καλεί την Επιτροπή να παρακολουθεί τα εναπομένοντα ρυθμιστικά κενά·</w:t>
      </w:r>
    </w:p>
    <w:p w14:paraId="6D604434" w14:textId="349A0896" w:rsidR="0020749A" w:rsidRPr="00D5189B" w:rsidRDefault="004B080E" w:rsidP="004B080E">
      <w:pPr>
        <w:pStyle w:val="NormalHanging12a"/>
        <w:ind w:left="570" w:hanging="570"/>
      </w:pPr>
      <w:r w:rsidRPr="00D5189B">
        <w:lastRenderedPageBreak/>
        <w:t>35.</w:t>
      </w:r>
      <w:r w:rsidRPr="00D5189B">
        <w:tab/>
      </w:r>
      <w:r w:rsidR="0020749A" w:rsidRPr="00D5189B">
        <w:t>επισημαίνει την ταχεία ανάπτυξη της αγοράς σταθερών κρυπτονομισμάτων, η οποία εξακολουθεί μέχρι στιγμής να περιορίζεται σε μεγάλο βαθμό στο οικοσύστημα κρυπτοστοιχείων· σημειώνει ότι το κανονιστικό τοπίο όσον αφορά τα σταθερά κρυπτονομίσματα σε μείζονα νομικά συστήματα τρίτων χωρών μεταβάλλεται ραγδαία· καλεί την Επιτροπή να αξιολογήσει κατά πόσον υπάρχουν πιθανοί δίαυλοι μετάδοσης, όπως στην περίπτωση πολλαπλών εκδόσεων·</w:t>
      </w:r>
    </w:p>
    <w:p w14:paraId="21256086" w14:textId="6927BD67" w:rsidR="0020749A" w:rsidRPr="00D5189B" w:rsidRDefault="004B080E" w:rsidP="004B080E">
      <w:pPr>
        <w:pStyle w:val="NormalHanging12a"/>
        <w:ind w:left="570" w:hanging="570"/>
      </w:pPr>
      <w:r w:rsidRPr="00D5189B">
        <w:t>36.</w:t>
      </w:r>
      <w:r w:rsidRPr="00D5189B">
        <w:tab/>
      </w:r>
      <w:r w:rsidR="0020749A" w:rsidRPr="00D5189B">
        <w:t>επισημαίνει ότι η ΕΕ έχει εγκρίνει μέτρα για την ενίσχυση της ψηφιακής ανθεκτικότητας των χρηματοπιστωτικών οντοτήτων, ιδίως με την πράξη για την ψηφιακή επιχειρησιακή ανθεκτικότητα</w:t>
      </w:r>
      <w:r w:rsidR="0020749A" w:rsidRPr="00D5189B">
        <w:rPr>
          <w:rStyle w:val="FootnoteReference"/>
        </w:rPr>
        <w:footnoteReference w:customMarkFollows="1" w:id="10"/>
        <w:t>10</w:t>
      </w:r>
      <w:r w:rsidR="0020749A" w:rsidRPr="00D5189B">
        <w:t>· ενθαρρύνει την καινοτομία στον ψηφιακό χρηματοοικονομικό τομέα και τις εκτενείς επενδύσεις στην κυβερνοανθεκτικότητα ώστε να προστατεύονται οι χρηματοπιστωτικές υποδομές από εξωτερικές απειλές· καλεί την Επιτροπή και την ΕΚΤ να χαρτογραφήσουν και να διευθετήσουν τις εξαρτήσεις του ευρωπαϊκού χρηματοπιστωτικού συστήματος από παρόχους ψηφιακών υπηρεσιών εκτός ΕΕ, τα μεμονωμένα σημεία αστοχίας και τον κίνδυνο υβριδικών επιθέσεων·</w:t>
      </w:r>
    </w:p>
    <w:p w14:paraId="31F4C23B" w14:textId="0F6D24C1" w:rsidR="0020749A" w:rsidRPr="00D5189B" w:rsidRDefault="004B080E" w:rsidP="004B080E">
      <w:pPr>
        <w:pStyle w:val="NormalHanging12a"/>
        <w:ind w:left="570" w:hanging="570"/>
      </w:pPr>
      <w:r w:rsidRPr="00D5189B">
        <w:t>37.</w:t>
      </w:r>
      <w:r w:rsidRPr="00D5189B">
        <w:tab/>
      </w:r>
      <w:r w:rsidR="0020749A" w:rsidRPr="00D5189B">
        <w:t>υπογραμμίζει ότι η βελτίωση του χρηματοοικονομικού γραμματισμού μπορεί να συμβάλλει στην ατομική ανθεκτικότητα, στην ενίσχυση της σταθερότητας των χρηματοπιστωτικών αγορών και στην αύξηση της συμμετοχής στην Ένωση Κεφαλαιαγορών·</w:t>
      </w:r>
    </w:p>
    <w:p w14:paraId="15CC2B33" w14:textId="59EDB608" w:rsidR="0020749A" w:rsidRPr="00D5189B" w:rsidRDefault="004B080E" w:rsidP="004B080E">
      <w:pPr>
        <w:pStyle w:val="NormalHanging12a"/>
        <w:ind w:left="570" w:hanging="570"/>
      </w:pPr>
      <w:r w:rsidRPr="00D5189B">
        <w:t>38.</w:t>
      </w:r>
      <w:r w:rsidRPr="00D5189B">
        <w:tab/>
      </w:r>
      <w:r w:rsidR="0020749A" w:rsidRPr="00D5189B">
        <w:t>σημειώνει ότι η διατήρηση εύλογης και αξιόπιστης υλικοτεχνικής υποστήριξης και υποδομής για τη διαθεσιμότητα μετρητών εξακολουθεί να αποτελεί ουσιαστικό στοιχείο της χρηματοπιστωτικής σταθερότητας και της εμπιστοσύνης του κοινού·</w:t>
      </w:r>
    </w:p>
    <w:p w14:paraId="54A20E3B" w14:textId="77777777" w:rsidR="0020749A" w:rsidRPr="00D5189B" w:rsidRDefault="0020749A" w:rsidP="005D253F">
      <w:pPr>
        <w:pStyle w:val="Normal12a"/>
      </w:pPr>
      <w:r w:rsidRPr="00D5189B">
        <w:rPr>
          <w:b/>
          <w:i/>
        </w:rPr>
        <w:t>Ενίσχυση της εποπτικής συνοχής, των ικανοτήτων δεδομένων και της ετοιμότητας για την αντιμετώπιση κρίσεων</w:t>
      </w:r>
    </w:p>
    <w:p w14:paraId="6808CAF1" w14:textId="311A52F8" w:rsidR="0020749A" w:rsidRPr="00D5189B" w:rsidRDefault="004B080E" w:rsidP="004B080E">
      <w:pPr>
        <w:pStyle w:val="NormalHanging12a"/>
        <w:ind w:left="570" w:hanging="570"/>
      </w:pPr>
      <w:r w:rsidRPr="00D5189B">
        <w:t>39.</w:t>
      </w:r>
      <w:r w:rsidRPr="00D5189B">
        <w:tab/>
      </w:r>
      <w:r w:rsidR="0020749A" w:rsidRPr="00D5189B">
        <w:t>υποστηρίζει μια ολιστική, πιο συνεκτική συστημική και εποπτική προσέγγιση βάσει δραστηριοτήτων για τον εντοπισμό και την αντιμετώπιση των κινδύνων και των ευπαθειών που συνδέονται με διάφορα είδη δραστηριοτήτων σε ολόκληρο τον χρηματοπιστωτικό τομέα, όπως ο δανεισμός, οι συναλλαγές και η διαχείριση στοιχείων ενεργητικού·</w:t>
      </w:r>
    </w:p>
    <w:p w14:paraId="345E73C4" w14:textId="0D0FC58C" w:rsidR="0020749A" w:rsidRPr="00D5189B" w:rsidRDefault="004B080E" w:rsidP="004B080E">
      <w:pPr>
        <w:pStyle w:val="NormalHanging12a"/>
        <w:ind w:left="570" w:hanging="570"/>
      </w:pPr>
      <w:r w:rsidRPr="00D5189B">
        <w:t>40.</w:t>
      </w:r>
      <w:r w:rsidRPr="00D5189B">
        <w:tab/>
      </w:r>
      <w:r w:rsidR="0020749A" w:rsidRPr="00D5189B">
        <w:t>υπογραμμίζει τη σημασία ενός ισχυρού και αξιόπιστου πλαισίου διαχείρισης κρίσεων· επισημαίνει τον ρόλο του Ενιαίου Μηχανισμού Εξυγίανσης στη διασφάλιση της αποτελεσματικής εξυγίανσης των προβληματικών ιδρυμάτων και υποστηρίζει τη λειτουργία της ΕΚΤ ως δανειστή έσχατης ανάγκης για τη διασφάλιση της ρευστότητας και της εμπιστοσύνης κατά τη διάρκεια κρίσεων· σημειώνει ότι εξακολουθεί να μην υπάρχει μηχανισμός ασφαλείας για το Ενιαίο Ταμείο Εξυγίανσης·</w:t>
      </w:r>
    </w:p>
    <w:p w14:paraId="268BF57B" w14:textId="1D42219A" w:rsidR="0020749A" w:rsidRPr="00D5189B" w:rsidRDefault="004B080E" w:rsidP="004B080E">
      <w:pPr>
        <w:pStyle w:val="NormalHanging12a"/>
        <w:ind w:left="570" w:hanging="570"/>
      </w:pPr>
      <w:r w:rsidRPr="00D5189B">
        <w:t>41.</w:t>
      </w:r>
      <w:r w:rsidRPr="00D5189B">
        <w:tab/>
      </w:r>
      <w:r w:rsidR="0020749A" w:rsidRPr="00D5189B">
        <w:t xml:space="preserve">υποστηρίζει την ΕΚΤ, το ΕΣΣΚ, τις ευρωπαϊκές και εθνικές εποπτικές αρχές και την Αρχή για την καταπολέμηση της νομιμοποίησης εσόδων από παράνομες δραστηριότητες και της χρηματοδότησης της τρομοκρατίας όσον αφορά τη διασφάλιση </w:t>
      </w:r>
      <w:r w:rsidR="0020749A" w:rsidRPr="00D5189B">
        <w:lastRenderedPageBreak/>
        <w:t>της χρηματοπιστωτικής σταθερότητας της ΕΕ και την αντιμετώπιση των αναδυόμενων παγκόσμιων χρηματοπιστωτικών κινδύνων, συμπεριλαμβανομένης της εποπτικής συνοχής από την ESMA για συστημικούς διασυνοριακούς NBFI·</w:t>
      </w:r>
    </w:p>
    <w:p w14:paraId="625529E7" w14:textId="1BC2DA6C" w:rsidR="0020749A" w:rsidRPr="00D5189B" w:rsidRDefault="004B080E" w:rsidP="004B080E">
      <w:pPr>
        <w:pStyle w:val="NormalHanging12a"/>
        <w:ind w:left="570" w:hanging="570"/>
      </w:pPr>
      <w:r w:rsidRPr="00D5189B">
        <w:t>42.</w:t>
      </w:r>
      <w:r w:rsidRPr="00D5189B">
        <w:tab/>
      </w:r>
      <w:r w:rsidR="0020749A" w:rsidRPr="00D5189B">
        <w:t>προειδοποιεί για το ρυθμιστικό αρμπιτράζ και υπογραμμίζει την ανάγκη να αντιμετωπιστούν οι αφανείς ευπάθειες μόχλευσης που αποκαλύφθηκαν σε προηγούμενες διαταραχές·</w:t>
      </w:r>
    </w:p>
    <w:p w14:paraId="783561ED" w14:textId="63CBC7F4" w:rsidR="0020749A" w:rsidRPr="00D5189B" w:rsidRDefault="004B080E" w:rsidP="004B080E">
      <w:pPr>
        <w:pStyle w:val="NormalHanging12a"/>
        <w:ind w:left="570" w:hanging="570"/>
      </w:pPr>
      <w:r w:rsidRPr="00D5189B">
        <w:t>43.</w:t>
      </w:r>
      <w:r w:rsidRPr="00D5189B">
        <w:tab/>
      </w:r>
      <w:r w:rsidR="0020749A" w:rsidRPr="00D5189B">
        <w:t>καλεί την Επιτροπή να διατηρήσει υψηλό επίπεδο φιλοδοξίας κατά την εφαρμογή των συστάσεων του ΣΧΣ σχετικά με τη μόχλευση στην ΕΕ·</w:t>
      </w:r>
    </w:p>
    <w:p w14:paraId="32FAA73A" w14:textId="51667CBA" w:rsidR="0020749A" w:rsidRPr="00D5189B" w:rsidRDefault="004B080E" w:rsidP="004B080E">
      <w:pPr>
        <w:pStyle w:val="NormalHanging12a"/>
        <w:ind w:left="570" w:hanging="570"/>
      </w:pPr>
      <w:r w:rsidRPr="00D5189B">
        <w:t>44.</w:t>
      </w:r>
      <w:r w:rsidRPr="00D5189B">
        <w:tab/>
      </w:r>
      <w:r w:rsidR="0020749A" w:rsidRPr="00D5189B">
        <w:t>υπογραμμίζει ότι οι αρχές, τόσο σε εθνικό όσο και σε ενωσιακό επίπεδο, θα πρέπει να διαθέτουν ποιοτικά, εύκολα προσβάσιμα δεδομένα και επαρκείς πόρους για την ανάλυσή τους·</w:t>
      </w:r>
    </w:p>
    <w:p w14:paraId="54EE25B9" w14:textId="4C576FBD" w:rsidR="0020749A" w:rsidRPr="00D5189B" w:rsidRDefault="004B080E" w:rsidP="004B080E">
      <w:pPr>
        <w:pStyle w:val="NormalHanging12a"/>
        <w:ind w:left="570" w:hanging="570"/>
      </w:pPr>
      <w:r w:rsidRPr="00D5189B">
        <w:t>45.</w:t>
      </w:r>
      <w:r w:rsidRPr="00D5189B">
        <w:tab/>
      </w:r>
      <w:r w:rsidR="0020749A" w:rsidRPr="00D5189B">
        <w:t>ζητεί να ενισχυθεί η διαφάνεια, οι ικανότητες ανάλυσης δεδομένων και οι εξορθολογισμένοι μηχανισμοί ανταλλαγής δεδομένων μεταξύ των εθνικών και των ενωσιακών αρχών, όσον αφορά τις διασφαλίσεις για την προστασία των δεδομένων, προκειμένου να υποστηριχθεί ένα πιο ολοκληρωμένο πλαίσιο παρακολούθησης των κινδύνων και ικανότητες προσομοίωσης ακραίων καταστάσεων σε ολόκληρο το σύστημα, μεταξύ άλλων όσον αφορά την κυβερνοανθεκτικότητα, τις διακοπές ρεύματος και το πλαίσιο ασφαλειών· σημειώνει ότι ορισμένες εθνικές αρχές έχουν ήδη γνωστοποιήσει την πρόθεσή τους να διενεργήσουν προσομοιώσεις ακραίων καταστάσεων σχετικά με τις διασυνδέσεις μεταξύ του τραπεζικού τομέα και του τομέα των NBFI·</w:t>
      </w:r>
    </w:p>
    <w:p w14:paraId="4F2A1940" w14:textId="44BAC654" w:rsidR="0020749A" w:rsidRPr="00D5189B" w:rsidRDefault="004B080E" w:rsidP="004B080E">
      <w:pPr>
        <w:pStyle w:val="NormalHanging12a"/>
        <w:ind w:left="570" w:hanging="570"/>
      </w:pPr>
      <w:r w:rsidRPr="00D5189B">
        <w:t>46.</w:t>
      </w:r>
      <w:r w:rsidRPr="00D5189B">
        <w:tab/>
      </w:r>
      <w:r w:rsidR="0020749A" w:rsidRPr="00D5189B">
        <w:t>ζητεί ενισχυμένη συνεργασία με διεθνείς χρηματοπιστωτικούς οργανισμούς, συμπεριλαμβανομένων του ΔΝΤ, της Επιτροπής της Βασιλείας για την Τραπεζική Εποπτεία, της ΤΔΔ και του ΣΧΣ, προκειμένου να αντιμετωπιστούν οι διασυνοριακοί κίνδυνοι για τη σταθερότητα·</w:t>
      </w:r>
    </w:p>
    <w:p w14:paraId="1D178D6F" w14:textId="77777777" w:rsidR="0020749A" w:rsidRPr="00D5189B" w:rsidRDefault="0020749A" w:rsidP="005D253F">
      <w:pPr>
        <w:pStyle w:val="NormalCenter12a"/>
        <w:ind w:left="567" w:hanging="567"/>
      </w:pPr>
      <w:r w:rsidRPr="00D5189B">
        <w:t>°</w:t>
      </w:r>
    </w:p>
    <w:p w14:paraId="2B99A55B" w14:textId="77777777" w:rsidR="0020749A" w:rsidRPr="00D5189B" w:rsidRDefault="0020749A" w:rsidP="005D253F">
      <w:pPr>
        <w:pStyle w:val="NormalCenter12a"/>
        <w:ind w:left="567" w:hanging="567"/>
      </w:pPr>
      <w:r w:rsidRPr="00D5189B">
        <w:t>°</w:t>
      </w:r>
      <w:r w:rsidRPr="00D5189B">
        <w:tab/>
        <w:t>°</w:t>
      </w:r>
    </w:p>
    <w:p w14:paraId="40695938" w14:textId="40562AF5" w:rsidR="00FA239C" w:rsidRPr="00D5189B" w:rsidRDefault="004B080E" w:rsidP="004B080E">
      <w:pPr>
        <w:pStyle w:val="NormalHanging12a"/>
        <w:ind w:left="570" w:hanging="570"/>
      </w:pPr>
      <w:r w:rsidRPr="00D5189B">
        <w:t>47.</w:t>
      </w:r>
      <w:r w:rsidRPr="00D5189B">
        <w:tab/>
      </w:r>
      <w:r w:rsidR="0020749A" w:rsidRPr="00D5189B">
        <w:t>αναθέτει στην Πρόεδρό του να διαβιβάσει το παρόν ψήφισμα στο Συμβούλιο και στην Επιτροπή.</w:t>
      </w:r>
    </w:p>
    <w:p w14:paraId="6EF37409" w14:textId="70690D57" w:rsidR="00E365E1" w:rsidRPr="00D5189B" w:rsidRDefault="00E365E1" w:rsidP="005D253F">
      <w:pPr>
        <w:widowControl/>
        <w:spacing w:after="240"/>
        <w:ind w:left="567" w:hanging="567"/>
      </w:pPr>
    </w:p>
    <w:sectPr w:rsidR="00E365E1" w:rsidRPr="00D5189B" w:rsidSect="00FA23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33E6A" w14:textId="77777777" w:rsidR="006A4F10" w:rsidRPr="00FA239C" w:rsidRDefault="006A4F10">
      <w:r w:rsidRPr="00FA239C">
        <w:separator/>
      </w:r>
    </w:p>
  </w:endnote>
  <w:endnote w:type="continuationSeparator" w:id="0">
    <w:p w14:paraId="1627126E" w14:textId="77777777" w:rsidR="006A4F10" w:rsidRPr="00FA239C" w:rsidRDefault="006A4F10">
      <w:r w:rsidRPr="00FA23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10691" w14:textId="77777777" w:rsidR="00064002" w:rsidRPr="00FA239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3C07" w14:textId="77777777" w:rsidR="00064002" w:rsidRPr="00FA239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DDC29" w14:textId="77777777" w:rsidR="00064002" w:rsidRPr="00FA23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90857" w14:textId="77777777" w:rsidR="006A4F10" w:rsidRPr="00FA239C" w:rsidRDefault="006A4F10">
      <w:r w:rsidRPr="00FA239C">
        <w:separator/>
      </w:r>
    </w:p>
  </w:footnote>
  <w:footnote w:type="continuationSeparator" w:id="0">
    <w:p w14:paraId="6E4AAA39" w14:textId="77777777" w:rsidR="006A4F10" w:rsidRPr="00FA239C" w:rsidRDefault="006A4F10">
      <w:r w:rsidRPr="00FA239C">
        <w:continuationSeparator/>
      </w:r>
    </w:p>
  </w:footnote>
  <w:footnote w:id="1">
    <w:p w14:paraId="576E7AA3" w14:textId="63F9EAE8" w:rsidR="0020749A" w:rsidRPr="00FA239C" w:rsidRDefault="0020749A" w:rsidP="00FA239C">
      <w:pPr>
        <w:pStyle w:val="FootnoteText"/>
        <w:ind w:left="567" w:hanging="567"/>
        <w:rPr>
          <w:sz w:val="24"/>
          <w:lang w:val="el-GR"/>
        </w:rPr>
      </w:pPr>
      <w:r w:rsidRPr="00FA239C">
        <w:rPr>
          <w:sz w:val="24"/>
          <w:vertAlign w:val="superscript"/>
          <w:lang w:val="el-GR"/>
        </w:rPr>
        <w:t>1</w:t>
      </w:r>
      <w:r w:rsidR="00FA239C" w:rsidRPr="00FA239C">
        <w:rPr>
          <w:sz w:val="24"/>
          <w:vertAlign w:val="superscript"/>
          <w:lang w:val="el-GR"/>
        </w:rPr>
        <w:t xml:space="preserve"> </w:t>
      </w:r>
      <w:r w:rsidR="00FA239C" w:rsidRPr="00FA239C">
        <w:rPr>
          <w:sz w:val="24"/>
          <w:vertAlign w:val="superscript"/>
          <w:lang w:val="el-GR"/>
        </w:rPr>
        <w:tab/>
      </w:r>
      <w:r w:rsidRPr="00FA239C">
        <w:rPr>
          <w:sz w:val="24"/>
          <w:lang w:val="el-GR"/>
        </w:rPr>
        <w:t>ΕΕ C 33</w:t>
      </w:r>
      <w:r w:rsidR="00900875">
        <w:rPr>
          <w:sz w:val="24"/>
          <w:lang w:val="el-GR"/>
        </w:rPr>
        <w:t xml:space="preserve"> </w:t>
      </w:r>
      <w:r w:rsidRPr="00FA239C">
        <w:rPr>
          <w:sz w:val="24"/>
          <w:lang w:val="el-GR"/>
        </w:rPr>
        <w:t>E της 5.2.2013, σ. 140.</w:t>
      </w:r>
    </w:p>
  </w:footnote>
  <w:footnote w:id="2">
    <w:p w14:paraId="44639921" w14:textId="1393A752" w:rsidR="0020749A" w:rsidRPr="00FA239C" w:rsidRDefault="0020749A" w:rsidP="00FA239C">
      <w:pPr>
        <w:pStyle w:val="FootnoteText"/>
        <w:ind w:left="567" w:hanging="567"/>
        <w:rPr>
          <w:sz w:val="24"/>
          <w:lang w:val="el-GR"/>
        </w:rPr>
      </w:pPr>
      <w:r w:rsidRPr="00FA239C">
        <w:rPr>
          <w:sz w:val="24"/>
          <w:vertAlign w:val="superscript"/>
          <w:lang w:val="el-GR"/>
        </w:rPr>
        <w:t>2</w:t>
      </w:r>
      <w:r w:rsidR="00FA239C" w:rsidRPr="00FA239C">
        <w:rPr>
          <w:sz w:val="24"/>
          <w:vertAlign w:val="superscript"/>
          <w:lang w:val="el-GR"/>
        </w:rPr>
        <w:t xml:space="preserve"> </w:t>
      </w:r>
      <w:r w:rsidR="00FA239C" w:rsidRPr="00FA239C">
        <w:rPr>
          <w:sz w:val="24"/>
          <w:vertAlign w:val="superscript"/>
          <w:lang w:val="el-GR"/>
        </w:rPr>
        <w:tab/>
      </w:r>
      <w:r w:rsidRPr="00FA239C">
        <w:rPr>
          <w:sz w:val="24"/>
          <w:lang w:val="el-GR"/>
        </w:rPr>
        <w:t>Οδηγία 2011/61/ΕΕ του Ευρωπαϊκού Κοινοβουλίου και του Συμβουλίου, της 8ης</w:t>
      </w:r>
      <w:r w:rsidR="00FB4E5B">
        <w:rPr>
          <w:sz w:val="24"/>
          <w:lang w:val="el-GR"/>
        </w:rPr>
        <w:t> </w:t>
      </w:r>
      <w:r w:rsidRPr="00FA239C">
        <w:rPr>
          <w:sz w:val="24"/>
          <w:lang w:val="el-GR"/>
        </w:rPr>
        <w:t xml:space="preserve">Ιουνίου 2011, σχετικά με τους διαχειριστές οργανισμών εναλλακτικών επενδύσεων και για την τροποποίηση των οδηγιών 2003/41/ΕΚ και 2009/65/ΕΚ και των κανονισμών (ΕΚ) αριθ. 1060/2009 και (ΕΕ) αριθ. 1095/2010 </w:t>
      </w:r>
      <w:r w:rsidR="00FB4E5B">
        <w:rPr>
          <w:sz w:val="24"/>
          <w:lang w:val="el-GR"/>
        </w:rPr>
        <w:t>(</w:t>
      </w:r>
      <w:r w:rsidRPr="00FA239C">
        <w:rPr>
          <w:sz w:val="24"/>
          <w:lang w:val="el-GR"/>
        </w:rPr>
        <w:t>ΕΕ L 174 της 1.7.2011, σ.</w:t>
      </w:r>
      <w:r w:rsidR="00FB4E5B">
        <w:rPr>
          <w:sz w:val="24"/>
          <w:lang w:val="el-GR"/>
        </w:rPr>
        <w:t> </w:t>
      </w:r>
      <w:r w:rsidRPr="00FA239C">
        <w:rPr>
          <w:sz w:val="24"/>
          <w:lang w:val="el-GR"/>
        </w:rPr>
        <w:t xml:space="preserve">1, ELI: </w:t>
      </w:r>
      <w:hyperlink r:id="rId1" w:tgtFrame="http://data.europa.eu/eli/dir/2011/61/oj" w:history="1">
        <w:r w:rsidRPr="00FA239C">
          <w:rPr>
            <w:rStyle w:val="Hyperlink"/>
            <w:sz w:val="24"/>
            <w:lang w:val="el-GR"/>
          </w:rPr>
          <w:t>http://data.europa.eu/eli/dir/2011/61/oj</w:t>
        </w:r>
      </w:hyperlink>
      <w:r w:rsidRPr="00FA239C">
        <w:rPr>
          <w:sz w:val="24"/>
          <w:lang w:val="el-GR"/>
        </w:rPr>
        <w:t>).</w:t>
      </w:r>
    </w:p>
  </w:footnote>
  <w:footnote w:id="3">
    <w:p w14:paraId="3BF65FA1" w14:textId="2286B288" w:rsidR="0020749A" w:rsidRPr="00FA239C" w:rsidRDefault="0020749A" w:rsidP="00FA239C">
      <w:pPr>
        <w:pStyle w:val="FootnoteText"/>
        <w:ind w:left="567" w:hanging="567"/>
        <w:rPr>
          <w:sz w:val="24"/>
          <w:lang w:val="el-GR"/>
        </w:rPr>
      </w:pPr>
      <w:r w:rsidRPr="00FA239C">
        <w:rPr>
          <w:sz w:val="24"/>
          <w:vertAlign w:val="superscript"/>
          <w:lang w:val="el-GR"/>
        </w:rPr>
        <w:t>3</w:t>
      </w:r>
      <w:r w:rsidR="00FA239C" w:rsidRPr="00FA239C">
        <w:rPr>
          <w:sz w:val="24"/>
          <w:vertAlign w:val="superscript"/>
          <w:lang w:val="el-GR"/>
        </w:rPr>
        <w:t xml:space="preserve"> </w:t>
      </w:r>
      <w:r w:rsidR="00FA239C" w:rsidRPr="00FA239C">
        <w:rPr>
          <w:sz w:val="24"/>
          <w:vertAlign w:val="superscript"/>
          <w:lang w:val="el-GR"/>
        </w:rPr>
        <w:tab/>
      </w:r>
      <w:r w:rsidRPr="00FA239C">
        <w:rPr>
          <w:sz w:val="24"/>
          <w:lang w:val="el-GR"/>
        </w:rPr>
        <w:t xml:space="preserve">Κανονισμός (ΕΕ) 2017/1131 του Ευρωπαϊκού Κοινοβουλίου και του Συμβουλίου, της 14ης Ιουνίου 2017, για τα αμοιβαία κεφάλαια της χρηματαγοράς </w:t>
      </w:r>
      <w:r w:rsidR="00FB4E5B">
        <w:rPr>
          <w:sz w:val="24"/>
          <w:lang w:val="el-GR"/>
        </w:rPr>
        <w:t>(</w:t>
      </w:r>
      <w:r w:rsidRPr="00FA239C">
        <w:rPr>
          <w:sz w:val="24"/>
          <w:lang w:val="el-GR"/>
        </w:rPr>
        <w:t xml:space="preserve">ΕΕ L 169 της 30.6.2017, σ. 8, ELI: </w:t>
      </w:r>
      <w:hyperlink r:id="rId2" w:tgtFrame="http://data.europa.eu/eli/reg/2017/1131/oj" w:history="1">
        <w:r w:rsidRPr="00FA239C">
          <w:rPr>
            <w:rStyle w:val="Hyperlink"/>
            <w:sz w:val="24"/>
            <w:lang w:val="el-GR"/>
          </w:rPr>
          <w:t>http://data.europa.eu/eli/reg/2017/1131/oj</w:t>
        </w:r>
      </w:hyperlink>
      <w:r w:rsidRPr="00FA239C">
        <w:rPr>
          <w:sz w:val="24"/>
          <w:lang w:val="el-GR"/>
        </w:rPr>
        <w:t>).</w:t>
      </w:r>
    </w:p>
  </w:footnote>
  <w:footnote w:id="4">
    <w:p w14:paraId="75BF78C1" w14:textId="55E24B45" w:rsidR="0020749A" w:rsidRPr="00FA239C" w:rsidRDefault="0020749A" w:rsidP="00FA239C">
      <w:pPr>
        <w:pStyle w:val="FootnoteText"/>
        <w:ind w:left="567" w:hanging="567"/>
        <w:rPr>
          <w:sz w:val="24"/>
          <w:lang w:val="el-GR"/>
        </w:rPr>
      </w:pPr>
      <w:r w:rsidRPr="00FA239C">
        <w:rPr>
          <w:sz w:val="24"/>
          <w:vertAlign w:val="superscript"/>
          <w:lang w:val="el-GR"/>
        </w:rPr>
        <w:t>4</w:t>
      </w:r>
      <w:r w:rsidR="00FA239C" w:rsidRPr="00FA239C">
        <w:rPr>
          <w:sz w:val="24"/>
          <w:vertAlign w:val="superscript"/>
          <w:lang w:val="el-GR"/>
        </w:rPr>
        <w:t xml:space="preserve"> </w:t>
      </w:r>
      <w:r w:rsidR="00FA239C" w:rsidRPr="00FA239C">
        <w:rPr>
          <w:sz w:val="24"/>
          <w:vertAlign w:val="superscript"/>
          <w:lang w:val="el-GR"/>
        </w:rPr>
        <w:tab/>
      </w:r>
      <w:r w:rsidRPr="00FA239C">
        <w:rPr>
          <w:sz w:val="24"/>
          <w:lang w:val="el-GR"/>
        </w:rPr>
        <w:t>Οδηγία (ΕΕ) 2019/2034 του Ευρωπαϊκού Κοινοβουλίου και του Συμβουλίου, της 27ης</w:t>
      </w:r>
      <w:r w:rsidR="00FB4E5B">
        <w:rPr>
          <w:sz w:val="24"/>
          <w:lang w:val="el-GR"/>
        </w:rPr>
        <w:t> </w:t>
      </w:r>
      <w:r w:rsidRPr="00FA239C">
        <w:rPr>
          <w:sz w:val="24"/>
          <w:lang w:val="el-GR"/>
        </w:rPr>
        <w:t xml:space="preserve">Νοεμβρίου 2019, σχετικά με την προληπτική εποπτεία επιχειρήσεων επενδύσεων και την τροποποίηση των οδηγιών 2002/87/ΕΚ, 2009/65/ΕΚ, 2011/61/ΕΕ, 2013/36/ΕΕ, 2014/59/ΕΕ και 2014/65/ΕΕ (ΕΕ L 314 της 5.12.2019, σ. 64, ELI: </w:t>
      </w:r>
      <w:hyperlink r:id="rId3" w:tgtFrame="http://data.europa.eu/eli/dir/2019/2034/oj" w:history="1">
        <w:r w:rsidRPr="00FA239C">
          <w:rPr>
            <w:rStyle w:val="Hyperlink"/>
            <w:sz w:val="24"/>
            <w:lang w:val="el-GR"/>
          </w:rPr>
          <w:t>http://data.europa.eu/eli/dir/2019/2034/oj</w:t>
        </w:r>
      </w:hyperlink>
      <w:r w:rsidRPr="00FA239C">
        <w:rPr>
          <w:sz w:val="24"/>
          <w:lang w:val="el-GR"/>
        </w:rPr>
        <w:t>).</w:t>
      </w:r>
    </w:p>
  </w:footnote>
  <w:footnote w:id="5">
    <w:p w14:paraId="4D887913" w14:textId="573031BF" w:rsidR="0020749A" w:rsidRPr="00FA239C" w:rsidRDefault="0020749A" w:rsidP="00FA239C">
      <w:pPr>
        <w:pStyle w:val="FootnoteText"/>
        <w:ind w:left="567" w:hanging="567"/>
        <w:rPr>
          <w:sz w:val="24"/>
          <w:lang w:val="el-GR"/>
        </w:rPr>
      </w:pPr>
      <w:r w:rsidRPr="00FA239C">
        <w:rPr>
          <w:sz w:val="24"/>
          <w:vertAlign w:val="superscript"/>
          <w:lang w:val="el-GR"/>
        </w:rPr>
        <w:t>5</w:t>
      </w:r>
      <w:r w:rsidR="00FA239C" w:rsidRPr="00FA239C">
        <w:rPr>
          <w:sz w:val="24"/>
          <w:vertAlign w:val="superscript"/>
          <w:lang w:val="el-GR"/>
        </w:rPr>
        <w:t xml:space="preserve"> </w:t>
      </w:r>
      <w:r w:rsidR="00FA239C" w:rsidRPr="00FA239C">
        <w:rPr>
          <w:sz w:val="24"/>
          <w:vertAlign w:val="superscript"/>
          <w:lang w:val="el-GR"/>
        </w:rPr>
        <w:tab/>
      </w:r>
      <w:r w:rsidRPr="00FA239C">
        <w:rPr>
          <w:sz w:val="24"/>
          <w:lang w:val="el-GR"/>
        </w:rPr>
        <w:t>Κανονισμός (ΕΕ) 2019/2033 του Ευρωπαϊκού Κοινοβουλίου και το Συμβουλίου, της 27ης Νοεμβρίου 2019, σχετικά με τις απαιτήσεις προληπτικής εποπτείας επιχειρήσεων επενδύσεων και την τροποποίηση των κανονισμών (ΕΕ) αριθ. 1093/2010, (ΕΕ) αριθ.</w:t>
      </w:r>
      <w:r w:rsidR="00FB4E5B">
        <w:rPr>
          <w:sz w:val="24"/>
          <w:lang w:val="el-GR"/>
        </w:rPr>
        <w:t xml:space="preserve"> </w:t>
      </w:r>
      <w:r w:rsidRPr="00FA239C">
        <w:rPr>
          <w:sz w:val="24"/>
          <w:lang w:val="el-GR"/>
        </w:rPr>
        <w:t>575/2013, (ΕΕ) αριθ. 600/2014 και (ΕΕ) αριθ. 806/2014 (ΕΕ L 314 της 5.12.2019, σ. 1,</w:t>
      </w:r>
      <w:r w:rsidR="00FB4E5B">
        <w:rPr>
          <w:sz w:val="24"/>
          <w:lang w:val="el-GR"/>
        </w:rPr>
        <w:t xml:space="preserve"> </w:t>
      </w:r>
      <w:r w:rsidRPr="00FA239C">
        <w:rPr>
          <w:sz w:val="24"/>
          <w:lang w:val="el-GR"/>
        </w:rPr>
        <w:t xml:space="preserve">ELI: </w:t>
      </w:r>
      <w:hyperlink r:id="rId4" w:tgtFrame="http://data.europa.eu/eli/reg/2019/2033/oj" w:history="1">
        <w:r w:rsidRPr="00FA239C">
          <w:rPr>
            <w:rStyle w:val="Hyperlink"/>
            <w:sz w:val="24"/>
            <w:lang w:val="el-GR"/>
          </w:rPr>
          <w:t>http://data.europa.eu/eli/reg/2019/2033/oj</w:t>
        </w:r>
      </w:hyperlink>
      <w:r w:rsidRPr="00FA239C">
        <w:rPr>
          <w:sz w:val="24"/>
          <w:lang w:val="el-GR"/>
        </w:rPr>
        <w:t>).</w:t>
      </w:r>
    </w:p>
  </w:footnote>
  <w:footnote w:id="6">
    <w:p w14:paraId="0799BC93" w14:textId="7FE056C0" w:rsidR="0020749A" w:rsidRPr="00FA239C" w:rsidRDefault="0020749A" w:rsidP="00FA239C">
      <w:pPr>
        <w:pStyle w:val="FootnoteText"/>
        <w:ind w:left="567" w:hanging="567"/>
        <w:rPr>
          <w:sz w:val="24"/>
          <w:lang w:val="el-GR"/>
        </w:rPr>
      </w:pPr>
      <w:r w:rsidRPr="00FA239C">
        <w:rPr>
          <w:sz w:val="24"/>
          <w:vertAlign w:val="superscript"/>
          <w:lang w:val="el-GR"/>
        </w:rPr>
        <w:t>6</w:t>
      </w:r>
      <w:r w:rsidR="00FA239C" w:rsidRPr="00FA239C">
        <w:rPr>
          <w:sz w:val="24"/>
          <w:vertAlign w:val="superscript"/>
          <w:lang w:val="el-GR"/>
        </w:rPr>
        <w:t xml:space="preserve"> </w:t>
      </w:r>
      <w:r w:rsidR="00FA239C" w:rsidRPr="00FA239C">
        <w:rPr>
          <w:sz w:val="24"/>
          <w:vertAlign w:val="superscript"/>
          <w:lang w:val="el-GR"/>
        </w:rPr>
        <w:tab/>
      </w:r>
      <w:r w:rsidRPr="00FA239C">
        <w:rPr>
          <w:sz w:val="24"/>
          <w:lang w:val="el-GR"/>
        </w:rPr>
        <w:t>Οδηγία (ΕΕ) 2016/2341 του Ευρωπαϊκού Κοινοβουλίου και του Συμβουλίου, της 14ης</w:t>
      </w:r>
      <w:r w:rsidR="00FB4E5B">
        <w:rPr>
          <w:sz w:val="24"/>
          <w:lang w:val="el-GR"/>
        </w:rPr>
        <w:t> </w:t>
      </w:r>
      <w:r w:rsidRPr="00FA239C">
        <w:rPr>
          <w:sz w:val="24"/>
          <w:lang w:val="el-GR"/>
        </w:rPr>
        <w:t xml:space="preserve">Δεκεμβρίου 2016, για τις δραστηριότητες και την εποπτεία των ιδρυμάτων επαγγελματικών συνταξιοδοτικών παροχών (ΙΕΣΠ) (ΕΕ L 354 της 23.12.2016, σ. 37, ELI: </w:t>
      </w:r>
      <w:hyperlink r:id="rId5" w:tgtFrame="http://data.europa.eu/eli/dir/2016/2341/oj" w:history="1">
        <w:r w:rsidRPr="00FA239C">
          <w:rPr>
            <w:rStyle w:val="Hyperlink"/>
            <w:sz w:val="24"/>
            <w:lang w:val="el-GR"/>
          </w:rPr>
          <w:t>http://data.europa.eu/eli/dir/2016/2341/oj</w:t>
        </w:r>
      </w:hyperlink>
      <w:r w:rsidRPr="00FA239C">
        <w:rPr>
          <w:sz w:val="24"/>
          <w:lang w:val="el-GR"/>
        </w:rPr>
        <w:t>).</w:t>
      </w:r>
    </w:p>
  </w:footnote>
  <w:footnote w:id="7">
    <w:p w14:paraId="2FE411BE" w14:textId="58EE7CB3" w:rsidR="0020749A" w:rsidRPr="00FA239C" w:rsidRDefault="0020749A" w:rsidP="00FA239C">
      <w:pPr>
        <w:pStyle w:val="FootnoteText"/>
        <w:ind w:left="567" w:hanging="567"/>
        <w:rPr>
          <w:sz w:val="24"/>
          <w:lang w:val="el-GR"/>
        </w:rPr>
      </w:pPr>
      <w:r w:rsidRPr="00FA239C">
        <w:rPr>
          <w:sz w:val="24"/>
          <w:vertAlign w:val="superscript"/>
          <w:lang w:val="el-GR"/>
        </w:rPr>
        <w:t>7</w:t>
      </w:r>
      <w:r w:rsidR="00FA239C" w:rsidRPr="00FA239C">
        <w:rPr>
          <w:sz w:val="24"/>
          <w:vertAlign w:val="superscript"/>
          <w:lang w:val="el-GR"/>
        </w:rPr>
        <w:t xml:space="preserve"> </w:t>
      </w:r>
      <w:r w:rsidR="00FA239C" w:rsidRPr="00FA239C">
        <w:rPr>
          <w:sz w:val="24"/>
          <w:vertAlign w:val="superscript"/>
          <w:lang w:val="el-GR"/>
        </w:rPr>
        <w:tab/>
      </w:r>
      <w:hyperlink r:id="rId6" w:tgtFrame="https://www.ecb.europa.eu/pub/pdf/fsr/ecb.fsr202505~0cde5244f6.en.pdf" w:history="1">
        <w:r w:rsidRPr="00FA239C">
          <w:rPr>
            <w:rStyle w:val="Hyperlink"/>
            <w:sz w:val="24"/>
            <w:lang w:val="el-GR"/>
          </w:rPr>
          <w:t>Έκθεση της ΕΚΤ για τη χρηματοπιστωτική σταθερότητα</w:t>
        </w:r>
      </w:hyperlink>
      <w:r w:rsidRPr="00FA239C">
        <w:rPr>
          <w:sz w:val="24"/>
          <w:lang w:val="el-GR"/>
        </w:rPr>
        <w:t>, Μάιος του 2025, σ. 78.</w:t>
      </w:r>
    </w:p>
  </w:footnote>
  <w:footnote w:id="8">
    <w:p w14:paraId="5B8984A8" w14:textId="247BD8A9" w:rsidR="0020749A" w:rsidRPr="00FA239C" w:rsidRDefault="0020749A" w:rsidP="00FA239C">
      <w:pPr>
        <w:pStyle w:val="FootnoteText"/>
        <w:ind w:left="567" w:hanging="567"/>
        <w:rPr>
          <w:sz w:val="24"/>
          <w:lang w:val="el-GR"/>
        </w:rPr>
      </w:pPr>
      <w:r w:rsidRPr="00FA239C">
        <w:rPr>
          <w:sz w:val="24"/>
          <w:vertAlign w:val="superscript"/>
          <w:lang w:val="el-GR"/>
        </w:rPr>
        <w:t>8</w:t>
      </w:r>
      <w:r w:rsidR="00FA239C" w:rsidRPr="00FA239C">
        <w:rPr>
          <w:sz w:val="24"/>
          <w:vertAlign w:val="superscript"/>
          <w:lang w:val="el-GR"/>
        </w:rPr>
        <w:t xml:space="preserve"> </w:t>
      </w:r>
      <w:r w:rsidR="00FA239C" w:rsidRPr="00FA239C">
        <w:rPr>
          <w:sz w:val="24"/>
          <w:vertAlign w:val="superscript"/>
          <w:lang w:val="el-GR"/>
        </w:rPr>
        <w:tab/>
      </w:r>
      <w:r w:rsidRPr="00FA239C">
        <w:rPr>
          <w:sz w:val="24"/>
          <w:lang w:val="el-GR"/>
        </w:rPr>
        <w:t xml:space="preserve">Κανονισμός (ΕΕ) 2017/1131 του Ευρωπαϊκού Κοινοβουλίου και του Συμβουλίου, της 14ης Ιουνίου 2017, για τα αμοιβαία κεφάλαια της χρηματαγοράς </w:t>
      </w:r>
      <w:r w:rsidR="00FB4E5B">
        <w:rPr>
          <w:sz w:val="24"/>
          <w:lang w:val="el-GR"/>
        </w:rPr>
        <w:t>(</w:t>
      </w:r>
      <w:r w:rsidRPr="00FA239C">
        <w:rPr>
          <w:sz w:val="24"/>
          <w:lang w:val="el-GR"/>
        </w:rPr>
        <w:t xml:space="preserve">ΕΕ L 169 της 30.6.2017, σ. 8, ELI: </w:t>
      </w:r>
      <w:hyperlink r:id="rId7" w:tgtFrame="http://data.europa.eu/eli/reg/2017/1131/oj" w:history="1">
        <w:r w:rsidRPr="00FA239C">
          <w:rPr>
            <w:rStyle w:val="Hyperlink"/>
            <w:sz w:val="24"/>
            <w:lang w:val="el-GR"/>
          </w:rPr>
          <w:t>http://data.europa.eu/eli/reg/2017/1131/oj</w:t>
        </w:r>
      </w:hyperlink>
      <w:r w:rsidRPr="00FA239C">
        <w:rPr>
          <w:sz w:val="24"/>
          <w:lang w:val="el-GR"/>
        </w:rPr>
        <w:t>).</w:t>
      </w:r>
    </w:p>
  </w:footnote>
  <w:footnote w:id="9">
    <w:p w14:paraId="45B30AAE" w14:textId="36DBDE9C" w:rsidR="0020749A" w:rsidRPr="00FA239C" w:rsidRDefault="0020749A" w:rsidP="00FA239C">
      <w:pPr>
        <w:pStyle w:val="FootnoteText"/>
        <w:ind w:left="567" w:hanging="567"/>
        <w:rPr>
          <w:sz w:val="24"/>
          <w:lang w:val="el-GR"/>
        </w:rPr>
      </w:pPr>
      <w:r w:rsidRPr="00FA239C">
        <w:rPr>
          <w:sz w:val="24"/>
          <w:vertAlign w:val="superscript"/>
          <w:lang w:val="el-GR"/>
        </w:rPr>
        <w:t>9</w:t>
      </w:r>
      <w:r w:rsidR="00FA239C" w:rsidRPr="00FA239C">
        <w:rPr>
          <w:sz w:val="24"/>
          <w:vertAlign w:val="superscript"/>
          <w:lang w:val="el-GR"/>
        </w:rPr>
        <w:t xml:space="preserve"> </w:t>
      </w:r>
      <w:r w:rsidR="00FA239C" w:rsidRPr="00FA239C">
        <w:rPr>
          <w:sz w:val="24"/>
          <w:vertAlign w:val="superscript"/>
          <w:lang w:val="el-GR"/>
        </w:rPr>
        <w:tab/>
      </w:r>
      <w:hyperlink r:id="rId8" w:tgtFrame="https://www.fsb.org/uploads/P221024-3.pdf" w:history="1">
        <w:r w:rsidRPr="00FA239C">
          <w:rPr>
            <w:rStyle w:val="Hyperlink"/>
            <w:sz w:val="24"/>
            <w:lang w:val="el-GR"/>
          </w:rPr>
          <w:t xml:space="preserve">Έκθεση της G20 σχετικά με την κατάσταση εφαρμογής της πολιτικής για τα </w:t>
        </w:r>
        <w:proofErr w:type="spellStart"/>
        <w:r w:rsidRPr="00FA239C">
          <w:rPr>
            <w:rStyle w:val="Hyperlink"/>
            <w:sz w:val="24"/>
            <w:lang w:val="el-GR"/>
          </w:rPr>
          <w:t>κρυπτοπεριουσιακά</w:t>
        </w:r>
        <w:proofErr w:type="spellEnd"/>
        <w:r w:rsidRPr="00FA239C">
          <w:rPr>
            <w:rStyle w:val="Hyperlink"/>
            <w:sz w:val="24"/>
            <w:lang w:val="el-GR"/>
          </w:rPr>
          <w:t xml:space="preserve"> στοιχεία,</w:t>
        </w:r>
      </w:hyperlink>
      <w:r w:rsidRPr="00FA239C">
        <w:rPr>
          <w:sz w:val="24"/>
          <w:lang w:val="el-GR"/>
        </w:rPr>
        <w:t xml:space="preserve"> της 22ας Οκτωβρίου 2024.</w:t>
      </w:r>
    </w:p>
  </w:footnote>
  <w:footnote w:id="10">
    <w:p w14:paraId="00AD9366" w14:textId="2BC38A2F" w:rsidR="0020749A" w:rsidRPr="00FA239C" w:rsidRDefault="0020749A" w:rsidP="00FA239C">
      <w:pPr>
        <w:pStyle w:val="FootnoteText"/>
        <w:ind w:left="567" w:hanging="567"/>
        <w:rPr>
          <w:sz w:val="24"/>
          <w:lang w:val="el-GR"/>
        </w:rPr>
      </w:pPr>
      <w:r w:rsidRPr="00FA239C">
        <w:rPr>
          <w:sz w:val="24"/>
          <w:vertAlign w:val="superscript"/>
          <w:lang w:val="el-GR"/>
        </w:rPr>
        <w:t>10</w:t>
      </w:r>
      <w:r w:rsidR="00FA239C" w:rsidRPr="00FA239C">
        <w:rPr>
          <w:sz w:val="24"/>
          <w:vertAlign w:val="superscript"/>
          <w:lang w:val="el-GR"/>
        </w:rPr>
        <w:t xml:space="preserve"> </w:t>
      </w:r>
      <w:r w:rsidR="00FA239C" w:rsidRPr="00FA239C">
        <w:rPr>
          <w:sz w:val="24"/>
          <w:vertAlign w:val="superscript"/>
          <w:lang w:val="el-GR"/>
        </w:rPr>
        <w:tab/>
      </w:r>
      <w:r w:rsidRPr="00FA239C">
        <w:rPr>
          <w:sz w:val="24"/>
          <w:lang w:val="el-GR"/>
        </w:rPr>
        <w:t>Κανονισμός (ΕΕ) 2022/2554 του Ευρωπαϊκού Κοινοβουλίου και του Συμβουλίου, της 14ης Δεκεμβρίου 2022, σχετικά με την ψηφιακή επιχειρησιακή ανθεκτικότητα του χρηματοοικονομικού τομέα και την τροποποίηση των κανονισμών (ΕΚ) αριθ. 1060/2009, (ΕΕ) αριθ. 648/2012, (ΕΕ) αριθ. 600/2014, (ΕΕ) αριθ. 909/2014 και (ΕΕ)</w:t>
      </w:r>
      <w:r w:rsidR="00FB4E5B">
        <w:rPr>
          <w:lang w:val="el-GR"/>
        </w:rPr>
        <w:t> </w:t>
      </w:r>
      <w:r w:rsidRPr="00D5189B">
        <w:rPr>
          <w:lang w:val="el-GR"/>
        </w:rPr>
        <w:t>2016</w:t>
      </w:r>
      <w:r w:rsidRPr="00FA239C">
        <w:rPr>
          <w:sz w:val="24"/>
          <w:lang w:val="el-GR"/>
        </w:rPr>
        <w:t xml:space="preserve">/1011 (ΕΕ L 333 της 27.12.2022, σ. 1, ELI: </w:t>
      </w:r>
      <w:hyperlink r:id="rId9" w:tgtFrame="http://data.europa.eu/eli/reg/2022/2554/oj" w:history="1">
        <w:r w:rsidRPr="00FA239C">
          <w:rPr>
            <w:rStyle w:val="Hyperlink"/>
            <w:sz w:val="24"/>
            <w:lang w:val="el-GR"/>
          </w:rPr>
          <w:t>http://data.europa.eu/eli/reg/2022/2554/oj</w:t>
        </w:r>
      </w:hyperlink>
      <w:r w:rsidRPr="00FA239C">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94595" w14:textId="77777777" w:rsidR="00064002" w:rsidRPr="00FA239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E6C3A" w14:textId="77777777" w:rsidR="00064002" w:rsidRPr="00FA239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CCB00" w14:textId="77777777" w:rsidR="00064002" w:rsidRPr="00FA23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36E33"/>
    <w:multiLevelType w:val="hybridMultilevel"/>
    <w:tmpl w:val="A442FD7E"/>
    <w:lvl w:ilvl="0" w:tplc="3642D1B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1118256">
    <w:abstractNumId w:val="1"/>
  </w:num>
  <w:num w:numId="2" w16cid:durableId="1435321603">
    <w:abstractNumId w:val="2"/>
  </w:num>
  <w:num w:numId="3" w16cid:durableId="168709669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EL"/>
    <w:docVar w:name="dvnumam" w:val="0"/>
    <w:docVar w:name="dvpe" w:val="771.960"/>
    <w:docVar w:name="dvrapporteur" w:val="Εισηγητής: "/>
    <w:docVar w:name="dvtitre" w:val="Ψήφισμα του Ευρωπαϊκού Κοινοβουλίου σχετικά με τη διασφάλιση και την προώθηση της χρηματοπιστωτικής σταθερότητας εν μέσω οικονομικής αβεβαιότητας(2025/2051(INI))"/>
  </w:docVars>
  <w:rsids>
    <w:rsidRoot w:val="006A4F10"/>
    <w:rsid w:val="00002272"/>
    <w:rsid w:val="00064002"/>
    <w:rsid w:val="000677B9"/>
    <w:rsid w:val="000831BA"/>
    <w:rsid w:val="00086F5F"/>
    <w:rsid w:val="000A42CC"/>
    <w:rsid w:val="000E7DD9"/>
    <w:rsid w:val="0010095E"/>
    <w:rsid w:val="00125B37"/>
    <w:rsid w:val="00187494"/>
    <w:rsid w:val="001F32AE"/>
    <w:rsid w:val="0020749A"/>
    <w:rsid w:val="002765A0"/>
    <w:rsid w:val="002767FF"/>
    <w:rsid w:val="002B18FE"/>
    <w:rsid w:val="002B5493"/>
    <w:rsid w:val="00343214"/>
    <w:rsid w:val="00361C00"/>
    <w:rsid w:val="00395FA1"/>
    <w:rsid w:val="003E15D4"/>
    <w:rsid w:val="00411CCE"/>
    <w:rsid w:val="0041666E"/>
    <w:rsid w:val="00421060"/>
    <w:rsid w:val="00471C19"/>
    <w:rsid w:val="004867E3"/>
    <w:rsid w:val="00494A28"/>
    <w:rsid w:val="004B080E"/>
    <w:rsid w:val="004C0004"/>
    <w:rsid w:val="004C5D52"/>
    <w:rsid w:val="0050519A"/>
    <w:rsid w:val="005072A1"/>
    <w:rsid w:val="00514517"/>
    <w:rsid w:val="00545827"/>
    <w:rsid w:val="00560270"/>
    <w:rsid w:val="005C2568"/>
    <w:rsid w:val="005D253F"/>
    <w:rsid w:val="005F1B17"/>
    <w:rsid w:val="006037C0"/>
    <w:rsid w:val="006631B6"/>
    <w:rsid w:val="00680577"/>
    <w:rsid w:val="006A4F1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3CA"/>
    <w:rsid w:val="0090087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89B"/>
    <w:rsid w:val="00D56C11"/>
    <w:rsid w:val="00D834A0"/>
    <w:rsid w:val="00D872DF"/>
    <w:rsid w:val="00D91E21"/>
    <w:rsid w:val="00DA7FCD"/>
    <w:rsid w:val="00E30E0B"/>
    <w:rsid w:val="00E365E1"/>
    <w:rsid w:val="00E820A4"/>
    <w:rsid w:val="00EB006A"/>
    <w:rsid w:val="00EB4772"/>
    <w:rsid w:val="00ED169E"/>
    <w:rsid w:val="00ED4235"/>
    <w:rsid w:val="00F04346"/>
    <w:rsid w:val="00F075DC"/>
    <w:rsid w:val="00F149E9"/>
    <w:rsid w:val="00F5134D"/>
    <w:rsid w:val="00F74202"/>
    <w:rsid w:val="00F87713"/>
    <w:rsid w:val="00FA239C"/>
    <w:rsid w:val="00FB4360"/>
    <w:rsid w:val="00FB4E5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03479"/>
  <w15:chartTrackingRefBased/>
  <w15:docId w15:val="{463F03BD-24E7-43C1-BE6F-8A17B2C1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0749A"/>
    <w:pPr>
      <w:widowControl/>
      <w:spacing w:after="240"/>
    </w:pPr>
    <w:rPr>
      <w:szCs w:val="24"/>
      <w:lang w:eastAsia="en-US"/>
    </w:rPr>
  </w:style>
  <w:style w:type="paragraph" w:customStyle="1" w:styleId="NormalHanging12a">
    <w:name w:val="NormalHanging12a"/>
    <w:basedOn w:val="Normal"/>
    <w:rsid w:val="0020749A"/>
    <w:pPr>
      <w:widowControl/>
      <w:spacing w:after="240"/>
      <w:ind w:left="566" w:hanging="566"/>
    </w:pPr>
    <w:rPr>
      <w:szCs w:val="24"/>
      <w:lang w:eastAsia="en-US"/>
    </w:rPr>
  </w:style>
  <w:style w:type="paragraph" w:customStyle="1" w:styleId="Normal12">
    <w:name w:val="Normal12"/>
    <w:basedOn w:val="Normal"/>
    <w:rsid w:val="0020749A"/>
    <w:pPr>
      <w:widowControl/>
      <w:spacing w:after="240"/>
    </w:pPr>
    <w:rPr>
      <w:szCs w:val="24"/>
      <w:lang w:eastAsia="en-US"/>
    </w:rPr>
  </w:style>
  <w:style w:type="paragraph" w:customStyle="1" w:styleId="NormalHanging">
    <w:name w:val="NormalHanging"/>
    <w:basedOn w:val="Normal"/>
    <w:rsid w:val="0020749A"/>
    <w:pPr>
      <w:widowControl/>
      <w:spacing w:after="240"/>
      <w:ind w:left="566" w:hanging="566"/>
    </w:pPr>
    <w:rPr>
      <w:szCs w:val="24"/>
      <w:lang w:eastAsia="en-US"/>
    </w:rPr>
  </w:style>
  <w:style w:type="paragraph" w:customStyle="1" w:styleId="NormalBold12a">
    <w:name w:val="NormalBold12a"/>
    <w:basedOn w:val="Normal"/>
    <w:rsid w:val="0020749A"/>
    <w:pPr>
      <w:widowControl/>
      <w:spacing w:after="240"/>
    </w:pPr>
    <w:rPr>
      <w:b/>
      <w:szCs w:val="24"/>
      <w:lang w:eastAsia="en-US"/>
    </w:rPr>
  </w:style>
  <w:style w:type="paragraph" w:customStyle="1" w:styleId="NormalCenter12a">
    <w:name w:val="NormalCenter12a"/>
    <w:basedOn w:val="Normal"/>
    <w:rsid w:val="0020749A"/>
    <w:pPr>
      <w:widowControl/>
      <w:spacing w:after="240"/>
      <w:jc w:val="center"/>
    </w:pPr>
    <w:rPr>
      <w:szCs w:val="24"/>
      <w:lang w:eastAsia="en-US"/>
    </w:rPr>
  </w:style>
  <w:style w:type="character" w:styleId="Hyperlink">
    <w:name w:val="Hyperlink"/>
    <w:basedOn w:val="DefaultParagraphFont"/>
    <w:rsid w:val="0020749A"/>
    <w:rPr>
      <w:color w:val="0000FF"/>
      <w:u w:val="single"/>
    </w:rPr>
  </w:style>
  <w:style w:type="paragraph" w:styleId="Revision">
    <w:name w:val="Revision"/>
    <w:hidden/>
    <w:uiPriority w:val="99"/>
    <w:semiHidden/>
    <w:rsid w:val="005D253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3274</Words>
  <Characters>21278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 KOLOKYTHIA Amalia</cp:lastModifiedBy>
  <cp:revision>2</cp:revision>
  <cp:lastPrinted>2004-11-19T15:42:00Z</cp:lastPrinted>
  <dcterms:created xsi:type="dcterms:W3CDTF">2026-01-20T12:40:00Z</dcterms:created>
  <dcterms:modified xsi:type="dcterms:W3CDTF">2026-01-20T12:40:00Z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A10-0232/2025</vt:lpwstr>
  </property>
  <property fmtid="{D5CDD505-2E9C-101B-9397-08002B2CF9AE}" pid="4" name="&lt;Type&gt;">
    <vt:lpwstr>RR</vt:lpwstr>
  </property>
</Properties>
</file>