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D46F4" w14:paraId="5BAC096E" w14:textId="77777777" w:rsidTr="0010095E">
        <w:trPr>
          <w:trHeight w:hRule="exact" w:val="1418"/>
        </w:trPr>
        <w:tc>
          <w:tcPr>
            <w:tcW w:w="6804" w:type="dxa"/>
            <w:shd w:val="clear" w:color="auto" w:fill="auto"/>
            <w:vAlign w:val="center"/>
          </w:tcPr>
          <w:p w14:paraId="71E73BCA" w14:textId="77777777" w:rsidR="00751A4A" w:rsidRPr="006D46F4" w:rsidRDefault="000A7877" w:rsidP="0010095E">
            <w:pPr>
              <w:pStyle w:val="EPName"/>
            </w:pPr>
            <w:r w:rsidRPr="006D46F4">
              <w:t>Europski parlament</w:t>
            </w:r>
          </w:p>
          <w:p w14:paraId="4EED95DD" w14:textId="77777777" w:rsidR="00751A4A" w:rsidRPr="006D46F4" w:rsidRDefault="005F1B17" w:rsidP="005F1B17">
            <w:pPr>
              <w:pStyle w:val="EPTerm"/>
              <w:rPr>
                <w:rStyle w:val="HideTWBExt"/>
                <w:noProof w:val="0"/>
                <w:vanish w:val="0"/>
                <w:color w:val="auto"/>
              </w:rPr>
            </w:pPr>
            <w:r w:rsidRPr="006D46F4">
              <w:t>2024</w:t>
            </w:r>
            <w:r w:rsidR="00817416" w:rsidRPr="006D46F4">
              <w:t>-202</w:t>
            </w:r>
            <w:r w:rsidRPr="006D46F4">
              <w:t>9</w:t>
            </w:r>
          </w:p>
        </w:tc>
        <w:tc>
          <w:tcPr>
            <w:tcW w:w="2268" w:type="dxa"/>
            <w:shd w:val="clear" w:color="auto" w:fill="auto"/>
          </w:tcPr>
          <w:p w14:paraId="0B9B30CE" w14:textId="77777777" w:rsidR="00751A4A" w:rsidRPr="006D46F4" w:rsidRDefault="00187494" w:rsidP="0010095E">
            <w:pPr>
              <w:pStyle w:val="EPLogo"/>
            </w:pPr>
            <w:r w:rsidRPr="006D46F4">
              <w:rPr>
                <w:noProof/>
                <w:lang w:eastAsia="ja-JP"/>
              </w:rPr>
              <w:drawing>
                <wp:inline distT="0" distB="0" distL="0" distR="0" wp14:anchorId="6018B030" wp14:editId="2E2C137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F29C72" w14:textId="77777777" w:rsidR="00D058B8" w:rsidRPr="006D46F4" w:rsidRDefault="00D058B8" w:rsidP="004C5D52">
      <w:pPr>
        <w:pStyle w:val="LineTop"/>
      </w:pPr>
    </w:p>
    <w:p w14:paraId="0368B94E" w14:textId="77777777" w:rsidR="00680577" w:rsidRPr="006D46F4" w:rsidRDefault="000A7877" w:rsidP="00680577">
      <w:pPr>
        <w:pStyle w:val="EPBodyTA1"/>
      </w:pPr>
      <w:r w:rsidRPr="006D46F4">
        <w:t>USVOJENI TEKSTOVI</w:t>
      </w:r>
    </w:p>
    <w:p w14:paraId="63998A6C" w14:textId="77777777" w:rsidR="00D058B8" w:rsidRPr="006D46F4" w:rsidRDefault="00D058B8" w:rsidP="00D058B8">
      <w:pPr>
        <w:pStyle w:val="LineBottom"/>
      </w:pPr>
    </w:p>
    <w:p w14:paraId="14604E11" w14:textId="18BA7C9C" w:rsidR="000A7877" w:rsidRPr="006D46F4" w:rsidRDefault="000A7877" w:rsidP="000A7877">
      <w:pPr>
        <w:pStyle w:val="ATHeading1"/>
      </w:pPr>
      <w:bookmarkStart w:id="0" w:name="TANumber"/>
      <w:r w:rsidRPr="006D46F4">
        <w:t>P10_TA(2026)000</w:t>
      </w:r>
      <w:bookmarkEnd w:id="0"/>
      <w:r w:rsidR="005A5CD0">
        <w:t>4</w:t>
      </w:r>
    </w:p>
    <w:p w14:paraId="4D9FAD2E" w14:textId="77777777" w:rsidR="000A7877" w:rsidRPr="006D46F4" w:rsidRDefault="000A7877" w:rsidP="000A7877">
      <w:pPr>
        <w:pStyle w:val="ATHeading2"/>
      </w:pPr>
      <w:bookmarkStart w:id="1" w:name="title"/>
      <w:r w:rsidRPr="006D46F4">
        <w:t>Zaštita i promicanje financijske stabilnosti u kontekstu gospodarskih nesigurnosti</w:t>
      </w:r>
      <w:bookmarkEnd w:id="1"/>
    </w:p>
    <w:p w14:paraId="01C390BC" w14:textId="77777777" w:rsidR="000A7877" w:rsidRPr="006D46F4" w:rsidRDefault="000A7877" w:rsidP="000A7877">
      <w:pPr>
        <w:rPr>
          <w:i/>
          <w:vanish/>
        </w:rPr>
      </w:pPr>
      <w:r w:rsidRPr="006D46F4">
        <w:rPr>
          <w:i/>
        </w:rPr>
        <w:fldChar w:fldCharType="begin"/>
      </w:r>
      <w:r w:rsidRPr="006D46F4">
        <w:rPr>
          <w:i/>
        </w:rPr>
        <w:instrText xml:space="preserve"> TC"(</w:instrText>
      </w:r>
      <w:bookmarkStart w:id="2" w:name="DocNumber"/>
      <w:r w:rsidRPr="006D46F4">
        <w:rPr>
          <w:i/>
        </w:rPr>
        <w:instrText>A10-0232/2025</w:instrText>
      </w:r>
      <w:bookmarkEnd w:id="2"/>
      <w:r w:rsidRPr="006D46F4">
        <w:rPr>
          <w:i/>
        </w:rPr>
        <w:instrText xml:space="preserve"> - Izvjestitelj: Johan Van Overtveldt)"\l3 \n&gt; \* MERGEFORMAT </w:instrText>
      </w:r>
      <w:r w:rsidRPr="006D46F4">
        <w:rPr>
          <w:i/>
        </w:rPr>
        <w:fldChar w:fldCharType="end"/>
      </w:r>
    </w:p>
    <w:p w14:paraId="469439AA" w14:textId="77777777" w:rsidR="000A7877" w:rsidRPr="006D46F4" w:rsidRDefault="000A7877" w:rsidP="000A7877">
      <w:pPr>
        <w:rPr>
          <w:vanish/>
        </w:rPr>
      </w:pPr>
      <w:bookmarkStart w:id="3" w:name="Commission"/>
      <w:r w:rsidRPr="006D46F4">
        <w:rPr>
          <w:vanish/>
        </w:rPr>
        <w:t>Odbor za ekonomsku i monetarnu politiku</w:t>
      </w:r>
      <w:bookmarkEnd w:id="3"/>
    </w:p>
    <w:p w14:paraId="3F74FF89" w14:textId="77777777" w:rsidR="000A7877" w:rsidRPr="006D46F4" w:rsidRDefault="000A7877" w:rsidP="000A7877">
      <w:pPr>
        <w:rPr>
          <w:vanish/>
        </w:rPr>
      </w:pPr>
      <w:bookmarkStart w:id="4" w:name="PE"/>
      <w:r w:rsidRPr="006D46F4">
        <w:rPr>
          <w:vanish/>
        </w:rPr>
        <w:t>PE771.960</w:t>
      </w:r>
      <w:bookmarkEnd w:id="4"/>
    </w:p>
    <w:p w14:paraId="067BEDE9" w14:textId="4263E1E3" w:rsidR="000A7877" w:rsidRPr="006D46F4" w:rsidRDefault="000A7877" w:rsidP="000A7877">
      <w:pPr>
        <w:pStyle w:val="ATHeading3"/>
      </w:pPr>
      <w:bookmarkStart w:id="5" w:name="Sujet"/>
      <w:r w:rsidRPr="006D46F4">
        <w:t xml:space="preserve">Rezolucija Europskog parlamenta od </w:t>
      </w:r>
      <w:r w:rsidR="00F3265D">
        <w:t>20. siječnja</w:t>
      </w:r>
      <w:r w:rsidRPr="006D46F4">
        <w:t xml:space="preserve"> 2026. o zaštiti i promicanju financijske stabilnosti u kontekstu gospodarskih nesigurnosti</w:t>
      </w:r>
      <w:bookmarkEnd w:id="5"/>
      <w:r w:rsidRPr="006D46F4">
        <w:t xml:space="preserve"> </w:t>
      </w:r>
      <w:bookmarkStart w:id="6" w:name="References"/>
      <w:r w:rsidRPr="006D46F4">
        <w:t>(2025/2051(INI))</w:t>
      </w:r>
      <w:bookmarkEnd w:id="6"/>
    </w:p>
    <w:p w14:paraId="32185C3D" w14:textId="52B3A500" w:rsidR="004D3D44" w:rsidRPr="006D46F4" w:rsidRDefault="004D3D44" w:rsidP="00F3265D">
      <w:pPr>
        <w:pStyle w:val="Normal12"/>
        <w:spacing w:before="240"/>
      </w:pPr>
      <w:r w:rsidRPr="006D46F4">
        <w:rPr>
          <w:i/>
        </w:rPr>
        <w:t>Europski parlament</w:t>
      </w:r>
      <w:r w:rsidRPr="006D46F4">
        <w:t>,</w:t>
      </w:r>
    </w:p>
    <w:p w14:paraId="6B975D09" w14:textId="77777777" w:rsidR="004D3D44" w:rsidRPr="006D46F4" w:rsidRDefault="004D3D44" w:rsidP="004D3D44">
      <w:pPr>
        <w:pStyle w:val="NormalHanging"/>
      </w:pPr>
      <w:r w:rsidRPr="006D46F4">
        <w:t>–</w:t>
      </w:r>
      <w:r w:rsidRPr="006D46F4">
        <w:tab/>
        <w:t xml:space="preserve">uzimajući u obzir Izvješće Komisije od 24. siječnja 2024. o preispitivanju </w:t>
      </w:r>
      <w:proofErr w:type="spellStart"/>
      <w:r w:rsidRPr="006D46F4">
        <w:t>makrobonitetnog</w:t>
      </w:r>
      <w:proofErr w:type="spellEnd"/>
      <w:r w:rsidRPr="006D46F4">
        <w:t xml:space="preserve"> okvira za kreditne institucije, sistemskim rizicima povezanima s </w:t>
      </w:r>
      <w:proofErr w:type="spellStart"/>
      <w:r w:rsidRPr="006D46F4">
        <w:t>nebankovnim</w:t>
      </w:r>
      <w:proofErr w:type="spellEnd"/>
      <w:r w:rsidRPr="006D46F4">
        <w:t xml:space="preserve"> financijskim posrednicima (NBFI-</w:t>
      </w:r>
      <w:proofErr w:type="spellStart"/>
      <w:r w:rsidRPr="006D46F4">
        <w:t>ji</w:t>
      </w:r>
      <w:proofErr w:type="spellEnd"/>
      <w:r w:rsidRPr="006D46F4">
        <w:t>) i njihovoj povezanosti s kreditnim institucijama, na temelju članka 513. Uredbe (EU) br. 575/2013 Europskog parlamenta i Vijeća od 26. lipnja 2013. o bonitetnim zahtjevima za kreditne institucije i o izmjeni Uredbe (EU) br. 648/2012 (</w:t>
      </w:r>
      <w:hyperlink r:id="rId9" w:tgtFrame="https://eur-lex.europa.eu/legal-content/EN/ALL/?uri=CELEX:52024DC0021" w:history="1">
        <w:r w:rsidRPr="00F3265D">
          <w:rPr>
            <w:rStyle w:val="Hyperlink"/>
            <w:color w:val="auto"/>
            <w:u w:val="none"/>
          </w:rPr>
          <w:t>COM(2024)0021</w:t>
        </w:r>
      </w:hyperlink>
      <w:r w:rsidRPr="006D46F4">
        <w:t>),</w:t>
      </w:r>
    </w:p>
    <w:p w14:paraId="28D90A0C" w14:textId="77777777" w:rsidR="004D3D44" w:rsidRPr="006D46F4" w:rsidRDefault="004D3D44" w:rsidP="004D3D44">
      <w:pPr>
        <w:pStyle w:val="NormalHanging"/>
      </w:pPr>
      <w:r w:rsidRPr="006D46F4">
        <w:t>–</w:t>
      </w:r>
      <w:r w:rsidRPr="006D46F4">
        <w:tab/>
        <w:t>uzimajući u obzir Izvješće Europske središnje banke o financijskoj stabilnosti iz studenoga 2024.,</w:t>
      </w:r>
    </w:p>
    <w:p w14:paraId="296337DE" w14:textId="77777777" w:rsidR="004D3D44" w:rsidRPr="006D46F4" w:rsidRDefault="004D3D44" w:rsidP="004D3D44">
      <w:pPr>
        <w:pStyle w:val="NormalHanging"/>
      </w:pPr>
      <w:r w:rsidRPr="006D46F4">
        <w:t>–</w:t>
      </w:r>
      <w:r w:rsidRPr="006D46F4">
        <w:tab/>
        <w:t>uzimajući u obzir Izvješće Europske središnje banke o financijskoj stabilnosti iz svibnja 2025.,</w:t>
      </w:r>
    </w:p>
    <w:p w14:paraId="5E62FA64" w14:textId="77777777" w:rsidR="004D3D44" w:rsidRPr="006D46F4" w:rsidRDefault="004D3D44" w:rsidP="004D3D44">
      <w:pPr>
        <w:pStyle w:val="NormalHanging"/>
      </w:pPr>
      <w:r w:rsidRPr="006D46F4">
        <w:t>–</w:t>
      </w:r>
      <w:r w:rsidRPr="006D46F4">
        <w:tab/>
        <w:t>uzimajući u obzir tromjesečni pregled Banke za međunarodne namire (BIS) iz ožujka 2025. o kretanjima u međunarodnom bankarstvu i na financijskim tržištima,</w:t>
      </w:r>
    </w:p>
    <w:p w14:paraId="162CB7C1" w14:textId="77777777" w:rsidR="004D3D44" w:rsidRPr="006D46F4" w:rsidRDefault="004D3D44" w:rsidP="004D3D44">
      <w:pPr>
        <w:pStyle w:val="NormalHanging"/>
      </w:pPr>
      <w:r w:rsidRPr="006D46F4">
        <w:t>–</w:t>
      </w:r>
      <w:r w:rsidRPr="006D46F4">
        <w:tab/>
        <w:t>uzimajući u obzir pismo predsjednika Odbora za financijsku stabilnost (FSB) ministrima financija i guvernerima središnjih banaka skupine G20 od 21. veljače 2025.,</w:t>
      </w:r>
    </w:p>
    <w:p w14:paraId="4C923065" w14:textId="77777777" w:rsidR="004D3D44" w:rsidRPr="006D46F4" w:rsidRDefault="004D3D44" w:rsidP="004D3D44">
      <w:pPr>
        <w:pStyle w:val="NormalHanging"/>
      </w:pPr>
      <w:r w:rsidRPr="006D46F4">
        <w:t>–</w:t>
      </w:r>
      <w:r w:rsidRPr="006D46F4">
        <w:tab/>
        <w:t xml:space="preserve">uzimajući u obzir izvješće FSB-a o stanju od 22. listopada 2024. naslovljeno „Plan provedbe politike za </w:t>
      </w:r>
      <w:proofErr w:type="spellStart"/>
      <w:r w:rsidRPr="006D46F4">
        <w:t>kriptoimovinu</w:t>
      </w:r>
      <w:proofErr w:type="spellEnd"/>
      <w:r w:rsidRPr="006D46F4">
        <w:t xml:space="preserve"> skupine G20”,</w:t>
      </w:r>
    </w:p>
    <w:p w14:paraId="1F575EE5" w14:textId="77777777" w:rsidR="004D3D44" w:rsidRPr="006D46F4" w:rsidRDefault="004D3D44" w:rsidP="004D3D44">
      <w:pPr>
        <w:pStyle w:val="NormalHanging"/>
      </w:pPr>
      <w:r w:rsidRPr="006D46F4">
        <w:t>–</w:t>
      </w:r>
      <w:r w:rsidRPr="006D46F4">
        <w:tab/>
        <w:t>uzimajući u obzir izvješće FSB-a iz listopada 2021. naslovljeno „Prijedlozi politike za jačanje otpornosti novčanih fondova: Završno izvješće”,</w:t>
      </w:r>
    </w:p>
    <w:p w14:paraId="75E0469D" w14:textId="77777777" w:rsidR="004D3D44" w:rsidRPr="006D46F4" w:rsidRDefault="004D3D44" w:rsidP="004D3D44">
      <w:pPr>
        <w:pStyle w:val="NormalHanging"/>
      </w:pPr>
      <w:r w:rsidRPr="006D46F4">
        <w:t>–</w:t>
      </w:r>
      <w:r w:rsidRPr="006D46F4">
        <w:tab/>
        <w:t xml:space="preserve">uzimajući u obzir odgovor Europskog odbora za sistemske rizike (ESRB) iz studenoga 2024. na postupak savjetovanja Komisije o procjeni primjerenosti </w:t>
      </w:r>
      <w:proofErr w:type="spellStart"/>
      <w:r w:rsidRPr="006D46F4">
        <w:t>makrobonitetnih</w:t>
      </w:r>
      <w:proofErr w:type="spellEnd"/>
      <w:r w:rsidRPr="006D46F4">
        <w:t xml:space="preserve"> politika za nebankarsko financijsko posredovanje, naslovljen „Sistemski pristup </w:t>
      </w:r>
      <w:proofErr w:type="spellStart"/>
      <w:r w:rsidRPr="006D46F4">
        <w:t>makrobonitetnoj</w:t>
      </w:r>
      <w:proofErr w:type="spellEnd"/>
      <w:r w:rsidRPr="006D46F4">
        <w:t xml:space="preserve"> politici”,</w:t>
      </w:r>
    </w:p>
    <w:p w14:paraId="3801E38E" w14:textId="77777777" w:rsidR="004D3D44" w:rsidRPr="006D46F4" w:rsidRDefault="004D3D44" w:rsidP="004D3D44">
      <w:pPr>
        <w:pStyle w:val="NormalHanging"/>
      </w:pPr>
      <w:r w:rsidRPr="006D46F4">
        <w:lastRenderedPageBreak/>
        <w:t>–</w:t>
      </w:r>
      <w:r w:rsidRPr="006D46F4">
        <w:tab/>
        <w:t>uzimajući u obzir izvješće ESRB-a o usklađenosti iz veljače 2025. o preporuci ESRB-a od 2. prosinca 2021. o reformi novčanih fondova (ESRB/2021/9),</w:t>
      </w:r>
    </w:p>
    <w:p w14:paraId="3B83956E" w14:textId="77777777" w:rsidR="004D3D44" w:rsidRPr="006D46F4" w:rsidRDefault="004D3D44" w:rsidP="004D3D44">
      <w:pPr>
        <w:pStyle w:val="NormalHanging"/>
      </w:pPr>
      <w:r w:rsidRPr="006D46F4">
        <w:t>–</w:t>
      </w:r>
      <w:r w:rsidRPr="006D46F4">
        <w:tab/>
        <w:t>uzimajući u obzir ažurirano izvješće Zajedničkog odbora europskih nadzornih tijela od 31. ožujka 2025. o rizicima i ranjivosti financijskog sustava EU-a za proljeće 2025. godine,</w:t>
      </w:r>
    </w:p>
    <w:p w14:paraId="42086471" w14:textId="77777777" w:rsidR="004D3D44" w:rsidRPr="006D46F4" w:rsidRDefault="004D3D44" w:rsidP="004D3D44">
      <w:pPr>
        <w:pStyle w:val="NormalHanging"/>
      </w:pPr>
      <w:r w:rsidRPr="006D46F4">
        <w:t>–</w:t>
      </w:r>
      <w:r w:rsidRPr="006D46F4">
        <w:tab/>
        <w:t>uzimajući u obzir mišljenje Europskog nadzornog tijela za vrijednosne papire i tržišta kapitala (ESMA) od 14. veljače 2022. o preispitivanju Uredbe o novčanim fondovima,</w:t>
      </w:r>
    </w:p>
    <w:p w14:paraId="570227D4" w14:textId="77777777" w:rsidR="004D3D44" w:rsidRPr="006D46F4" w:rsidRDefault="004D3D44" w:rsidP="004D3D44">
      <w:pPr>
        <w:pStyle w:val="NormalHanging"/>
      </w:pPr>
      <w:r w:rsidRPr="006D46F4">
        <w:t>–</w:t>
      </w:r>
      <w:r w:rsidRPr="006D46F4">
        <w:tab/>
        <w:t>uzimajući u obzir Izvješće o globalnoj financijskoj stabilnosti Međunarodnog monetarnog fonda (MMF) od 22. travnja 2025.,</w:t>
      </w:r>
    </w:p>
    <w:p w14:paraId="08BED59F" w14:textId="77777777" w:rsidR="004D3D44" w:rsidRPr="006D46F4" w:rsidRDefault="004D3D44" w:rsidP="004D3D44">
      <w:pPr>
        <w:pStyle w:val="NormalHanging"/>
      </w:pPr>
      <w:r w:rsidRPr="006D46F4">
        <w:t>–</w:t>
      </w:r>
      <w:r w:rsidRPr="006D46F4">
        <w:tab/>
        <w:t xml:space="preserve">uzimajući u obzir izvješće Marija </w:t>
      </w:r>
      <w:proofErr w:type="spellStart"/>
      <w:r w:rsidRPr="006D46F4">
        <w:t>Draghija</w:t>
      </w:r>
      <w:proofErr w:type="spellEnd"/>
      <w:r w:rsidRPr="006D46F4">
        <w:t xml:space="preserve"> od 9. rujna 2024. naslovljeno „Budućnost europske konkurentnosti” (</w:t>
      </w:r>
      <w:proofErr w:type="spellStart"/>
      <w:r w:rsidRPr="006D46F4">
        <w:t>Draghijevo</w:t>
      </w:r>
      <w:proofErr w:type="spellEnd"/>
      <w:r w:rsidRPr="006D46F4">
        <w:t xml:space="preserve"> izvješće),</w:t>
      </w:r>
    </w:p>
    <w:p w14:paraId="1C15F3EE" w14:textId="77777777" w:rsidR="004D3D44" w:rsidRPr="006D46F4" w:rsidRDefault="004D3D44" w:rsidP="004D3D44">
      <w:pPr>
        <w:pStyle w:val="NormalHanging"/>
      </w:pPr>
      <w:r w:rsidRPr="006D46F4">
        <w:t>–</w:t>
      </w:r>
      <w:r w:rsidRPr="006D46F4">
        <w:tab/>
        <w:t xml:space="preserve">uzimajući u obzir izvješće Enrica </w:t>
      </w:r>
      <w:proofErr w:type="spellStart"/>
      <w:r w:rsidRPr="006D46F4">
        <w:t>Lette</w:t>
      </w:r>
      <w:proofErr w:type="spellEnd"/>
      <w:r w:rsidRPr="006D46F4">
        <w:t xml:space="preserve"> od 17. travnja 2024. naslovljeno „Više od tržišta” (</w:t>
      </w:r>
      <w:proofErr w:type="spellStart"/>
      <w:r w:rsidRPr="006D46F4">
        <w:t>Lettino</w:t>
      </w:r>
      <w:proofErr w:type="spellEnd"/>
      <w:r w:rsidRPr="006D46F4">
        <w:t xml:space="preserve"> izvješće),</w:t>
      </w:r>
    </w:p>
    <w:p w14:paraId="113BA9A9" w14:textId="77777777" w:rsidR="004D3D44" w:rsidRPr="006D46F4" w:rsidRDefault="004D3D44" w:rsidP="004D3D44">
      <w:pPr>
        <w:pStyle w:val="NormalHanging"/>
      </w:pPr>
      <w:r w:rsidRPr="006D46F4">
        <w:t>–</w:t>
      </w:r>
      <w:r w:rsidRPr="006D46F4">
        <w:tab/>
        <w:t>uzimajući u obzir svoju rezoluciju od 6. srpnja 2011. o financijskoj, ekonomskoj i socijalnoj krizi: preporuke o mjerama i inicijativama koje treba poduzeti</w:t>
      </w:r>
      <w:r w:rsidRPr="006D46F4">
        <w:rPr>
          <w:rStyle w:val="FootnoteReference"/>
        </w:rPr>
        <w:footnoteReference w:customMarkFollows="1" w:id="1"/>
        <w:t>1</w:t>
      </w:r>
      <w:r w:rsidRPr="006D46F4">
        <w:t>,</w:t>
      </w:r>
    </w:p>
    <w:p w14:paraId="38E874B6" w14:textId="77777777" w:rsidR="004D3D44" w:rsidRPr="006D46F4" w:rsidRDefault="004D3D44" w:rsidP="004D3D44">
      <w:pPr>
        <w:pStyle w:val="NormalHanging"/>
      </w:pPr>
      <w:r w:rsidRPr="006D46F4">
        <w:t>–</w:t>
      </w:r>
      <w:r w:rsidRPr="006D46F4">
        <w:tab/>
        <w:t>uzimajući u obzir izvješće Odbora za ekonomsku i monetarnu politiku od 26. ožujka 2025. o godišnjem izvješću za 2024. godinu,</w:t>
      </w:r>
    </w:p>
    <w:p w14:paraId="48D24C6C" w14:textId="77777777" w:rsidR="004D3D44" w:rsidRPr="006D46F4" w:rsidRDefault="004D3D44" w:rsidP="004D3D44">
      <w:pPr>
        <w:pStyle w:val="NormalHanging"/>
      </w:pPr>
      <w:r w:rsidRPr="006D46F4">
        <w:t>–</w:t>
      </w:r>
      <w:r w:rsidRPr="006D46F4">
        <w:tab/>
        <w:t xml:space="preserve">uzimajući u obzir saslušanje Odbora za ekonomsku i monetarnu politiku od 19. ožujka 2025. o procjeni primjerenosti </w:t>
      </w:r>
      <w:proofErr w:type="spellStart"/>
      <w:r w:rsidRPr="006D46F4">
        <w:t>makrobonitetnog</w:t>
      </w:r>
      <w:proofErr w:type="spellEnd"/>
      <w:r w:rsidRPr="006D46F4">
        <w:t xml:space="preserve"> okvira za nebankarske financijske institucije u EU-u,</w:t>
      </w:r>
    </w:p>
    <w:p w14:paraId="46CAB110" w14:textId="77777777" w:rsidR="004D3D44" w:rsidRPr="006D46F4" w:rsidRDefault="004D3D44" w:rsidP="004D3D44">
      <w:pPr>
        <w:pStyle w:val="NormalHanging"/>
      </w:pPr>
      <w:r w:rsidRPr="006D46F4">
        <w:t>–</w:t>
      </w:r>
      <w:r w:rsidRPr="006D46F4">
        <w:tab/>
        <w:t>uzimajući u obzir članak 55. Poslovnika,</w:t>
      </w:r>
    </w:p>
    <w:p w14:paraId="68F786E1" w14:textId="77777777" w:rsidR="004D3D44" w:rsidRPr="006D46F4" w:rsidRDefault="004D3D44" w:rsidP="004D3D44">
      <w:pPr>
        <w:pStyle w:val="NormalHanging"/>
      </w:pPr>
      <w:r w:rsidRPr="006D46F4">
        <w:t>–</w:t>
      </w:r>
      <w:r w:rsidRPr="006D46F4">
        <w:tab/>
        <w:t>uzimajući u obzir izvješće Odbora za ekonomsku i monetarnu politiku (A10-0232/2025),</w:t>
      </w:r>
    </w:p>
    <w:p w14:paraId="7AFE5E4B" w14:textId="77777777" w:rsidR="004D3D44" w:rsidRPr="006D46F4" w:rsidRDefault="004D3D44" w:rsidP="004D3D44">
      <w:pPr>
        <w:pStyle w:val="NormalHanging"/>
      </w:pPr>
      <w:r w:rsidRPr="006D46F4">
        <w:t>A.</w:t>
      </w:r>
      <w:r w:rsidRPr="006D46F4">
        <w:tab/>
        <w:t>budući da je financijska stabilnost i dalje temelj gospodarske otpornosti i rasta, što zahtijeva oprez s obzirom na znatne gospodarske nesigurnosti, vanjske šokove i sistemske rizike;</w:t>
      </w:r>
    </w:p>
    <w:p w14:paraId="0B746D6B" w14:textId="77777777" w:rsidR="004D3D44" w:rsidRPr="006D46F4" w:rsidRDefault="004D3D44" w:rsidP="004D3D44">
      <w:pPr>
        <w:pStyle w:val="NormalHanging"/>
      </w:pPr>
      <w:r w:rsidRPr="006D46F4">
        <w:t>B.</w:t>
      </w:r>
      <w:r w:rsidRPr="006D46F4">
        <w:tab/>
        <w:t>budući da je globalna financijska kriza ukazala na rizike koje za napredna gospodarstva predstavljaju financijske nestabilnosti koje preuzimaju globalne razmjere;</w:t>
      </w:r>
    </w:p>
    <w:p w14:paraId="0C965341" w14:textId="77777777" w:rsidR="004D3D44" w:rsidRPr="006D46F4" w:rsidRDefault="004D3D44" w:rsidP="004D3D44">
      <w:pPr>
        <w:pStyle w:val="NormalHanging"/>
      </w:pPr>
      <w:r w:rsidRPr="006D46F4">
        <w:t>C.</w:t>
      </w:r>
      <w:r w:rsidRPr="006D46F4">
        <w:tab/>
        <w:t>budući da su kontinuirana ruska agresija na Ukrajinu i njezine gospodarske posljedice dovele do inflacijskih pritisaka, nestabilnosti na energetskim tržištima i financijske nesigurnosti;</w:t>
      </w:r>
    </w:p>
    <w:p w14:paraId="7E048C9F" w14:textId="77777777" w:rsidR="004D3D44" w:rsidRPr="006D46F4" w:rsidRDefault="004D3D44" w:rsidP="004D3D44">
      <w:pPr>
        <w:pStyle w:val="NormalHanging"/>
      </w:pPr>
      <w:r w:rsidRPr="006D46F4">
        <w:t>D.</w:t>
      </w:r>
      <w:r w:rsidRPr="006D46F4">
        <w:tab/>
        <w:t>budući da uvođenje carina doprinosi fragmentaciji globalne trgovine, pogoršava poremećaje u lancu opskrbe i stvara dodatne rizike za financijska tržišta i šire gospodarstvo;</w:t>
      </w:r>
    </w:p>
    <w:p w14:paraId="0F93AFD1" w14:textId="77777777" w:rsidR="004D3D44" w:rsidRPr="006D46F4" w:rsidRDefault="004D3D44" w:rsidP="004D3D44">
      <w:pPr>
        <w:pStyle w:val="NormalHanging"/>
      </w:pPr>
      <w:r w:rsidRPr="006D46F4">
        <w:lastRenderedPageBreak/>
        <w:t>E.</w:t>
      </w:r>
      <w:r w:rsidRPr="006D46F4">
        <w:tab/>
        <w:t>budući da je dobro integrirana unija tržišta kapitala ključna za apsorpciju šokova, poticanje ulaganja unutar EU-a i daljnju integraciju jedinstvenog tržišta;</w:t>
      </w:r>
    </w:p>
    <w:p w14:paraId="2FCCA8BD" w14:textId="77777777" w:rsidR="004D3D44" w:rsidRPr="006D46F4" w:rsidRDefault="004D3D44" w:rsidP="004D3D44">
      <w:pPr>
        <w:pStyle w:val="NormalHanging"/>
      </w:pPr>
      <w:r w:rsidRPr="006D46F4">
        <w:t>F.</w:t>
      </w:r>
      <w:r w:rsidRPr="006D46F4">
        <w:tab/>
        <w:t xml:space="preserve">budući da će stabilnost </w:t>
      </w:r>
      <w:proofErr w:type="spellStart"/>
      <w:r w:rsidRPr="006D46F4">
        <w:t>nebankovnih</w:t>
      </w:r>
      <w:proofErr w:type="spellEnd"/>
      <w:r w:rsidRPr="006D46F4">
        <w:t xml:space="preserve"> financijskih posrednika (NBFI) biti još važnija ako Europska unija u većoj mjeri preusmjeri svoje financiranje na tržišta kapitala;</w:t>
      </w:r>
    </w:p>
    <w:p w14:paraId="59721CE5" w14:textId="77777777" w:rsidR="004D3D44" w:rsidRPr="006D46F4" w:rsidRDefault="004D3D44" w:rsidP="004D3D44">
      <w:pPr>
        <w:pStyle w:val="NormalHanging"/>
      </w:pPr>
      <w:r w:rsidRPr="006D46F4">
        <w:t>G.</w:t>
      </w:r>
      <w:r w:rsidRPr="006D46F4">
        <w:tab/>
        <w:t>budući da NBFI-</w:t>
      </w:r>
      <w:proofErr w:type="spellStart"/>
      <w:r w:rsidRPr="006D46F4">
        <w:t>ji</w:t>
      </w:r>
      <w:proofErr w:type="spellEnd"/>
      <w:r w:rsidRPr="006D46F4">
        <w:t xml:space="preserve"> posluju u vrlo različitim sektorima;</w:t>
      </w:r>
    </w:p>
    <w:p w14:paraId="09CB6CEA" w14:textId="77777777" w:rsidR="004D3D44" w:rsidRPr="006D46F4" w:rsidRDefault="004D3D44" w:rsidP="004D3D44">
      <w:pPr>
        <w:pStyle w:val="NormalHanging"/>
      </w:pPr>
      <w:r w:rsidRPr="006D46F4">
        <w:t>H.</w:t>
      </w:r>
      <w:r w:rsidRPr="006D46F4">
        <w:tab/>
        <w:t>budući da zaostajanje u gospodarskom rastu, pogoršano trgovinskim napetostima, ima negativne učinke na subjekte s financijskom polugom i povećat će kreditni rizik za financijske institucije;</w:t>
      </w:r>
    </w:p>
    <w:p w14:paraId="5C1DF9D0" w14:textId="77777777" w:rsidR="004D3D44" w:rsidRPr="006D46F4" w:rsidRDefault="004D3D44" w:rsidP="004D3D44">
      <w:pPr>
        <w:pStyle w:val="NormalHanging"/>
      </w:pPr>
      <w:r w:rsidRPr="006D46F4">
        <w:t>I.</w:t>
      </w:r>
      <w:r w:rsidRPr="006D46F4">
        <w:tab/>
        <w:t>budući da visoke vrijednosti imovine na tržištima vlasničkog kapitala i korporativnog duga izazivaju zabrinutost zbog mogućnosti korekcije tržišta sa sustavnim posljedicama;</w:t>
      </w:r>
    </w:p>
    <w:p w14:paraId="0505923C" w14:textId="77777777" w:rsidR="004D3D44" w:rsidRPr="006D46F4" w:rsidRDefault="004D3D44" w:rsidP="004D3D44">
      <w:pPr>
        <w:pStyle w:val="NormalHanging"/>
      </w:pPr>
      <w:r w:rsidRPr="006D46F4">
        <w:t>J.</w:t>
      </w:r>
      <w:r w:rsidRPr="006D46F4">
        <w:tab/>
        <w:t>budući da sektor stambenih nekretnina, koji je profitirao od niskih kamata, ima ključnu ulogu u financijskoj stabilnosti zbog svojeg središnjeg položaja u gospodarstvu, znatnog udjela bogatstva kućanstava koncentriranog u nekretninama, bitnog uključivanja financijskog sektora u financiranje ulaganja u nekretnine i ključne funkcije nekretnina kao kolaterala na kreditnim tržištima;</w:t>
      </w:r>
    </w:p>
    <w:p w14:paraId="41C7A9F7" w14:textId="77777777" w:rsidR="004D3D44" w:rsidRPr="006D46F4" w:rsidRDefault="004D3D44" w:rsidP="004D3D44">
      <w:pPr>
        <w:pStyle w:val="NormalHanging"/>
      </w:pPr>
      <w:r w:rsidRPr="006D46F4">
        <w:t>K.</w:t>
      </w:r>
      <w:r w:rsidRPr="006D46F4">
        <w:tab/>
        <w:t>budući da su složenost i međusobna povezanost financijskih sektora postale sve važnije, pri čemu su NBFI neto zajmodavci bankama i širem gospodarstvu;</w:t>
      </w:r>
    </w:p>
    <w:p w14:paraId="23D03BFA" w14:textId="77777777" w:rsidR="004D3D44" w:rsidRPr="006D46F4" w:rsidRDefault="004D3D44" w:rsidP="004D3D44">
      <w:pPr>
        <w:pStyle w:val="NormalHanging"/>
      </w:pPr>
      <w:r w:rsidRPr="006D46F4">
        <w:t>L.</w:t>
      </w:r>
      <w:r w:rsidRPr="006D46F4">
        <w:tab/>
        <w:t xml:space="preserve">budući da se povećao otisak NBFI-ja na strateškim financijskim tržištima, kao što su tržišta državnih obveznica, što je vidljivo iz toga da su fondovi za ograničavanje rizika na rizničkom tržištu SAD-a tijekom carinske krize u travnju 2025. postupno prestajali trgovati gotovinskim </w:t>
      </w:r>
      <w:proofErr w:type="spellStart"/>
      <w:r w:rsidRPr="006D46F4">
        <w:t>budućnosnicama</w:t>
      </w:r>
      <w:proofErr w:type="spellEnd"/>
      <w:r w:rsidRPr="006D46F4">
        <w:t>;</w:t>
      </w:r>
    </w:p>
    <w:p w14:paraId="0699B818" w14:textId="77777777" w:rsidR="004D3D44" w:rsidRPr="006D46F4" w:rsidRDefault="004D3D44" w:rsidP="004D3D44">
      <w:pPr>
        <w:pStyle w:val="NormalHanging"/>
      </w:pPr>
      <w:r w:rsidRPr="006D46F4">
        <w:t>M.</w:t>
      </w:r>
      <w:r w:rsidRPr="006D46F4">
        <w:tab/>
        <w:t>budući da bi ciljane reforme mogle povećati otpornost novčanih fondova EU-a u skladu s međunarodnim standardima;</w:t>
      </w:r>
    </w:p>
    <w:p w14:paraId="52383521" w14:textId="77777777" w:rsidR="004D3D44" w:rsidRPr="006D46F4" w:rsidRDefault="004D3D44" w:rsidP="004D3D44">
      <w:pPr>
        <w:pStyle w:val="NormalHanging"/>
      </w:pPr>
      <w:r w:rsidRPr="006D46F4">
        <w:t>N.</w:t>
      </w:r>
      <w:r w:rsidRPr="006D46F4">
        <w:tab/>
        <w:t>budući da je financijski sektor i dalje osjetljiv na kibernetičke prijetnje, taktike hibridnog ratovanja i skriveni utjecaj koji bi mogli destabilizirati kritičnu financijsku infrastrukturu;</w:t>
      </w:r>
    </w:p>
    <w:p w14:paraId="515B069C" w14:textId="77777777" w:rsidR="004D3D44" w:rsidRPr="006D46F4" w:rsidRDefault="004D3D44" w:rsidP="004D3D44">
      <w:pPr>
        <w:pStyle w:val="Normal12a"/>
      </w:pPr>
      <w:r w:rsidRPr="00F3265D">
        <w:rPr>
          <w:b/>
          <w:bCs/>
          <w:i/>
        </w:rPr>
        <w:t>Bankovna unija i unija tržišta kapitala: apsorpcija</w:t>
      </w:r>
      <w:r w:rsidRPr="006D46F4">
        <w:rPr>
          <w:b/>
          <w:i/>
        </w:rPr>
        <w:t xml:space="preserve"> šokova i otpornost</w:t>
      </w:r>
    </w:p>
    <w:p w14:paraId="2C195D6C" w14:textId="77777777" w:rsidR="004D3D44" w:rsidRPr="006D46F4" w:rsidRDefault="004D3D44" w:rsidP="004D3D44">
      <w:pPr>
        <w:pStyle w:val="NormalHanging12a"/>
      </w:pPr>
      <w:r w:rsidRPr="006D46F4">
        <w:t>1.</w:t>
      </w:r>
      <w:r w:rsidRPr="006D46F4">
        <w:tab/>
        <w:t xml:space="preserve">pozdravlja ponovni početak rasprave o potrebi za poticanjem produktivnosti i konkurentnosti EU-a, među ostalim boljim integriranjem kapitalnih tržišta i u vidu resursno učinkovitog gospodarstva, kako je istaknuto izvješćima </w:t>
      </w:r>
      <w:proofErr w:type="spellStart"/>
      <w:r w:rsidRPr="006D46F4">
        <w:t>Draghija</w:t>
      </w:r>
      <w:proofErr w:type="spellEnd"/>
      <w:r w:rsidRPr="006D46F4">
        <w:t xml:space="preserve"> i </w:t>
      </w:r>
      <w:proofErr w:type="spellStart"/>
      <w:r w:rsidRPr="006D46F4">
        <w:t>Lette</w:t>
      </w:r>
      <w:proofErr w:type="spellEnd"/>
      <w:r w:rsidRPr="006D46F4">
        <w:t>;</w:t>
      </w:r>
    </w:p>
    <w:p w14:paraId="6421CE66" w14:textId="77777777" w:rsidR="004D3D44" w:rsidRPr="006D46F4" w:rsidRDefault="004D3D44" w:rsidP="004D3D44">
      <w:pPr>
        <w:pStyle w:val="NormalHanging12a"/>
      </w:pPr>
      <w:r w:rsidRPr="006D46F4">
        <w:t>2.</w:t>
      </w:r>
      <w:r w:rsidRPr="006D46F4">
        <w:tab/>
        <w:t>poziva Komisiju da prednost da programu unije tržišta kapitala kojim se podupire konkurentnost EU-a, a da se pritom ne ometa financijska stabilnost;</w:t>
      </w:r>
    </w:p>
    <w:p w14:paraId="7FF81AE8" w14:textId="77777777" w:rsidR="004D3D44" w:rsidRPr="006D46F4" w:rsidRDefault="004D3D44" w:rsidP="004D3D44">
      <w:pPr>
        <w:pStyle w:val="NormalHanging12a"/>
      </w:pPr>
      <w:r w:rsidRPr="006D46F4">
        <w:t>3.</w:t>
      </w:r>
      <w:r w:rsidRPr="006D46F4">
        <w:tab/>
        <w:t>naglašava cilj unije tržišta kapitala za učinkovitijom mobilizacijom privatnog kapitala kako bi se premostio investicijski jaz EU-a i ulogu koju to može odigrati u apsorpciji šoka; naglašava da bi program unije tržišta kapitala također trebao doprinijeti ispravljanju strukturnih neravnoteža u financijskom sustavu EU-a; žali zbog toga što i dalje postoji povlašteni porezni tretman duga u odnosu na vlasnički kapital;</w:t>
      </w:r>
    </w:p>
    <w:p w14:paraId="6C2D4026" w14:textId="77777777" w:rsidR="004D3D44" w:rsidRPr="006D46F4" w:rsidRDefault="004D3D44" w:rsidP="004D3D44">
      <w:pPr>
        <w:pStyle w:val="NormalHanging12a"/>
      </w:pPr>
      <w:r w:rsidRPr="006D46F4">
        <w:lastRenderedPageBreak/>
        <w:t>4.</w:t>
      </w:r>
      <w:r w:rsidRPr="006D46F4">
        <w:tab/>
        <w:t>uviđa da tržišno dovršenje bankovne unije mora biti strateški prioritet u produbljivanju ekonomske i monetarne unije;</w:t>
      </w:r>
    </w:p>
    <w:p w14:paraId="1F02D40A" w14:textId="77777777" w:rsidR="004D3D44" w:rsidRPr="006D46F4" w:rsidRDefault="004D3D44" w:rsidP="004D3D44">
      <w:pPr>
        <w:pStyle w:val="NormalHanging12a"/>
      </w:pPr>
      <w:r w:rsidRPr="006D46F4">
        <w:t>5.</w:t>
      </w:r>
      <w:r w:rsidRPr="006D46F4">
        <w:tab/>
        <w:t>prima na znanje izazove koji proizlaze iz integriranijih financijskih tržišta zbog nepostojanja sveobuhvatnijeg nadzora, uključujući kompromis između učinkovite podjele rizika i diversifikacije, s jedne strane, i rizika širenja, prelijevanja i pojačavanja, s druge strane;</w:t>
      </w:r>
    </w:p>
    <w:p w14:paraId="4A8D3C34" w14:textId="77777777" w:rsidR="004D3D44" w:rsidRPr="006D46F4" w:rsidRDefault="004D3D44" w:rsidP="004D3D44">
      <w:pPr>
        <w:pStyle w:val="NormalHanging12a"/>
      </w:pPr>
      <w:r w:rsidRPr="006D46F4">
        <w:t>6.</w:t>
      </w:r>
      <w:r w:rsidRPr="006D46F4">
        <w:tab/>
        <w:t>uviđa da postoji kompromis u pogledu prekogranične konsolidacije banaka u smislu, s jedne strane, geografske diversifikacije, prekograničnih financijskih usluga, ekonomije razmjera i mogućeg slabljenja veza između banaka i vlade te, s druge strane, problema sistemske važnosti, potencijalnog slabljenja manjih financijskih centara i veza s malim i srednjim poduzećima (MSP-ovi) i lokalnim gospodarstvom;</w:t>
      </w:r>
    </w:p>
    <w:p w14:paraId="274B760D" w14:textId="77777777" w:rsidR="004D3D44" w:rsidRPr="006D46F4" w:rsidRDefault="004D3D44" w:rsidP="004D3D44">
      <w:pPr>
        <w:pStyle w:val="NormalHanging12a"/>
      </w:pPr>
      <w:r w:rsidRPr="006D46F4">
        <w:t>7.</w:t>
      </w:r>
      <w:r w:rsidRPr="006D46F4">
        <w:tab/>
        <w:t>konstatira da sistemski rizik može proizlaziti i iz manjih institucija jer one mogu imati vrlo povezane bilance;</w:t>
      </w:r>
    </w:p>
    <w:p w14:paraId="14FC9E6D" w14:textId="77777777" w:rsidR="004D3D44" w:rsidRPr="006D46F4" w:rsidRDefault="004D3D44" w:rsidP="004D3D44">
      <w:pPr>
        <w:pStyle w:val="NormalHanging12a"/>
      </w:pPr>
      <w:r w:rsidRPr="006D46F4">
        <w:t>8.</w:t>
      </w:r>
      <w:r w:rsidRPr="006D46F4">
        <w:tab/>
        <w:t>naglašava važnost pristupa kapitalu, posebno za MSP-ove, kao što je poduzetnički kapital za rastuća poduzeća, uz istodobno očuvanje financijske stabilnosti i osiguravanje da rast i otpornost idu ruku pod ruku;</w:t>
      </w:r>
    </w:p>
    <w:p w14:paraId="3A567CF0" w14:textId="77777777" w:rsidR="004D3D44" w:rsidRPr="006D46F4" w:rsidRDefault="004D3D44" w:rsidP="004D3D44">
      <w:pPr>
        <w:pStyle w:val="Normal12a"/>
      </w:pPr>
      <w:r w:rsidRPr="006D46F4">
        <w:rPr>
          <w:b/>
          <w:i/>
        </w:rPr>
        <w:t>Makrofinancijski rizici i geopolitička nestabilnost</w:t>
      </w:r>
    </w:p>
    <w:p w14:paraId="2303C5A7" w14:textId="77777777" w:rsidR="004D3D44" w:rsidRPr="006D46F4" w:rsidRDefault="004D3D44" w:rsidP="004D3D44">
      <w:pPr>
        <w:pStyle w:val="NormalHanging12a"/>
      </w:pPr>
      <w:r w:rsidRPr="006D46F4">
        <w:t>9.</w:t>
      </w:r>
      <w:r w:rsidRPr="006D46F4">
        <w:tab/>
        <w:t>naglašava da je glavni cilj ESB-a održati stabilnost cijena i da ESRB, europska nadzorna tijela i središnje banke imaju ključnu ulogu u doprinosu financijskoj stabilnosti u Uniji;</w:t>
      </w:r>
    </w:p>
    <w:p w14:paraId="62C24F90" w14:textId="77777777" w:rsidR="004D3D44" w:rsidRPr="006D46F4" w:rsidRDefault="004D3D44" w:rsidP="004D3D44">
      <w:pPr>
        <w:pStyle w:val="NormalHanging12a"/>
      </w:pPr>
      <w:r w:rsidRPr="006D46F4">
        <w:t>10.</w:t>
      </w:r>
      <w:r w:rsidRPr="006D46F4">
        <w:tab/>
        <w:t xml:space="preserve">podsjeća da je </w:t>
      </w:r>
      <w:proofErr w:type="spellStart"/>
      <w:r w:rsidRPr="006D46F4">
        <w:t>Eurosustav</w:t>
      </w:r>
      <w:proofErr w:type="spellEnd"/>
      <w:r w:rsidRPr="006D46F4">
        <w:t xml:space="preserve"> izgrađen na načelu monetarne dominacije; poziva na očuvanje neovisnosti ESB-a kao čimbenika kojim se podupire financijska stabilnost;</w:t>
      </w:r>
    </w:p>
    <w:p w14:paraId="5373347B" w14:textId="77777777" w:rsidR="004D3D44" w:rsidRPr="006D46F4" w:rsidRDefault="004D3D44" w:rsidP="004D3D44">
      <w:pPr>
        <w:pStyle w:val="NormalHanging12a"/>
      </w:pPr>
      <w:r w:rsidRPr="006D46F4">
        <w:t>11.</w:t>
      </w:r>
      <w:r w:rsidRPr="006D46F4">
        <w:tab/>
        <w:t>ističe da određene intervencije na tržištu koje provode središnje banke predstavljaju rizik od narušavanja tržišta, što bi moglo utjecati na financijsku stabilnost;</w:t>
      </w:r>
    </w:p>
    <w:p w14:paraId="05B1457A" w14:textId="77777777" w:rsidR="004D3D44" w:rsidRPr="006D46F4" w:rsidRDefault="004D3D44" w:rsidP="004D3D44">
      <w:pPr>
        <w:pStyle w:val="NormalHanging12a"/>
      </w:pPr>
      <w:r w:rsidRPr="006D46F4">
        <w:t>12.</w:t>
      </w:r>
      <w:r w:rsidRPr="006D46F4">
        <w:tab/>
        <w:t>konstatira izloženost Unije vanjskim šokovima zbog snažne povezanosti sa stranim financijskim tržištima i subjektima, oslanjanje financijskog sektora EU-a na pružatelje usluga izvan EU-a, te pritiscima zbog sve većih trgovinskih napetosti u kontekstu geopolitičke nesigurnosti;</w:t>
      </w:r>
    </w:p>
    <w:p w14:paraId="7CC31748" w14:textId="77777777" w:rsidR="004D3D44" w:rsidRPr="006D46F4" w:rsidRDefault="004D3D44" w:rsidP="004D3D44">
      <w:pPr>
        <w:pStyle w:val="NormalHanging12a"/>
      </w:pPr>
      <w:r w:rsidRPr="006D46F4">
        <w:t>13.</w:t>
      </w:r>
      <w:r w:rsidRPr="006D46F4">
        <w:tab/>
        <w:t xml:space="preserve">naglašava rizike od visokog državnog duga i deficita; podsjeća da su financijsku krizu iz 2008. i krizu u </w:t>
      </w:r>
      <w:proofErr w:type="spellStart"/>
      <w:r w:rsidRPr="006D46F4">
        <w:t>europodručju</w:t>
      </w:r>
      <w:proofErr w:type="spellEnd"/>
      <w:r w:rsidRPr="006D46F4">
        <w:t xml:space="preserve"> koja je uslijedila potaknule zabrinutost tržišta u pogledu održivosti javnog duga, tadašnjeg nedovoljnog regulatornog okvira za banke i učinaka prelijevanja preko međusobno povezanih financijskih sustava;</w:t>
      </w:r>
    </w:p>
    <w:p w14:paraId="63612DAC" w14:textId="77777777" w:rsidR="004D3D44" w:rsidRPr="006D46F4" w:rsidRDefault="004D3D44" w:rsidP="004D3D44">
      <w:pPr>
        <w:pStyle w:val="NormalHanging12a"/>
      </w:pPr>
      <w:r w:rsidRPr="006D46F4">
        <w:t>14.</w:t>
      </w:r>
      <w:r w:rsidRPr="006D46F4">
        <w:tab/>
        <w:t xml:space="preserve">upozorava na učinke prelijevanja na financijski sektor; u tom pogledu prima na znanje pozive na ublažavanje sustavnih ranjivosti; naglašava, međutim, da budući razvoj događaja ne bi </w:t>
      </w:r>
      <w:proofErr w:type="spellStart"/>
      <w:r w:rsidRPr="006D46F4">
        <w:t>smio</w:t>
      </w:r>
      <w:proofErr w:type="spellEnd"/>
      <w:r w:rsidRPr="006D46F4">
        <w:t xml:space="preserve"> ugroziti nacionalne fiskalne odgovornosti;</w:t>
      </w:r>
    </w:p>
    <w:p w14:paraId="22221DE4" w14:textId="77777777" w:rsidR="004D3D44" w:rsidRPr="006D46F4" w:rsidRDefault="004D3D44" w:rsidP="004D3D44">
      <w:pPr>
        <w:pStyle w:val="NormalHanging12a"/>
      </w:pPr>
      <w:r w:rsidRPr="006D46F4">
        <w:t>15.</w:t>
      </w:r>
      <w:r w:rsidRPr="006D46F4">
        <w:tab/>
        <w:t>poziva Komisiju da osigura usklađenost s okvirom gospodarskog upravljanja EU-a i konvergenciju s fiskalnim pravilima Pakta o stabilnosti i rastu kako bi se osigurale zdrave i održive javne financije;</w:t>
      </w:r>
    </w:p>
    <w:p w14:paraId="11E177B7" w14:textId="77777777" w:rsidR="004D3D44" w:rsidRPr="006D46F4" w:rsidRDefault="004D3D44" w:rsidP="004D3D44">
      <w:pPr>
        <w:pStyle w:val="NormalHanging12a"/>
      </w:pPr>
      <w:r w:rsidRPr="006D46F4">
        <w:lastRenderedPageBreak/>
        <w:t>16.</w:t>
      </w:r>
      <w:r w:rsidRPr="006D46F4">
        <w:tab/>
        <w:t xml:space="preserve">uviđa da bi strukturne reforme za jačanje financijske i institucijske strukture </w:t>
      </w:r>
      <w:proofErr w:type="spellStart"/>
      <w:r w:rsidRPr="006D46F4">
        <w:t>europodručja</w:t>
      </w:r>
      <w:proofErr w:type="spellEnd"/>
      <w:r w:rsidRPr="006D46F4">
        <w:t xml:space="preserve"> i smanjenje fragmentacije tržišta mogli povećati međunarodnu ulogu eura i ojačati financijsku i monetarnu stabilnost; prima na znanje tekuće rasprave o digitalnom euru;</w:t>
      </w:r>
    </w:p>
    <w:p w14:paraId="11BA70B0" w14:textId="77777777" w:rsidR="004D3D44" w:rsidRPr="006D46F4" w:rsidRDefault="004D3D44" w:rsidP="004D3D44">
      <w:pPr>
        <w:pStyle w:val="NormalHanging12a"/>
      </w:pPr>
      <w:r w:rsidRPr="006D46F4">
        <w:t>17.</w:t>
      </w:r>
      <w:r w:rsidRPr="006D46F4">
        <w:tab/>
        <w:t>ističe potencijalnu nestabilnost koja proizlazi iz visoko zaduženih financijskih institucija, istodobno priznajući da one mogu imati gospodarske uloge kao što su zaštita od rizika, poboljšanje likvidnosti tržišta, utvrđivanje cijena ili podjela rizika;</w:t>
      </w:r>
    </w:p>
    <w:p w14:paraId="3881D52C" w14:textId="77777777" w:rsidR="004D3D44" w:rsidRPr="006D46F4" w:rsidRDefault="004D3D44" w:rsidP="004D3D44">
      <w:pPr>
        <w:pStyle w:val="NormalHanging12a"/>
      </w:pPr>
      <w:r w:rsidRPr="006D46F4">
        <w:t>18.</w:t>
      </w:r>
      <w:r w:rsidRPr="006D46F4">
        <w:tab/>
        <w:t xml:space="preserve">naglašava važnost koordinacije među </w:t>
      </w:r>
      <w:proofErr w:type="spellStart"/>
      <w:r w:rsidRPr="006D46F4">
        <w:t>makrobonitetnim</w:t>
      </w:r>
      <w:proofErr w:type="spellEnd"/>
      <w:r w:rsidRPr="006D46F4">
        <w:t xml:space="preserve"> nadzornim tijelima s pomoću analize i nadzora sistemskih rizika te njihove usklađenosti s </w:t>
      </w:r>
      <w:proofErr w:type="spellStart"/>
      <w:r w:rsidRPr="006D46F4">
        <w:t>mikrobonitetnim</w:t>
      </w:r>
      <w:proofErr w:type="spellEnd"/>
      <w:r w:rsidRPr="006D46F4">
        <w:t xml:space="preserve"> nadzorom kako bi se osigurala usklađenost;</w:t>
      </w:r>
    </w:p>
    <w:p w14:paraId="67DBCC87" w14:textId="77777777" w:rsidR="004D3D44" w:rsidRPr="006D46F4" w:rsidRDefault="004D3D44" w:rsidP="004D3D44">
      <w:pPr>
        <w:pStyle w:val="NormalHanging12a"/>
      </w:pPr>
      <w:r w:rsidRPr="006D46F4">
        <w:t>19.</w:t>
      </w:r>
      <w:r w:rsidRPr="006D46F4">
        <w:tab/>
        <w:t>prepoznaje potencijalne rizike za financijsku stabilnost koji proizlaze iz sve veće učestalosti fizičkih rizika koji su posljedica klimatskih i prirodnih opasnosti te rizika povezanih s klimatskim promjenama;</w:t>
      </w:r>
    </w:p>
    <w:p w14:paraId="7642452F" w14:textId="77777777" w:rsidR="004D3D44" w:rsidRPr="00F3265D" w:rsidRDefault="004D3D44" w:rsidP="004D3D44">
      <w:pPr>
        <w:pStyle w:val="Normal12a"/>
        <w:rPr>
          <w:b/>
          <w:bCs/>
        </w:rPr>
      </w:pPr>
      <w:r w:rsidRPr="00F3265D">
        <w:rPr>
          <w:b/>
          <w:bCs/>
          <w:i/>
        </w:rPr>
        <w:t>Stres bankarskog sektora i nadzor NBFI-ja</w:t>
      </w:r>
    </w:p>
    <w:p w14:paraId="67651CB9" w14:textId="77777777" w:rsidR="004D3D44" w:rsidRPr="006D46F4" w:rsidRDefault="004D3D44" w:rsidP="004D3D44">
      <w:pPr>
        <w:pStyle w:val="NormalHanging12a"/>
      </w:pPr>
      <w:r w:rsidRPr="006D46F4">
        <w:t>20.</w:t>
      </w:r>
      <w:r w:rsidRPr="006D46F4">
        <w:tab/>
        <w:t>naglašava potrebu za osiguranjem provedbe okvira Basel III kako bi se povećala otpornost i globalna konkurentnost banaka EU-a; utvrđuje da provedba standarda Basel III u nekim važnim zemljama i područjima izvan EU-a i dalje nije dovoljno jasna te da bankarski sustav Unije mora ostati konkurentan u međunarodnom kontekstu; naglašava važnost održavanja integriteta bazelskog okvira, naglašavajući da se sama financijska stabilnost može smatrati konkurentnom prednošću;</w:t>
      </w:r>
    </w:p>
    <w:p w14:paraId="2D0BE0C4" w14:textId="77777777" w:rsidR="004D3D44" w:rsidRPr="006D46F4" w:rsidRDefault="004D3D44" w:rsidP="004D3D44">
      <w:pPr>
        <w:pStyle w:val="NormalHanging12a"/>
      </w:pPr>
      <w:r w:rsidRPr="006D46F4">
        <w:t>21.</w:t>
      </w:r>
      <w:r w:rsidRPr="006D46F4">
        <w:tab/>
        <w:t xml:space="preserve">ističe važnost održavanja dobrog </w:t>
      </w:r>
      <w:proofErr w:type="spellStart"/>
      <w:r w:rsidRPr="006D46F4">
        <w:t>makrobonitetnog</w:t>
      </w:r>
      <w:proofErr w:type="spellEnd"/>
      <w:r w:rsidRPr="006D46F4">
        <w:t xml:space="preserve"> okvira uz istodobno osiguravanje pojednostavnjenja, pravnog pojašnjenja i smanjenja opterećenja, posebno za manje subjekte; ističe da postoji prostor za pojednostavljenje i usklađivanje u osmišljavanju i primjeni </w:t>
      </w:r>
      <w:proofErr w:type="spellStart"/>
      <w:r w:rsidRPr="006D46F4">
        <w:t>makrobonitetnih</w:t>
      </w:r>
      <w:proofErr w:type="spellEnd"/>
      <w:r w:rsidRPr="006D46F4">
        <w:t xml:space="preserve"> zaštitnih slojeva; poziva Komisiju i nadzorna tijela da, kada je to moguće, sustavno primjenjuju načela proporcionalnosti, troškovne učinkovitosti i digitalnog pojednostavljenja, ne ugrožavajući pritom financijsku stabilnost;</w:t>
      </w:r>
    </w:p>
    <w:p w14:paraId="3BBA86D6" w14:textId="77777777" w:rsidR="004D3D44" w:rsidRPr="006D46F4" w:rsidRDefault="004D3D44" w:rsidP="004D3D44">
      <w:pPr>
        <w:pStyle w:val="NormalHanging12a"/>
      </w:pPr>
      <w:r w:rsidRPr="006D46F4">
        <w:t>22.</w:t>
      </w:r>
      <w:r w:rsidRPr="006D46F4">
        <w:tab/>
        <w:t xml:space="preserve">naglašava da bi se trebalo razmotriti pojednostavljenje reformi nakon financijske krize 2008. ako postoje jasne i potkrijepljene koristi za realno gospodarstvo i ako ne postoje rizici za financijsku stabilnost; prima na znanje raspravu o paketu o </w:t>
      </w:r>
      <w:proofErr w:type="spellStart"/>
      <w:r w:rsidRPr="006D46F4">
        <w:t>sekuritizaciji</w:t>
      </w:r>
      <w:proofErr w:type="spellEnd"/>
      <w:r w:rsidRPr="006D46F4">
        <w:t>;</w:t>
      </w:r>
    </w:p>
    <w:p w14:paraId="7DD38C17" w14:textId="77777777" w:rsidR="004D3D44" w:rsidRPr="006D46F4" w:rsidRDefault="004D3D44" w:rsidP="004D3D44">
      <w:pPr>
        <w:pStyle w:val="NormalHanging12a"/>
      </w:pPr>
      <w:r w:rsidRPr="006D46F4">
        <w:t>23.</w:t>
      </w:r>
      <w:r w:rsidRPr="006D46F4">
        <w:tab/>
        <w:t>prima na znanje analizu ESB-a o trajnim slabostima na tržištima poslovnih nekretnina, zajedno sa sve većim kamatnim stopama i sve većom izloženosti NBFI-ja, što iziskuje pomno praćenje; poziva u tom kontekstu ESRB da pomno prati ulogu NBFI-ja aktivnih na tržištima nekretnina i da izda relevantne preporuke; osim toga, prepoznaje visoke razine zaduženosti kućanstava;</w:t>
      </w:r>
    </w:p>
    <w:p w14:paraId="37B25215" w14:textId="77777777" w:rsidR="004D3D44" w:rsidRPr="006D46F4" w:rsidRDefault="004D3D44" w:rsidP="004D3D44">
      <w:pPr>
        <w:pStyle w:val="NormalHanging12a"/>
      </w:pPr>
      <w:r w:rsidRPr="006D46F4">
        <w:t>24.</w:t>
      </w:r>
      <w:r w:rsidRPr="006D46F4">
        <w:tab/>
        <w:t>potiče ESB da, u kontekstu strateške autonomije, procjeni izloženosti financijskih institucija geopolitičkim rizicima, uključujući neizravne učinke sankcija, carina i gospodarsku rascjepkanost, u okviru redovitog postupka nadzorne provjere i ocjene;</w:t>
      </w:r>
    </w:p>
    <w:p w14:paraId="4F03AFB1" w14:textId="77777777" w:rsidR="004D3D44" w:rsidRPr="006D46F4" w:rsidRDefault="004D3D44" w:rsidP="004D3D44">
      <w:pPr>
        <w:pStyle w:val="NormalHanging12a"/>
      </w:pPr>
      <w:r w:rsidRPr="006D46F4">
        <w:t>25.</w:t>
      </w:r>
      <w:r w:rsidRPr="006D46F4">
        <w:tab/>
        <w:t>prepoznaje sve veću sistemsku važnost NBFI-ja, koji čine više od 40 % imovine financijskog sektora EU-a; smatra da takvi subjekti mogu doprinijeti rizicima za financijsku stabilnost ako nisu dovoljno regulirani;</w:t>
      </w:r>
    </w:p>
    <w:p w14:paraId="5B77FEC1" w14:textId="77777777" w:rsidR="004D3D44" w:rsidRPr="006D46F4" w:rsidRDefault="004D3D44" w:rsidP="004D3D44">
      <w:pPr>
        <w:pStyle w:val="NormalHanging12a"/>
      </w:pPr>
      <w:r w:rsidRPr="006D46F4">
        <w:lastRenderedPageBreak/>
        <w:t>26.</w:t>
      </w:r>
      <w:r w:rsidRPr="006D46F4">
        <w:tab/>
        <w:t>prima na znanje raznolikost poslovnih modela NBFI-ja i njihovu važnu financijsku ulogu; ističe da za mnoge sektore već postoje europski sektorski propisi, primjerice za fondove za ograničavanje rizika (Direktiva o upraviteljima alternativnih investicijskih fondova</w:t>
      </w:r>
      <w:r w:rsidRPr="006D46F4">
        <w:rPr>
          <w:rStyle w:val="FootnoteReference"/>
        </w:rPr>
        <w:footnoteReference w:customMarkFollows="1" w:id="2"/>
        <w:t>2</w:t>
      </w:r>
      <w:r w:rsidRPr="006D46F4">
        <w:t>), novčane fondove (Uredba o novčanim fondovima</w:t>
      </w:r>
      <w:r w:rsidRPr="006D46F4">
        <w:rPr>
          <w:rStyle w:val="FootnoteReference"/>
        </w:rPr>
        <w:footnoteReference w:customMarkFollows="1" w:id="3"/>
        <w:t>3</w:t>
      </w:r>
      <w:r w:rsidRPr="006D46F4">
        <w:t>), osiguravajuća društva (Solventnost II), investicijska društva (Direktiva o investicijskim društvima</w:t>
      </w:r>
      <w:r w:rsidRPr="006D46F4">
        <w:rPr>
          <w:rStyle w:val="FootnoteReference"/>
        </w:rPr>
        <w:footnoteReference w:customMarkFollows="1" w:id="4"/>
        <w:t>4</w:t>
      </w:r>
      <w:r w:rsidRPr="006D46F4">
        <w:t xml:space="preserve"> / Uredba o investicijskim društvima</w:t>
      </w:r>
      <w:r w:rsidRPr="006D46F4">
        <w:rPr>
          <w:rStyle w:val="FootnoteReference"/>
        </w:rPr>
        <w:footnoteReference w:customMarkFollows="1" w:id="5"/>
        <w:t>5</w:t>
      </w:r>
      <w:r w:rsidRPr="006D46F4">
        <w:t>) ili mirovinske fondove (Direktiva o institucijama za strukovno mirovinsko osiguranje</w:t>
      </w:r>
      <w:r w:rsidRPr="006D46F4">
        <w:rPr>
          <w:rStyle w:val="FootnoteReference"/>
        </w:rPr>
        <w:footnoteReference w:customMarkFollows="1" w:id="6"/>
        <w:t>6</w:t>
      </w:r>
      <w:r w:rsidRPr="006D46F4">
        <w:t>); konstatira da je postojeći okvir, međutim, prvenstveno usmjeren na zaštitu ulagača i integritet tržišta, a ne na smanjenje sistemskih rizika</w:t>
      </w:r>
      <w:r w:rsidRPr="006D46F4">
        <w:rPr>
          <w:rStyle w:val="FootnoteReference"/>
        </w:rPr>
        <w:footnoteReference w:customMarkFollows="1" w:id="7"/>
        <w:t>7</w:t>
      </w:r>
      <w:r w:rsidRPr="006D46F4">
        <w:t>; poziva na temeljitu reviziju regulatornih nedostataka u pogledu NBFI-ja, među ostalim u manje reguliranim područjima kao što su obiteljski uredi i poduzeća za financiranje lanca opskrbe;</w:t>
      </w:r>
    </w:p>
    <w:p w14:paraId="257509B5" w14:textId="77777777" w:rsidR="004D3D44" w:rsidRPr="006D46F4" w:rsidRDefault="004D3D44" w:rsidP="004D3D44">
      <w:pPr>
        <w:pStyle w:val="NormalHanging12a"/>
      </w:pPr>
      <w:r w:rsidRPr="006D46F4">
        <w:t>27.</w:t>
      </w:r>
      <w:r w:rsidRPr="006D46F4">
        <w:tab/>
        <w:t>prima na znanje izvješće Komisije za 2023. o funkcioniranju novčanih fondova i nedavne izmjene okvira novčanih fondova; poziva Komisiju da hitno predstavi reformu Uredbe o novčanim fondovima</w:t>
      </w:r>
      <w:r w:rsidRPr="006D46F4">
        <w:rPr>
          <w:rStyle w:val="FootnoteReference"/>
        </w:rPr>
        <w:footnoteReference w:customMarkFollows="1" w:id="8"/>
        <w:t>8</w:t>
      </w:r>
      <w:r w:rsidRPr="006D46F4">
        <w:t xml:space="preserve"> u skladu s međunarodnim standardima, regulatornim napretkom postignutim u drugim jurisdikcijama i preporukama ESRB-a i ESMA-e;</w:t>
      </w:r>
    </w:p>
    <w:p w14:paraId="16022532" w14:textId="77777777" w:rsidR="004D3D44" w:rsidRPr="00F3265D" w:rsidRDefault="004D3D44" w:rsidP="004D3D44">
      <w:pPr>
        <w:pStyle w:val="Normal12a"/>
        <w:rPr>
          <w:b/>
          <w:bCs/>
        </w:rPr>
      </w:pPr>
      <w:proofErr w:type="spellStart"/>
      <w:r w:rsidRPr="00F3265D">
        <w:rPr>
          <w:b/>
          <w:bCs/>
          <w:i/>
        </w:rPr>
        <w:t>Likvidnosni</w:t>
      </w:r>
      <w:proofErr w:type="spellEnd"/>
      <w:r w:rsidRPr="00F3265D">
        <w:rPr>
          <w:b/>
          <w:bCs/>
          <w:i/>
        </w:rPr>
        <w:t xml:space="preserve">, </w:t>
      </w:r>
      <w:proofErr w:type="spellStart"/>
      <w:r w:rsidRPr="00F3265D">
        <w:rPr>
          <w:b/>
          <w:bCs/>
          <w:i/>
        </w:rPr>
        <w:t>maržni</w:t>
      </w:r>
      <w:proofErr w:type="spellEnd"/>
      <w:r w:rsidRPr="00F3265D">
        <w:rPr>
          <w:b/>
          <w:bCs/>
          <w:i/>
        </w:rPr>
        <w:t xml:space="preserve"> i digitalni rizici</w:t>
      </w:r>
    </w:p>
    <w:p w14:paraId="6B59AABB" w14:textId="77777777" w:rsidR="004D3D44" w:rsidRPr="006D46F4" w:rsidRDefault="004D3D44" w:rsidP="004D3D44">
      <w:pPr>
        <w:pStyle w:val="NormalHanging12a"/>
      </w:pPr>
      <w:r w:rsidRPr="006D46F4">
        <w:t>28.</w:t>
      </w:r>
      <w:r w:rsidRPr="006D46F4">
        <w:tab/>
        <w:t xml:space="preserve">ističe činjenicu da su </w:t>
      </w:r>
      <w:proofErr w:type="spellStart"/>
      <w:r w:rsidRPr="006D46F4">
        <w:t>prociklični</w:t>
      </w:r>
      <w:proofErr w:type="spellEnd"/>
      <w:r w:rsidRPr="006D46F4">
        <w:t xml:space="preserve"> </w:t>
      </w:r>
      <w:proofErr w:type="spellStart"/>
      <w:r w:rsidRPr="006D46F4">
        <w:t>maržni</w:t>
      </w:r>
      <w:proofErr w:type="spellEnd"/>
      <w:r w:rsidRPr="006D46F4">
        <w:t xml:space="preserve"> pozivi tijekom kriza kao što su pandemija bolesti COVID-19 i energetska previranja 2022. uzrokovali znatan </w:t>
      </w:r>
      <w:proofErr w:type="spellStart"/>
      <w:r w:rsidRPr="006D46F4">
        <w:t>likvidnosni</w:t>
      </w:r>
      <w:proofErr w:type="spellEnd"/>
      <w:r w:rsidRPr="006D46F4">
        <w:t xml:space="preserve"> stres; napominje u tom pogledu važnost pripremljenosti za likvidnost te općenito financijske poluge i zaštitnih slojeva kapitala;</w:t>
      </w:r>
    </w:p>
    <w:p w14:paraId="69F7B148" w14:textId="77777777" w:rsidR="004D3D44" w:rsidRPr="006D46F4" w:rsidRDefault="004D3D44" w:rsidP="004D3D44">
      <w:pPr>
        <w:pStyle w:val="NormalHanging12a"/>
      </w:pPr>
      <w:r w:rsidRPr="006D46F4">
        <w:t>29.</w:t>
      </w:r>
      <w:r w:rsidRPr="006D46F4">
        <w:tab/>
        <w:t xml:space="preserve">poziva na uspostavu alata kojima bi se bolje obuhvatili razmjeri i brzina </w:t>
      </w:r>
      <w:proofErr w:type="spellStart"/>
      <w:r w:rsidRPr="006D46F4">
        <w:t>likvidnosnih</w:t>
      </w:r>
      <w:proofErr w:type="spellEnd"/>
      <w:r w:rsidRPr="006D46F4">
        <w:t xml:space="preserve"> odljeva koji proizlaze iz </w:t>
      </w:r>
      <w:proofErr w:type="spellStart"/>
      <w:r w:rsidRPr="006D46F4">
        <w:t>maržnih</w:t>
      </w:r>
      <w:proofErr w:type="spellEnd"/>
      <w:r w:rsidRPr="006D46F4">
        <w:t xml:space="preserve"> poziva tijekom sistemskih događaja, posebno za energetske komunalne usluge i NBFI-je;</w:t>
      </w:r>
    </w:p>
    <w:p w14:paraId="5E58FFFB" w14:textId="77777777" w:rsidR="004D3D44" w:rsidRPr="006D46F4" w:rsidRDefault="004D3D44" w:rsidP="004D3D44">
      <w:pPr>
        <w:pStyle w:val="NormalHanging12a"/>
      </w:pPr>
      <w:r w:rsidRPr="006D46F4">
        <w:lastRenderedPageBreak/>
        <w:t>30.</w:t>
      </w:r>
      <w:r w:rsidRPr="006D46F4">
        <w:tab/>
        <w:t xml:space="preserve">naglašava potrebu za otpornom infrastrukturom za poravnanje, čvrstim okvirima kolaterala i koordiniranim nadzorom središnjih drugih ugovornih strana; prima na znanje odluku Komisije o proširenju sustava istovjetnosti za središnje druge ugovorne strane s poslovnim </w:t>
      </w:r>
      <w:proofErr w:type="spellStart"/>
      <w:r w:rsidRPr="006D46F4">
        <w:t>nastanom</w:t>
      </w:r>
      <w:proofErr w:type="spellEnd"/>
      <w:r w:rsidRPr="006D46F4">
        <w:t xml:space="preserve"> u Ujedinjenoj Kraljevini i napominje da i dalje postoji zabrinutost zbog ovisnosti Europe o središnjim drugim ugovornim stranama trećih zemalja;</w:t>
      </w:r>
    </w:p>
    <w:p w14:paraId="17611E72" w14:textId="77777777" w:rsidR="004D3D44" w:rsidRPr="006D46F4" w:rsidRDefault="004D3D44" w:rsidP="004D3D44">
      <w:pPr>
        <w:pStyle w:val="NormalHanging12a"/>
      </w:pPr>
      <w:r w:rsidRPr="006D46F4">
        <w:t>31.</w:t>
      </w:r>
      <w:r w:rsidRPr="006D46F4">
        <w:tab/>
        <w:t xml:space="preserve">podržava veću transparentnost i </w:t>
      </w:r>
      <w:proofErr w:type="spellStart"/>
      <w:r w:rsidRPr="006D46F4">
        <w:t>makrobonitetni</w:t>
      </w:r>
      <w:proofErr w:type="spellEnd"/>
      <w:r w:rsidRPr="006D46F4">
        <w:t xml:space="preserve"> nadzor u praksama određivanja iznosa marže, uključujući testiranje otpornosti na stres i analizu scenarija, oslanjajući se na nedavni rad Odbora za financijsku stabilnost u pogledu pripremljenosti za likvidnost za </w:t>
      </w:r>
      <w:proofErr w:type="spellStart"/>
      <w:r w:rsidRPr="006D46F4">
        <w:t>maržne</w:t>
      </w:r>
      <w:proofErr w:type="spellEnd"/>
      <w:r w:rsidRPr="006D46F4">
        <w:t xml:space="preserve"> pozive;</w:t>
      </w:r>
    </w:p>
    <w:p w14:paraId="03D9C23A" w14:textId="77777777" w:rsidR="004D3D44" w:rsidRPr="006D46F4" w:rsidRDefault="004D3D44" w:rsidP="004D3D44">
      <w:pPr>
        <w:pStyle w:val="NormalHanging12a"/>
      </w:pPr>
      <w:r w:rsidRPr="006D46F4">
        <w:t>32.</w:t>
      </w:r>
      <w:r w:rsidRPr="006D46F4">
        <w:tab/>
        <w:t xml:space="preserve">izražava zabrinutost zbog sve veće međusobne povezanosti tržišta </w:t>
      </w:r>
      <w:proofErr w:type="spellStart"/>
      <w:r w:rsidRPr="006D46F4">
        <w:t>kriptoimovine</w:t>
      </w:r>
      <w:proofErr w:type="spellEnd"/>
      <w:r w:rsidRPr="006D46F4">
        <w:t xml:space="preserve"> i decentraliziranih financijskih tržišta te tradicionalnog financijskog sustava; podržava FSB, tijela za normizaciju i ESRB u njihovim naporima da uspostave regulatorni okvir i usklade njegovu klasifikaciju;</w:t>
      </w:r>
    </w:p>
    <w:p w14:paraId="53FCD122" w14:textId="77777777" w:rsidR="004D3D44" w:rsidRPr="006D46F4" w:rsidRDefault="004D3D44" w:rsidP="004D3D44">
      <w:pPr>
        <w:pStyle w:val="NormalHanging12a"/>
      </w:pPr>
      <w:r w:rsidRPr="006D46F4">
        <w:t>33.</w:t>
      </w:r>
      <w:r w:rsidRPr="006D46F4">
        <w:tab/>
        <w:t xml:space="preserve">prima na znanje analizu Odbora za financijsku stabilnost da se zasad čini da su rizici za financijsku stabilnost koji proizlaze iz tržišta </w:t>
      </w:r>
      <w:proofErr w:type="spellStart"/>
      <w:r w:rsidRPr="006D46F4">
        <w:t>kriptoimovine</w:t>
      </w:r>
      <w:proofErr w:type="spellEnd"/>
      <w:r w:rsidRPr="006D46F4">
        <w:t xml:space="preserve"> ograničeni</w:t>
      </w:r>
      <w:r w:rsidRPr="006D46F4">
        <w:rPr>
          <w:rStyle w:val="FootnoteReference"/>
        </w:rPr>
        <w:footnoteReference w:customMarkFollows="1" w:id="9"/>
        <w:t>9</w:t>
      </w:r>
      <w:r w:rsidRPr="006D46F4">
        <w:t xml:space="preserve">; upozorava, međutim, na moguću sistemsku važnost kretanja na tržištima </w:t>
      </w:r>
      <w:proofErr w:type="spellStart"/>
      <w:r w:rsidRPr="006D46F4">
        <w:t>kriptoimovine</w:t>
      </w:r>
      <w:proofErr w:type="spellEnd"/>
      <w:r w:rsidRPr="006D46F4">
        <w:t xml:space="preserve">; primjećuje da je </w:t>
      </w:r>
      <w:proofErr w:type="spellStart"/>
      <w:r w:rsidRPr="006D46F4">
        <w:t>kriptoimovina</w:t>
      </w:r>
      <w:proofErr w:type="spellEnd"/>
      <w:r w:rsidRPr="006D46F4">
        <w:t xml:space="preserve"> u velikoj mjeri špekulativna i da ima važnu ulogu u nezakonitim transakcijama; potiče Komisiju i ESRB da pomno prate razvoj događaja u tom području;</w:t>
      </w:r>
    </w:p>
    <w:p w14:paraId="24EFE9AF" w14:textId="77777777" w:rsidR="004D3D44" w:rsidRPr="006D46F4" w:rsidRDefault="004D3D44" w:rsidP="004D3D44">
      <w:pPr>
        <w:pStyle w:val="NormalHanging12a"/>
      </w:pPr>
      <w:r w:rsidRPr="006D46F4">
        <w:t>34.</w:t>
      </w:r>
      <w:r w:rsidRPr="006D46F4">
        <w:tab/>
        <w:t xml:space="preserve">pozdravlja činjenicu da je Europska unija uspostavila bonitetni okvir za </w:t>
      </w:r>
      <w:proofErr w:type="spellStart"/>
      <w:r w:rsidRPr="006D46F4">
        <w:t>kriptoimovinu</w:t>
      </w:r>
      <w:proofErr w:type="spellEnd"/>
      <w:r w:rsidRPr="006D46F4">
        <w:t xml:space="preserve"> (</w:t>
      </w:r>
      <w:proofErr w:type="spellStart"/>
      <w:r w:rsidRPr="006D46F4">
        <w:t>MiCAR</w:t>
      </w:r>
      <w:proofErr w:type="spellEnd"/>
      <w:r w:rsidRPr="006D46F4">
        <w:t>); naglašava važnost pravodobne i dosljedne provedbe i poziva Komisiju da prati preostale regulatorne nedostatke;</w:t>
      </w:r>
    </w:p>
    <w:p w14:paraId="22E49A5E" w14:textId="77777777" w:rsidR="004D3D44" w:rsidRPr="006D46F4" w:rsidRDefault="004D3D44" w:rsidP="004D3D44">
      <w:pPr>
        <w:pStyle w:val="NormalHanging12a"/>
      </w:pPr>
      <w:r w:rsidRPr="006D46F4">
        <w:t>35.</w:t>
      </w:r>
      <w:r w:rsidRPr="006D46F4">
        <w:tab/>
        <w:t xml:space="preserve">ističe brz rast tržišta stabilnih </w:t>
      </w:r>
      <w:proofErr w:type="spellStart"/>
      <w:r w:rsidRPr="006D46F4">
        <w:t>kriptovaluta</w:t>
      </w:r>
      <w:proofErr w:type="spellEnd"/>
      <w:r w:rsidRPr="006D46F4">
        <w:t xml:space="preserve">, koje je dosad i dalje u velikoj mjeri ograničeno na ekosustav </w:t>
      </w:r>
      <w:proofErr w:type="spellStart"/>
      <w:r w:rsidRPr="006D46F4">
        <w:t>kriptovaluta</w:t>
      </w:r>
      <w:proofErr w:type="spellEnd"/>
      <w:r w:rsidRPr="006D46F4">
        <w:t xml:space="preserve">; napominje da se regulatorno okruženje u pogledu stabilnih </w:t>
      </w:r>
      <w:proofErr w:type="spellStart"/>
      <w:r w:rsidRPr="006D46F4">
        <w:t>kriptovaluta</w:t>
      </w:r>
      <w:proofErr w:type="spellEnd"/>
      <w:r w:rsidRPr="006D46F4">
        <w:t xml:space="preserve"> u velikim jurisdikcijama zemalja izvan EU-a brzo mijenja; potiče Komisiju da procijeni postoje li mogući kanali zaraze, kao što je slučaj s višestrukim izdavanjem;</w:t>
      </w:r>
    </w:p>
    <w:p w14:paraId="3702E00A" w14:textId="77777777" w:rsidR="004D3D44" w:rsidRPr="006D46F4" w:rsidRDefault="004D3D44" w:rsidP="004D3D44">
      <w:pPr>
        <w:pStyle w:val="NormalHanging12a"/>
      </w:pPr>
      <w:r w:rsidRPr="006D46F4">
        <w:t>36.</w:t>
      </w:r>
      <w:r w:rsidRPr="006D46F4">
        <w:tab/>
        <w:t>ističe da je Unija donijela mjere za jačanje digitalne otpornosti financijskih subjekata, posebno u okviru Akta o digitalnoj operativnoj otpornosti</w:t>
      </w:r>
      <w:r w:rsidRPr="006D46F4">
        <w:rPr>
          <w:rStyle w:val="FootnoteReference"/>
        </w:rPr>
        <w:footnoteReference w:customMarkFollows="1" w:id="10"/>
        <w:t>10</w:t>
      </w:r>
      <w:r w:rsidRPr="006D46F4">
        <w:t>; potiče inovacije u području digitalnih financija i opsežna ulaganja u kibernetičku otpornost kako bi se financijska infrastruktura zaštitila od vanjskih prijetnji; poziva Komisiju i ESB da mapiraju i riješe pitanje ovisnosti europskog financijskog sustava o pružateljima digitalnih usluga izvan EU-a, jedinstvenim točkama neuspjeha i rizik od hibridnih napada;</w:t>
      </w:r>
    </w:p>
    <w:p w14:paraId="0459BBF3" w14:textId="77777777" w:rsidR="004D3D44" w:rsidRPr="006D46F4" w:rsidRDefault="004D3D44" w:rsidP="004D3D44">
      <w:pPr>
        <w:pStyle w:val="NormalHanging12a"/>
      </w:pPr>
      <w:r w:rsidRPr="006D46F4">
        <w:t>37.</w:t>
      </w:r>
      <w:r w:rsidRPr="006D46F4">
        <w:tab/>
        <w:t>ističe da poboljšanja financijske pismenosti mogu doprinijeti otpornosti pojedinaca, stabilnijim financijskim tržištima i većem sudjelovanju u uniji tržišta kapitala;</w:t>
      </w:r>
    </w:p>
    <w:p w14:paraId="018C045E" w14:textId="77777777" w:rsidR="004D3D44" w:rsidRPr="006D46F4" w:rsidRDefault="004D3D44" w:rsidP="004D3D44">
      <w:pPr>
        <w:pStyle w:val="NormalHanging12a"/>
      </w:pPr>
      <w:r w:rsidRPr="006D46F4">
        <w:lastRenderedPageBreak/>
        <w:t>38.</w:t>
      </w:r>
      <w:r w:rsidRPr="006D46F4">
        <w:tab/>
        <w:t>konstatira da je održavanje razumne i pouzdane logistike i infrastrukture za dostupnost gotovine i dalje ključan element financijske stabilnosti i povjerenja javnosti;</w:t>
      </w:r>
    </w:p>
    <w:p w14:paraId="73902844" w14:textId="77777777" w:rsidR="004D3D44" w:rsidRPr="00F3265D" w:rsidRDefault="004D3D44" w:rsidP="004D3D44">
      <w:pPr>
        <w:pStyle w:val="Normal12a"/>
        <w:rPr>
          <w:b/>
          <w:bCs/>
        </w:rPr>
      </w:pPr>
      <w:r w:rsidRPr="00F3265D">
        <w:rPr>
          <w:b/>
          <w:bCs/>
          <w:i/>
        </w:rPr>
        <w:t xml:space="preserve">Poboljšanje nadzorne usklađenosti, </w:t>
      </w:r>
      <w:proofErr w:type="spellStart"/>
      <w:r w:rsidRPr="00F3265D">
        <w:rPr>
          <w:b/>
          <w:bCs/>
          <w:i/>
        </w:rPr>
        <w:t>podatkovih</w:t>
      </w:r>
      <w:proofErr w:type="spellEnd"/>
      <w:r w:rsidRPr="00F3265D">
        <w:rPr>
          <w:b/>
          <w:bCs/>
          <w:i/>
        </w:rPr>
        <w:t xml:space="preserve"> sposobnosti i pripravnosti za krizne situacije</w:t>
      </w:r>
    </w:p>
    <w:p w14:paraId="7C65B9A7" w14:textId="77777777" w:rsidR="004D3D44" w:rsidRPr="006D46F4" w:rsidRDefault="004D3D44" w:rsidP="004D3D44">
      <w:pPr>
        <w:pStyle w:val="NormalHanging12a"/>
      </w:pPr>
      <w:r w:rsidRPr="006D46F4">
        <w:t>39.</w:t>
      </w:r>
      <w:r w:rsidRPr="006D46F4">
        <w:tab/>
        <w:t>podržava sveobuhvatni, usklađeniji nadzorni pristup na razini cijelog sustava koji se temelji na aktivnostima za utvrđivanje i uklanjanje rizika i ranjivosti povezanih s različitim vrstama aktivnosti u financijskom sektoru, kao što su kreditiranje, transakcije i upravljanje imovinom;</w:t>
      </w:r>
    </w:p>
    <w:p w14:paraId="65903846" w14:textId="77777777" w:rsidR="004D3D44" w:rsidRPr="006D46F4" w:rsidRDefault="004D3D44" w:rsidP="004D3D44">
      <w:pPr>
        <w:pStyle w:val="NormalHanging12a"/>
      </w:pPr>
      <w:r w:rsidRPr="006D46F4">
        <w:t>40.</w:t>
      </w:r>
      <w:r w:rsidRPr="006D46F4">
        <w:tab/>
        <w:t>naglašava važnost čvrstog i vjerodostojnog okvira za upravljanje krizama; ističe ulogu jedinstvenog sanacijskog mehanizma u osiguravanju učinkovite sanacije posrnulih institucija i podržava funkciju ESB-a kao zajmodavca u krajnjoj nuždi u zaštiti likvidnosti i povjerenja tijekom kriza; konstatira da još uvijek nedostaje zaštitni mehanizam za Jedinstveni fond za sanaciju;</w:t>
      </w:r>
    </w:p>
    <w:p w14:paraId="68CBB1F7" w14:textId="77777777" w:rsidR="004D3D44" w:rsidRPr="006D46F4" w:rsidRDefault="004D3D44" w:rsidP="004D3D44">
      <w:pPr>
        <w:pStyle w:val="NormalHanging12a"/>
      </w:pPr>
      <w:r w:rsidRPr="006D46F4">
        <w:t>41.</w:t>
      </w:r>
      <w:r w:rsidRPr="006D46F4">
        <w:tab/>
        <w:t>podržava ESB, ESRB, europska i nacionalna nadzorna tijela i Tijelo za sprečavanje pranja novca i borbu protiv financiranja terorizma u zaštiti financijske stabilnosti EU-a i uklanjanju novih globalnih financijskih rizika, uključujući dosljedan nadzor koji ESMA provodi nad sistemskim prekograničnim NBFI-</w:t>
      </w:r>
      <w:proofErr w:type="spellStart"/>
      <w:r w:rsidRPr="006D46F4">
        <w:t>jima</w:t>
      </w:r>
      <w:proofErr w:type="spellEnd"/>
      <w:r w:rsidRPr="006D46F4">
        <w:t>;</w:t>
      </w:r>
    </w:p>
    <w:p w14:paraId="69773715" w14:textId="77777777" w:rsidR="004D3D44" w:rsidRPr="006D46F4" w:rsidRDefault="004D3D44" w:rsidP="004D3D44">
      <w:pPr>
        <w:pStyle w:val="NormalHanging12a"/>
      </w:pPr>
      <w:r w:rsidRPr="006D46F4">
        <w:t>42.</w:t>
      </w:r>
      <w:r w:rsidRPr="006D46F4">
        <w:tab/>
        <w:t>upozorava na regulatornu arbitražu i naglašava potrebu za rješavanjem problema skrivenih prezaduženosti otkrivenih u prošlim poremećajima;</w:t>
      </w:r>
    </w:p>
    <w:p w14:paraId="1D88FF1E" w14:textId="77777777" w:rsidR="004D3D44" w:rsidRPr="006D46F4" w:rsidRDefault="004D3D44" w:rsidP="004D3D44">
      <w:pPr>
        <w:pStyle w:val="NormalHanging12a"/>
      </w:pPr>
      <w:r w:rsidRPr="006D46F4">
        <w:t>43.</w:t>
      </w:r>
      <w:r w:rsidRPr="006D46F4">
        <w:tab/>
        <w:t>poziva Komisiju da zadrži visoku razinu ambicije u provedbi preporuka Odbora za financijsku stabilnost o utjecaju financijske poluge u EU-u;</w:t>
      </w:r>
    </w:p>
    <w:p w14:paraId="2BAFD740" w14:textId="77777777" w:rsidR="004D3D44" w:rsidRPr="006D46F4" w:rsidRDefault="004D3D44" w:rsidP="004D3D44">
      <w:pPr>
        <w:pStyle w:val="NormalHanging12a"/>
      </w:pPr>
      <w:r w:rsidRPr="006D46F4">
        <w:t>44.</w:t>
      </w:r>
      <w:r w:rsidRPr="006D46F4">
        <w:tab/>
        <w:t>naglašava da bi tijela, i na nacionalnoj razini i na razini EU-a, trebala imati kvalitativne i lako dostupne podatke te odgovarajuće resurse za analizu podataka;</w:t>
      </w:r>
    </w:p>
    <w:p w14:paraId="13E17251" w14:textId="77777777" w:rsidR="004D3D44" w:rsidRPr="006D46F4" w:rsidRDefault="004D3D44" w:rsidP="004D3D44">
      <w:pPr>
        <w:pStyle w:val="NormalHanging12a"/>
      </w:pPr>
      <w:r w:rsidRPr="006D46F4">
        <w:t>45.</w:t>
      </w:r>
      <w:r w:rsidRPr="006D46F4">
        <w:tab/>
        <w:t xml:space="preserve">poziva na veću transparentnost, kapacitete za analizu podataka i pojednostavnjene mehanizme za razmjenu podataka između nacionalnih tijela i tijela EU-a, uz poštovanje mjera za zaštitu podataka, kako bi se podržao sveobuhvatniji okvir za praćenje rizika i kapaciteti za testiranje otpornosti na stres na razini cijelog sustava, među ostalim u pogledu kibernetičke otpornosti, prekida opskrbe energijom i okvira za </w:t>
      </w:r>
      <w:proofErr w:type="spellStart"/>
      <w:r w:rsidRPr="006D46F4">
        <w:t>kolateral</w:t>
      </w:r>
      <w:proofErr w:type="spellEnd"/>
      <w:r w:rsidRPr="006D46F4">
        <w:t xml:space="preserve">; konstatira da su neka nacionalna tijela već priopćila svoju namjeru da provedu testiranja otpornosti na stres na </w:t>
      </w:r>
      <w:proofErr w:type="spellStart"/>
      <w:r w:rsidRPr="006D46F4">
        <w:t>interkonekcijama</w:t>
      </w:r>
      <w:proofErr w:type="spellEnd"/>
      <w:r w:rsidRPr="006D46F4">
        <w:t xml:space="preserve"> između bankarskog sektora i sektora NBFI-ja;</w:t>
      </w:r>
    </w:p>
    <w:p w14:paraId="4AEB4C84" w14:textId="77777777" w:rsidR="004D3D44" w:rsidRPr="006D46F4" w:rsidRDefault="004D3D44" w:rsidP="004D3D44">
      <w:pPr>
        <w:pStyle w:val="NormalHanging12a"/>
      </w:pPr>
      <w:r w:rsidRPr="006D46F4">
        <w:t>46.</w:t>
      </w:r>
      <w:r w:rsidRPr="006D46F4">
        <w:tab/>
        <w:t>poziva na pojačanu suradnju s međunarodnim financijskim institucijama, uključujući MMF, Bazelski odbor za nadzor banaka, BIS i FSB, kako bi se riješili prekogranični rizici za stabilnost;</w:t>
      </w:r>
    </w:p>
    <w:p w14:paraId="6BEF63BA" w14:textId="59D1B9B3" w:rsidR="00405C70" w:rsidRDefault="00405C70" w:rsidP="00405C70">
      <w:pPr>
        <w:pStyle w:val="NormalCenter12a"/>
      </w:pPr>
      <w:r>
        <w:t>°</w:t>
      </w:r>
    </w:p>
    <w:p w14:paraId="402ABEA1" w14:textId="42DFF8AF" w:rsidR="00405C70" w:rsidRDefault="00405C70" w:rsidP="00405C70">
      <w:pPr>
        <w:pStyle w:val="NormalCenter12a"/>
      </w:pPr>
      <w:r>
        <w:t>°     °</w:t>
      </w:r>
    </w:p>
    <w:p w14:paraId="6913878A" w14:textId="6D1BF670" w:rsidR="006D46F4" w:rsidRPr="006D46F4" w:rsidRDefault="004D3D44" w:rsidP="006D46F4">
      <w:pPr>
        <w:pStyle w:val="NormalHanging12a"/>
      </w:pPr>
      <w:r w:rsidRPr="006D46F4">
        <w:t>47.</w:t>
      </w:r>
      <w:r w:rsidRPr="006D46F4">
        <w:tab/>
        <w:t>nalaže svojoj predsjednici da ovu Rezoluciju proslijedi Vijeću i Komisiji.</w:t>
      </w:r>
    </w:p>
    <w:p w14:paraId="0F744536" w14:textId="55CD6C84" w:rsidR="00E365E1" w:rsidRPr="006D46F4" w:rsidRDefault="00E365E1" w:rsidP="000A7877"/>
    <w:sectPr w:rsidR="00E365E1" w:rsidRPr="006D46F4" w:rsidSect="006D46F4">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59B411" w14:textId="77777777" w:rsidR="000A7877" w:rsidRPr="006D46F4" w:rsidRDefault="000A7877">
      <w:r w:rsidRPr="006D46F4">
        <w:separator/>
      </w:r>
    </w:p>
  </w:endnote>
  <w:endnote w:type="continuationSeparator" w:id="0">
    <w:p w14:paraId="459CA4C6" w14:textId="77777777" w:rsidR="000A7877" w:rsidRPr="006D46F4" w:rsidRDefault="000A7877">
      <w:r w:rsidRPr="006D46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6AB72" w14:textId="77777777" w:rsidR="00064002" w:rsidRPr="006D46F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9BE2C" w14:textId="77777777" w:rsidR="00064002" w:rsidRPr="006D46F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34309" w14:textId="77777777" w:rsidR="00064002" w:rsidRPr="006D46F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B0DD4F" w14:textId="77777777" w:rsidR="000A7877" w:rsidRPr="006D46F4" w:rsidRDefault="000A7877">
      <w:r w:rsidRPr="006D46F4">
        <w:separator/>
      </w:r>
    </w:p>
  </w:footnote>
  <w:footnote w:type="continuationSeparator" w:id="0">
    <w:p w14:paraId="15A5C0DA" w14:textId="77777777" w:rsidR="000A7877" w:rsidRPr="006D46F4" w:rsidRDefault="000A7877">
      <w:r w:rsidRPr="006D46F4">
        <w:continuationSeparator/>
      </w:r>
    </w:p>
  </w:footnote>
  <w:footnote w:id="1">
    <w:p w14:paraId="2D43A27C" w14:textId="7AC8C1B5" w:rsidR="004D3D44" w:rsidRPr="00AA56C9" w:rsidRDefault="004D3D44" w:rsidP="006D46F4">
      <w:pPr>
        <w:pStyle w:val="FootnoteText"/>
        <w:ind w:left="567" w:hanging="567"/>
        <w:rPr>
          <w:sz w:val="24"/>
          <w:szCs w:val="24"/>
          <w:lang w:val="hr-HR"/>
        </w:rPr>
      </w:pPr>
      <w:r w:rsidRPr="00AA56C9">
        <w:rPr>
          <w:sz w:val="24"/>
          <w:szCs w:val="24"/>
          <w:vertAlign w:val="superscript"/>
          <w:lang w:val="hr-HR"/>
        </w:rPr>
        <w:t>1</w:t>
      </w:r>
      <w:r w:rsidR="006D46F4" w:rsidRPr="00AA56C9">
        <w:rPr>
          <w:sz w:val="24"/>
          <w:szCs w:val="24"/>
          <w:vertAlign w:val="superscript"/>
          <w:lang w:val="hr-HR"/>
        </w:rPr>
        <w:t xml:space="preserve"> </w:t>
      </w:r>
      <w:r w:rsidR="006D46F4" w:rsidRPr="00AA56C9">
        <w:rPr>
          <w:sz w:val="24"/>
          <w:szCs w:val="24"/>
          <w:vertAlign w:val="superscript"/>
          <w:lang w:val="hr-HR"/>
        </w:rPr>
        <w:tab/>
      </w:r>
      <w:r w:rsidRPr="00AA56C9">
        <w:rPr>
          <w:sz w:val="24"/>
          <w:szCs w:val="24"/>
          <w:lang w:val="hr-HR"/>
        </w:rPr>
        <w:t>SL C 33</w:t>
      </w:r>
      <w:r w:rsidR="006A5D83">
        <w:rPr>
          <w:sz w:val="24"/>
          <w:szCs w:val="24"/>
          <w:lang w:val="hr-HR"/>
        </w:rPr>
        <w:t xml:space="preserve"> </w:t>
      </w:r>
      <w:r w:rsidRPr="00AA56C9">
        <w:rPr>
          <w:sz w:val="24"/>
          <w:szCs w:val="24"/>
          <w:lang w:val="hr-HR"/>
        </w:rPr>
        <w:t>E, 5.2.2013., str. 140.</w:t>
      </w:r>
    </w:p>
  </w:footnote>
  <w:footnote w:id="2">
    <w:p w14:paraId="16BD315C" w14:textId="484D5588" w:rsidR="004D3D44" w:rsidRPr="00AA56C9" w:rsidRDefault="004D3D44" w:rsidP="006D46F4">
      <w:pPr>
        <w:pStyle w:val="FootnoteText"/>
        <w:ind w:left="567" w:hanging="567"/>
        <w:rPr>
          <w:sz w:val="24"/>
          <w:szCs w:val="24"/>
          <w:lang w:val="hr-HR"/>
        </w:rPr>
      </w:pPr>
      <w:r w:rsidRPr="00AA56C9">
        <w:rPr>
          <w:sz w:val="24"/>
          <w:szCs w:val="24"/>
          <w:vertAlign w:val="superscript"/>
          <w:lang w:val="hr-HR"/>
        </w:rPr>
        <w:t>2</w:t>
      </w:r>
      <w:r w:rsidR="006D46F4" w:rsidRPr="00AA56C9">
        <w:rPr>
          <w:sz w:val="24"/>
          <w:szCs w:val="24"/>
          <w:vertAlign w:val="superscript"/>
          <w:lang w:val="hr-HR"/>
        </w:rPr>
        <w:t xml:space="preserve"> </w:t>
      </w:r>
      <w:r w:rsidR="006D46F4" w:rsidRPr="00AA56C9">
        <w:rPr>
          <w:sz w:val="24"/>
          <w:szCs w:val="24"/>
          <w:vertAlign w:val="superscript"/>
          <w:lang w:val="hr-HR"/>
        </w:rPr>
        <w:tab/>
      </w:r>
      <w:r w:rsidRPr="00AA56C9">
        <w:rPr>
          <w:sz w:val="24"/>
          <w:szCs w:val="24"/>
          <w:lang w:val="hr-HR"/>
        </w:rPr>
        <w:t xml:space="preserve">Direktiva 2011/61/EU Europskog parlamenta i Vijeća od 8. lipnja 2011. o upraviteljima alternativnih investicijskih fondova i o izmjeni direktiva 2003/41/EZ i 2009/65/EZ te uredbi (EZ) br. 1060/2009 i (EU) br. 1095/2010 (SL L 174, 1.7.2011., str. 1. </w:t>
      </w:r>
      <w:r w:rsidRPr="00AA56C9">
        <w:rPr>
          <w:sz w:val="24"/>
          <w:szCs w:val="24"/>
          <w:lang w:val="hr-HR"/>
        </w:rPr>
        <w:t xml:space="preserve">ELI: </w:t>
      </w:r>
      <w:hyperlink r:id="rId1" w:tgtFrame="http://data.europa.eu/eli/dir/2011/61/oj" w:history="1">
        <w:r w:rsidRPr="00AA56C9">
          <w:rPr>
            <w:rStyle w:val="Hyperlink"/>
            <w:sz w:val="24"/>
            <w:szCs w:val="24"/>
            <w:lang w:val="hr-HR"/>
          </w:rPr>
          <w:t>http://data.europa.eu/eli/dir/2011/61/oj</w:t>
        </w:r>
      </w:hyperlink>
      <w:r w:rsidRPr="00AA56C9">
        <w:rPr>
          <w:sz w:val="24"/>
          <w:szCs w:val="24"/>
          <w:lang w:val="hr-HR"/>
        </w:rPr>
        <w:t>).</w:t>
      </w:r>
    </w:p>
  </w:footnote>
  <w:footnote w:id="3">
    <w:p w14:paraId="731B66BE" w14:textId="29F0CAC1" w:rsidR="004D3D44" w:rsidRPr="00AA56C9" w:rsidRDefault="004D3D44" w:rsidP="006D46F4">
      <w:pPr>
        <w:pStyle w:val="FootnoteText"/>
        <w:ind w:left="567" w:hanging="567"/>
        <w:rPr>
          <w:sz w:val="24"/>
          <w:szCs w:val="24"/>
          <w:lang w:val="hr-HR"/>
        </w:rPr>
      </w:pPr>
      <w:r w:rsidRPr="00AA56C9">
        <w:rPr>
          <w:sz w:val="24"/>
          <w:szCs w:val="24"/>
          <w:vertAlign w:val="superscript"/>
          <w:lang w:val="hr-HR"/>
        </w:rPr>
        <w:t>3</w:t>
      </w:r>
      <w:r w:rsidR="006D46F4" w:rsidRPr="00AA56C9">
        <w:rPr>
          <w:sz w:val="24"/>
          <w:szCs w:val="24"/>
          <w:vertAlign w:val="superscript"/>
          <w:lang w:val="hr-HR"/>
        </w:rPr>
        <w:t xml:space="preserve"> </w:t>
      </w:r>
      <w:r w:rsidR="006D46F4" w:rsidRPr="00AA56C9">
        <w:rPr>
          <w:sz w:val="24"/>
          <w:szCs w:val="24"/>
          <w:vertAlign w:val="superscript"/>
          <w:lang w:val="hr-HR"/>
        </w:rPr>
        <w:tab/>
      </w:r>
      <w:r w:rsidRPr="00AA56C9">
        <w:rPr>
          <w:sz w:val="24"/>
          <w:szCs w:val="24"/>
          <w:lang w:val="hr-HR"/>
        </w:rPr>
        <w:t>Uredba (EU) 2017/1131 Europskog parlamenta i Vijeća od 14. lipnja 2017. o novčanim fondovima, SL L 169, 30.6.2017., str. </w:t>
      </w:r>
      <w:r w:rsidRPr="00AA56C9">
        <w:rPr>
          <w:sz w:val="24"/>
          <w:szCs w:val="24"/>
          <w:lang w:val="hr-HR"/>
        </w:rPr>
        <w:t xml:space="preserve">8., ELI: </w:t>
      </w:r>
      <w:hyperlink r:id="rId2" w:tgtFrame="http://data.europa.eu/eli/reg/2017/1131/oj" w:history="1">
        <w:r w:rsidRPr="00AA56C9">
          <w:rPr>
            <w:rStyle w:val="Hyperlink"/>
            <w:sz w:val="24"/>
            <w:szCs w:val="24"/>
            <w:lang w:val="hr-HR"/>
          </w:rPr>
          <w:t>http://data.europa.eu/eli/reg/2017/1131/oj</w:t>
        </w:r>
      </w:hyperlink>
      <w:r w:rsidRPr="00AA56C9">
        <w:rPr>
          <w:sz w:val="24"/>
          <w:szCs w:val="24"/>
          <w:lang w:val="hr-HR"/>
        </w:rPr>
        <w:t>).</w:t>
      </w:r>
    </w:p>
  </w:footnote>
  <w:footnote w:id="4">
    <w:p w14:paraId="7D417C6F" w14:textId="1262B4A1" w:rsidR="004D3D44" w:rsidRPr="00AA56C9" w:rsidRDefault="004D3D44" w:rsidP="006D46F4">
      <w:pPr>
        <w:pStyle w:val="FootnoteText"/>
        <w:ind w:left="567" w:hanging="567"/>
        <w:rPr>
          <w:sz w:val="24"/>
          <w:szCs w:val="24"/>
          <w:lang w:val="hr-HR"/>
        </w:rPr>
      </w:pPr>
      <w:r w:rsidRPr="00AA56C9">
        <w:rPr>
          <w:sz w:val="24"/>
          <w:szCs w:val="24"/>
          <w:vertAlign w:val="superscript"/>
          <w:lang w:val="hr-HR"/>
        </w:rPr>
        <w:t>4</w:t>
      </w:r>
      <w:r w:rsidR="006D46F4" w:rsidRPr="00AA56C9">
        <w:rPr>
          <w:sz w:val="24"/>
          <w:szCs w:val="24"/>
          <w:vertAlign w:val="superscript"/>
          <w:lang w:val="hr-HR"/>
        </w:rPr>
        <w:t xml:space="preserve"> </w:t>
      </w:r>
      <w:r w:rsidR="006D46F4" w:rsidRPr="00AA56C9">
        <w:rPr>
          <w:sz w:val="24"/>
          <w:szCs w:val="24"/>
          <w:vertAlign w:val="superscript"/>
          <w:lang w:val="hr-HR"/>
        </w:rPr>
        <w:tab/>
      </w:r>
      <w:r w:rsidRPr="00AA56C9">
        <w:rPr>
          <w:sz w:val="24"/>
          <w:szCs w:val="24"/>
          <w:lang w:val="hr-HR"/>
        </w:rPr>
        <w:t>Direktiva (EU) 2019/2034 Europskog parlamenta i Vijeća od 27. studenoga 2019. o bonitetnom nadzoru nad investicijskim društvima i izmjeni direktiva 2002/87/EZ, 2009/65/EZ, 2011/61/EU, 2013/36/EU, 2014/59/EU i 2014/65/EU (SL L 314, 5.12.2019., str. </w:t>
      </w:r>
      <w:r w:rsidRPr="00AA56C9">
        <w:rPr>
          <w:sz w:val="24"/>
          <w:szCs w:val="24"/>
          <w:lang w:val="hr-HR"/>
        </w:rPr>
        <w:t xml:space="preserve">64., ELI: </w:t>
      </w:r>
      <w:hyperlink r:id="rId3" w:tgtFrame="http://data.europa.eu/eli/dir/2019/2034/oj" w:history="1">
        <w:r w:rsidRPr="00AA56C9">
          <w:rPr>
            <w:rStyle w:val="Hyperlink"/>
            <w:sz w:val="24"/>
            <w:szCs w:val="24"/>
            <w:lang w:val="hr-HR"/>
          </w:rPr>
          <w:t>http://data.europa.eu/eli/dir/2019/2034/oj</w:t>
        </w:r>
      </w:hyperlink>
      <w:r w:rsidRPr="00AA56C9">
        <w:rPr>
          <w:sz w:val="24"/>
          <w:szCs w:val="24"/>
          <w:lang w:val="hr-HR"/>
        </w:rPr>
        <w:t>).</w:t>
      </w:r>
    </w:p>
  </w:footnote>
  <w:footnote w:id="5">
    <w:p w14:paraId="544FA070" w14:textId="0CFC65BA" w:rsidR="004D3D44" w:rsidRPr="00AA56C9" w:rsidRDefault="004D3D44" w:rsidP="006D46F4">
      <w:pPr>
        <w:pStyle w:val="FootnoteText"/>
        <w:ind w:left="567" w:hanging="567"/>
        <w:rPr>
          <w:sz w:val="24"/>
          <w:szCs w:val="24"/>
          <w:lang w:val="hr-HR"/>
        </w:rPr>
      </w:pPr>
      <w:r w:rsidRPr="00AA56C9">
        <w:rPr>
          <w:sz w:val="24"/>
          <w:szCs w:val="24"/>
          <w:vertAlign w:val="superscript"/>
          <w:lang w:val="hr-HR"/>
        </w:rPr>
        <w:t>5</w:t>
      </w:r>
      <w:r w:rsidR="006D46F4" w:rsidRPr="00AA56C9">
        <w:rPr>
          <w:sz w:val="24"/>
          <w:szCs w:val="24"/>
          <w:vertAlign w:val="superscript"/>
          <w:lang w:val="hr-HR"/>
        </w:rPr>
        <w:t xml:space="preserve"> </w:t>
      </w:r>
      <w:r w:rsidR="006D46F4" w:rsidRPr="00AA56C9">
        <w:rPr>
          <w:sz w:val="24"/>
          <w:szCs w:val="24"/>
          <w:vertAlign w:val="superscript"/>
          <w:lang w:val="hr-HR"/>
        </w:rPr>
        <w:tab/>
      </w:r>
      <w:r w:rsidRPr="00AA56C9">
        <w:rPr>
          <w:sz w:val="24"/>
          <w:szCs w:val="24"/>
          <w:lang w:val="hr-HR"/>
        </w:rPr>
        <w:t>Uredba (EU) 2019/2033 Europskog parlamenta i Vijeća od 27. studenoga 2019. o bonitetnim zahtjevima za investicijska društva i o izmjeni uredaba (EU) br. 1093/2010, (EU) br. 575/2013, (EU) br. 600/2014 i (EU) br. 806/2014 (SL L 314, 5.12.2019., str. </w:t>
      </w:r>
      <w:r w:rsidRPr="00AA56C9">
        <w:rPr>
          <w:sz w:val="24"/>
          <w:szCs w:val="24"/>
          <w:lang w:val="hr-HR"/>
        </w:rPr>
        <w:t xml:space="preserve">1., ELI: </w:t>
      </w:r>
      <w:hyperlink r:id="rId4" w:tgtFrame="http://data.europa.eu/eli/reg/2019/2033/oj" w:history="1">
        <w:r w:rsidRPr="00AA56C9">
          <w:rPr>
            <w:rStyle w:val="Hyperlink"/>
            <w:sz w:val="24"/>
            <w:szCs w:val="24"/>
            <w:lang w:val="hr-HR"/>
          </w:rPr>
          <w:t>http://data.europa.eu/eli/reg/2019/2033/oj</w:t>
        </w:r>
      </w:hyperlink>
      <w:r w:rsidRPr="00AA56C9">
        <w:rPr>
          <w:sz w:val="24"/>
          <w:szCs w:val="24"/>
          <w:lang w:val="hr-HR"/>
        </w:rPr>
        <w:t>).</w:t>
      </w:r>
    </w:p>
  </w:footnote>
  <w:footnote w:id="6">
    <w:p w14:paraId="0DCADB1B" w14:textId="6573AE56" w:rsidR="004D3D44" w:rsidRPr="00AA56C9" w:rsidRDefault="004D3D44" w:rsidP="006D46F4">
      <w:pPr>
        <w:pStyle w:val="FootnoteText"/>
        <w:ind w:left="567" w:hanging="567"/>
        <w:rPr>
          <w:sz w:val="24"/>
          <w:szCs w:val="24"/>
          <w:lang w:val="hr-HR"/>
        </w:rPr>
      </w:pPr>
      <w:r w:rsidRPr="00AA56C9">
        <w:rPr>
          <w:sz w:val="24"/>
          <w:szCs w:val="24"/>
          <w:vertAlign w:val="superscript"/>
          <w:lang w:val="hr-HR"/>
        </w:rPr>
        <w:t>6</w:t>
      </w:r>
      <w:r w:rsidR="006D46F4" w:rsidRPr="00AA56C9">
        <w:rPr>
          <w:sz w:val="24"/>
          <w:szCs w:val="24"/>
          <w:vertAlign w:val="superscript"/>
          <w:lang w:val="hr-HR"/>
        </w:rPr>
        <w:t xml:space="preserve"> </w:t>
      </w:r>
      <w:r w:rsidR="006D46F4" w:rsidRPr="00AA56C9">
        <w:rPr>
          <w:sz w:val="24"/>
          <w:szCs w:val="24"/>
          <w:vertAlign w:val="superscript"/>
          <w:lang w:val="hr-HR"/>
        </w:rPr>
        <w:tab/>
      </w:r>
      <w:r w:rsidRPr="00AA56C9">
        <w:rPr>
          <w:sz w:val="24"/>
          <w:szCs w:val="24"/>
          <w:lang w:val="hr-HR"/>
        </w:rPr>
        <w:t>Direktiva (EU) 2016/2341 Europskog parlamenta i Vijeća od 14. prosinca 2016. o djelatnostima i nadzoru institucija za strukovno mirovinsko osiguranje (SL L 354, 23.12.2016., str. </w:t>
      </w:r>
      <w:r w:rsidRPr="00AA56C9">
        <w:rPr>
          <w:sz w:val="24"/>
          <w:szCs w:val="24"/>
          <w:lang w:val="hr-HR"/>
        </w:rPr>
        <w:t xml:space="preserve">37., ELI: </w:t>
      </w:r>
      <w:hyperlink r:id="rId5" w:tgtFrame="http://data.europa.eu/eli/dir/2016/2341/oj" w:history="1">
        <w:r w:rsidRPr="00AA56C9">
          <w:rPr>
            <w:rStyle w:val="Hyperlink"/>
            <w:sz w:val="24"/>
            <w:szCs w:val="24"/>
            <w:lang w:val="hr-HR"/>
          </w:rPr>
          <w:t>http://data.europa.eu/eli/dir/2016/2341/oj</w:t>
        </w:r>
      </w:hyperlink>
      <w:r w:rsidRPr="00AA56C9">
        <w:rPr>
          <w:sz w:val="24"/>
          <w:szCs w:val="24"/>
          <w:lang w:val="hr-HR"/>
        </w:rPr>
        <w:t>).</w:t>
      </w:r>
    </w:p>
  </w:footnote>
  <w:footnote w:id="7">
    <w:p w14:paraId="3A445C4C" w14:textId="28B567CD" w:rsidR="004D3D44" w:rsidRPr="00AA56C9" w:rsidRDefault="004D3D44" w:rsidP="006D46F4">
      <w:pPr>
        <w:pStyle w:val="FootnoteText"/>
        <w:ind w:left="567" w:hanging="567"/>
        <w:rPr>
          <w:sz w:val="24"/>
          <w:szCs w:val="24"/>
          <w:lang w:val="hr-HR"/>
        </w:rPr>
      </w:pPr>
      <w:r w:rsidRPr="00AA56C9">
        <w:rPr>
          <w:sz w:val="24"/>
          <w:szCs w:val="24"/>
          <w:vertAlign w:val="superscript"/>
          <w:lang w:val="hr-HR"/>
        </w:rPr>
        <w:t>7</w:t>
      </w:r>
      <w:r w:rsidR="006D46F4" w:rsidRPr="00AA56C9">
        <w:rPr>
          <w:sz w:val="24"/>
          <w:szCs w:val="24"/>
          <w:vertAlign w:val="superscript"/>
          <w:lang w:val="hr-HR"/>
        </w:rPr>
        <w:t xml:space="preserve"> </w:t>
      </w:r>
      <w:r w:rsidR="006D46F4" w:rsidRPr="00AA56C9">
        <w:rPr>
          <w:sz w:val="24"/>
          <w:szCs w:val="24"/>
          <w:vertAlign w:val="superscript"/>
          <w:lang w:val="hr-HR"/>
        </w:rPr>
        <w:tab/>
      </w:r>
      <w:hyperlink r:id="rId6" w:tgtFrame="https://www.ecb.europa.eu/pub/pdf/fsr/ecb.fsr202505~0cde5244f6.en.pdf" w:history="1">
        <w:r w:rsidRPr="00AA56C9">
          <w:rPr>
            <w:rStyle w:val="Hyperlink"/>
            <w:sz w:val="24"/>
            <w:szCs w:val="24"/>
            <w:lang w:val="hr-HR"/>
          </w:rPr>
          <w:t xml:space="preserve">ESB, Financial </w:t>
        </w:r>
        <w:proofErr w:type="spellStart"/>
        <w:r w:rsidRPr="00AA56C9">
          <w:rPr>
            <w:rStyle w:val="Hyperlink"/>
            <w:sz w:val="24"/>
            <w:szCs w:val="24"/>
            <w:lang w:val="hr-HR"/>
          </w:rPr>
          <w:t>stability</w:t>
        </w:r>
        <w:proofErr w:type="spellEnd"/>
        <w:r w:rsidRPr="00AA56C9">
          <w:rPr>
            <w:rStyle w:val="Hyperlink"/>
            <w:sz w:val="24"/>
            <w:szCs w:val="24"/>
            <w:lang w:val="hr-HR"/>
          </w:rPr>
          <w:t xml:space="preserve"> </w:t>
        </w:r>
        <w:proofErr w:type="spellStart"/>
        <w:r w:rsidRPr="00AA56C9">
          <w:rPr>
            <w:rStyle w:val="Hyperlink"/>
            <w:sz w:val="24"/>
            <w:szCs w:val="24"/>
            <w:lang w:val="hr-HR"/>
          </w:rPr>
          <w:t>review</w:t>
        </w:r>
        <w:proofErr w:type="spellEnd"/>
        <w:r w:rsidRPr="00AA56C9">
          <w:rPr>
            <w:rStyle w:val="Hyperlink"/>
            <w:sz w:val="24"/>
            <w:szCs w:val="24"/>
            <w:lang w:val="hr-HR"/>
          </w:rPr>
          <w:t xml:space="preserve"> (Pregled financijske stabilnosti)</w:t>
        </w:r>
      </w:hyperlink>
      <w:r w:rsidRPr="00AA56C9">
        <w:rPr>
          <w:sz w:val="24"/>
          <w:szCs w:val="24"/>
          <w:lang w:val="hr-HR"/>
        </w:rPr>
        <w:t>, svibanj 2025., str. 78.</w:t>
      </w:r>
    </w:p>
  </w:footnote>
  <w:footnote w:id="8">
    <w:p w14:paraId="6B95A001" w14:textId="2A06E64B" w:rsidR="004D3D44" w:rsidRPr="00AA56C9" w:rsidRDefault="004D3D44" w:rsidP="006D46F4">
      <w:pPr>
        <w:pStyle w:val="FootnoteText"/>
        <w:ind w:left="567" w:hanging="567"/>
        <w:rPr>
          <w:sz w:val="24"/>
          <w:szCs w:val="24"/>
          <w:lang w:val="hr-HR"/>
        </w:rPr>
      </w:pPr>
      <w:r w:rsidRPr="00AA56C9">
        <w:rPr>
          <w:sz w:val="24"/>
          <w:szCs w:val="24"/>
          <w:vertAlign w:val="superscript"/>
          <w:lang w:val="hr-HR"/>
        </w:rPr>
        <w:t>8</w:t>
      </w:r>
      <w:r w:rsidR="006D46F4" w:rsidRPr="00AA56C9">
        <w:rPr>
          <w:sz w:val="24"/>
          <w:szCs w:val="24"/>
          <w:vertAlign w:val="superscript"/>
          <w:lang w:val="hr-HR"/>
        </w:rPr>
        <w:t xml:space="preserve"> </w:t>
      </w:r>
      <w:r w:rsidR="006D46F4" w:rsidRPr="00AA56C9">
        <w:rPr>
          <w:sz w:val="24"/>
          <w:szCs w:val="24"/>
          <w:vertAlign w:val="superscript"/>
          <w:lang w:val="hr-HR"/>
        </w:rPr>
        <w:tab/>
      </w:r>
      <w:r w:rsidRPr="00AA56C9">
        <w:rPr>
          <w:sz w:val="24"/>
          <w:szCs w:val="24"/>
          <w:lang w:val="hr-HR"/>
        </w:rPr>
        <w:t>Uredba (EU) 2017/1131 Europskog parlamenta i Vijeća od 14. lipnja 2017. o novčanim fondovima, SL L 169, 30.6.2017., str. </w:t>
      </w:r>
      <w:r w:rsidRPr="00AA56C9">
        <w:rPr>
          <w:sz w:val="24"/>
          <w:szCs w:val="24"/>
          <w:lang w:val="hr-HR"/>
        </w:rPr>
        <w:t xml:space="preserve">8., ELI: </w:t>
      </w:r>
      <w:hyperlink r:id="rId7" w:tgtFrame="http://data.europa.eu/eli/reg/2017/1131/oj" w:history="1">
        <w:r w:rsidRPr="00AA56C9">
          <w:rPr>
            <w:rStyle w:val="Hyperlink"/>
            <w:sz w:val="24"/>
            <w:szCs w:val="24"/>
            <w:lang w:val="hr-HR"/>
          </w:rPr>
          <w:t>http://data.europa.eu/eli/reg/2017/1131/oj</w:t>
        </w:r>
      </w:hyperlink>
      <w:r w:rsidRPr="00AA56C9">
        <w:rPr>
          <w:sz w:val="24"/>
          <w:szCs w:val="24"/>
          <w:lang w:val="hr-HR"/>
        </w:rPr>
        <w:t>).</w:t>
      </w:r>
    </w:p>
  </w:footnote>
  <w:footnote w:id="9">
    <w:p w14:paraId="662842BE" w14:textId="357EE52B" w:rsidR="004D3D44" w:rsidRPr="00AA56C9" w:rsidRDefault="004D3D44" w:rsidP="006D46F4">
      <w:pPr>
        <w:pStyle w:val="FootnoteText"/>
        <w:ind w:left="567" w:hanging="567"/>
        <w:rPr>
          <w:sz w:val="24"/>
          <w:szCs w:val="24"/>
          <w:lang w:val="hr-HR"/>
        </w:rPr>
      </w:pPr>
      <w:r w:rsidRPr="00AA56C9">
        <w:rPr>
          <w:sz w:val="24"/>
          <w:szCs w:val="24"/>
          <w:vertAlign w:val="superscript"/>
          <w:lang w:val="hr-HR"/>
        </w:rPr>
        <w:t>9</w:t>
      </w:r>
      <w:r w:rsidR="006D46F4" w:rsidRPr="00AA56C9">
        <w:rPr>
          <w:sz w:val="24"/>
          <w:szCs w:val="24"/>
          <w:vertAlign w:val="superscript"/>
          <w:lang w:val="hr-HR"/>
        </w:rPr>
        <w:t xml:space="preserve"> </w:t>
      </w:r>
      <w:r w:rsidR="006D46F4" w:rsidRPr="00AA56C9">
        <w:rPr>
          <w:sz w:val="24"/>
          <w:szCs w:val="24"/>
          <w:vertAlign w:val="superscript"/>
          <w:lang w:val="hr-HR"/>
        </w:rPr>
        <w:tab/>
      </w:r>
      <w:hyperlink r:id="rId8" w:tgtFrame="https://www.fsb.org/uploads/P221024-3.pdf" w:history="1">
        <w:r w:rsidRPr="00AA56C9">
          <w:rPr>
            <w:rStyle w:val="Hyperlink"/>
            <w:sz w:val="24"/>
            <w:szCs w:val="24"/>
            <w:lang w:val="hr-HR"/>
          </w:rPr>
          <w:t xml:space="preserve">Izvješće o statusu provedbe politike skupine G20 u vezi s </w:t>
        </w:r>
        <w:proofErr w:type="spellStart"/>
        <w:r w:rsidRPr="00AA56C9">
          <w:rPr>
            <w:rStyle w:val="Hyperlink"/>
            <w:sz w:val="24"/>
            <w:szCs w:val="24"/>
            <w:lang w:val="hr-HR"/>
          </w:rPr>
          <w:t>kriptoimovinom</w:t>
        </w:r>
        <w:proofErr w:type="spellEnd"/>
      </w:hyperlink>
      <w:r w:rsidRPr="00AA56C9">
        <w:rPr>
          <w:sz w:val="24"/>
          <w:szCs w:val="24"/>
          <w:lang w:val="hr-HR"/>
        </w:rPr>
        <w:t>. 22. listopada 2024.</w:t>
      </w:r>
    </w:p>
  </w:footnote>
  <w:footnote w:id="10">
    <w:p w14:paraId="319560F2" w14:textId="571E21BF" w:rsidR="004D3D44" w:rsidRPr="00AA56C9" w:rsidRDefault="004D3D44" w:rsidP="006D46F4">
      <w:pPr>
        <w:pStyle w:val="FootnoteText"/>
        <w:ind w:left="567" w:hanging="567"/>
        <w:rPr>
          <w:sz w:val="24"/>
          <w:szCs w:val="24"/>
          <w:lang w:val="hr-HR"/>
        </w:rPr>
      </w:pPr>
      <w:r w:rsidRPr="00AA56C9">
        <w:rPr>
          <w:sz w:val="24"/>
          <w:szCs w:val="24"/>
          <w:vertAlign w:val="superscript"/>
          <w:lang w:val="hr-HR"/>
        </w:rPr>
        <w:t>10</w:t>
      </w:r>
      <w:r w:rsidR="006D46F4" w:rsidRPr="00AA56C9">
        <w:rPr>
          <w:sz w:val="24"/>
          <w:szCs w:val="24"/>
          <w:vertAlign w:val="superscript"/>
          <w:lang w:val="hr-HR"/>
        </w:rPr>
        <w:t xml:space="preserve"> </w:t>
      </w:r>
      <w:r w:rsidR="006D46F4" w:rsidRPr="00AA56C9">
        <w:rPr>
          <w:sz w:val="24"/>
          <w:szCs w:val="24"/>
          <w:vertAlign w:val="superscript"/>
          <w:lang w:val="hr-HR"/>
        </w:rPr>
        <w:tab/>
      </w:r>
      <w:r w:rsidRPr="00AA56C9">
        <w:rPr>
          <w:sz w:val="24"/>
          <w:szCs w:val="24"/>
          <w:lang w:val="hr-HR"/>
        </w:rPr>
        <w:t>Uredba (EU) 2022/2554 Europskog parlamenta i Vijeća od 14. prosinca 2022. o digitalnoj operativnoj otpornosti za financijski sektor i izmjeni uredbi (EZ) br. 1060/2009, (EU) br. 648/2012, (EU) br. 600/2014, (EU) br. 909/2014 i (EU) 2016/1011 (SL L 333, 27.12.2022., str. </w:t>
      </w:r>
      <w:r w:rsidRPr="00AA56C9">
        <w:rPr>
          <w:sz w:val="24"/>
          <w:szCs w:val="24"/>
          <w:lang w:val="hr-HR"/>
        </w:rPr>
        <w:t xml:space="preserve">1., ELI: </w:t>
      </w:r>
      <w:hyperlink r:id="rId9" w:tgtFrame="http://data.europa.eu/eli/reg/2022/2554/oj" w:history="1">
        <w:r w:rsidRPr="00AA56C9">
          <w:rPr>
            <w:rStyle w:val="Hyperlink"/>
            <w:sz w:val="24"/>
            <w:szCs w:val="24"/>
            <w:lang w:val="hr-HR"/>
          </w:rPr>
          <w:t>http://data.europa.eu/eli/reg/2022/2554/oj</w:t>
        </w:r>
      </w:hyperlink>
      <w:r w:rsidRPr="00AA56C9">
        <w:rPr>
          <w:sz w:val="24"/>
          <w:szCs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8CCAE" w14:textId="77777777" w:rsidR="00064002" w:rsidRPr="006D46F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D1600" w14:textId="77777777" w:rsidR="00064002" w:rsidRPr="006D46F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48605" w14:textId="77777777" w:rsidR="00064002" w:rsidRPr="006D46F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94777677">
    <w:abstractNumId w:val="9"/>
  </w:num>
  <w:num w:numId="2" w16cid:durableId="360083867">
    <w:abstractNumId w:val="9"/>
  </w:num>
  <w:num w:numId="3" w16cid:durableId="1459570771">
    <w:abstractNumId w:val="7"/>
  </w:num>
  <w:num w:numId="4" w16cid:durableId="658580304">
    <w:abstractNumId w:val="7"/>
  </w:num>
  <w:num w:numId="5" w16cid:durableId="79330332">
    <w:abstractNumId w:val="6"/>
  </w:num>
  <w:num w:numId="6" w16cid:durableId="238372043">
    <w:abstractNumId w:val="6"/>
  </w:num>
  <w:num w:numId="7" w16cid:durableId="230045815">
    <w:abstractNumId w:val="5"/>
  </w:num>
  <w:num w:numId="8" w16cid:durableId="941571070">
    <w:abstractNumId w:val="5"/>
  </w:num>
  <w:num w:numId="9" w16cid:durableId="1085304872">
    <w:abstractNumId w:val="4"/>
  </w:num>
  <w:num w:numId="10" w16cid:durableId="489061676">
    <w:abstractNumId w:val="4"/>
  </w:num>
  <w:num w:numId="11" w16cid:durableId="1785540942">
    <w:abstractNumId w:val="8"/>
  </w:num>
  <w:num w:numId="12" w16cid:durableId="375006564">
    <w:abstractNumId w:val="8"/>
  </w:num>
  <w:num w:numId="13" w16cid:durableId="451943436">
    <w:abstractNumId w:val="3"/>
  </w:num>
  <w:num w:numId="14" w16cid:durableId="406264325">
    <w:abstractNumId w:val="3"/>
  </w:num>
  <w:num w:numId="15" w16cid:durableId="1181580894">
    <w:abstractNumId w:val="2"/>
  </w:num>
  <w:num w:numId="16" w16cid:durableId="1464346628">
    <w:abstractNumId w:val="2"/>
  </w:num>
  <w:num w:numId="17" w16cid:durableId="150022840">
    <w:abstractNumId w:val="1"/>
  </w:num>
  <w:num w:numId="18" w16cid:durableId="196700481">
    <w:abstractNumId w:val="1"/>
  </w:num>
  <w:num w:numId="19" w16cid:durableId="879054467">
    <w:abstractNumId w:val="0"/>
  </w:num>
  <w:num w:numId="20" w16cid:durableId="240680158">
    <w:abstractNumId w:val="0"/>
  </w:num>
  <w:num w:numId="21" w16cid:durableId="803085325">
    <w:abstractNumId w:val="9"/>
  </w:num>
  <w:num w:numId="22" w16cid:durableId="703334431">
    <w:abstractNumId w:val="7"/>
  </w:num>
  <w:num w:numId="23" w16cid:durableId="2040927609">
    <w:abstractNumId w:val="6"/>
  </w:num>
  <w:num w:numId="24" w16cid:durableId="263156127">
    <w:abstractNumId w:val="5"/>
  </w:num>
  <w:num w:numId="25" w16cid:durableId="1940136411">
    <w:abstractNumId w:val="4"/>
  </w:num>
  <w:num w:numId="26" w16cid:durableId="846289830">
    <w:abstractNumId w:val="8"/>
  </w:num>
  <w:num w:numId="27" w16cid:durableId="1765806309">
    <w:abstractNumId w:val="3"/>
  </w:num>
  <w:num w:numId="28" w16cid:durableId="110710139">
    <w:abstractNumId w:val="2"/>
  </w:num>
  <w:num w:numId="29" w16cid:durableId="854852489">
    <w:abstractNumId w:val="1"/>
  </w:num>
  <w:num w:numId="30" w16cid:durableId="1893497468">
    <w:abstractNumId w:val="0"/>
  </w:num>
  <w:num w:numId="31" w16cid:durableId="1562402612">
    <w:abstractNumId w:val="9"/>
  </w:num>
  <w:num w:numId="32" w16cid:durableId="832716297">
    <w:abstractNumId w:val="7"/>
  </w:num>
  <w:num w:numId="33" w16cid:durableId="433592082">
    <w:abstractNumId w:val="6"/>
  </w:num>
  <w:num w:numId="34" w16cid:durableId="602228807">
    <w:abstractNumId w:val="5"/>
  </w:num>
  <w:num w:numId="35" w16cid:durableId="1426533597">
    <w:abstractNumId w:val="4"/>
  </w:num>
  <w:num w:numId="36" w16cid:durableId="480193696">
    <w:abstractNumId w:val="8"/>
  </w:num>
  <w:num w:numId="37" w16cid:durableId="1704474044">
    <w:abstractNumId w:val="3"/>
  </w:num>
  <w:num w:numId="38" w16cid:durableId="490602546">
    <w:abstractNumId w:val="2"/>
  </w:num>
  <w:num w:numId="39" w16cid:durableId="171575678">
    <w:abstractNumId w:val="1"/>
  </w:num>
  <w:num w:numId="40" w16cid:durableId="851839147">
    <w:abstractNumId w:val="0"/>
  </w:num>
  <w:num w:numId="41" w16cid:durableId="574556310">
    <w:abstractNumId w:val="10"/>
  </w:num>
  <w:num w:numId="42" w16cid:durableId="115028948">
    <w:abstractNumId w:val="10"/>
  </w:num>
  <w:num w:numId="43" w16cid:durableId="85923285">
    <w:abstractNumId w:val="10"/>
  </w:num>
  <w:num w:numId="44" w16cid:durableId="11267788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2/2025"/>
    <w:docVar w:name="dvlangue" w:val="HR"/>
    <w:docVar w:name="dvnumam" w:val="0"/>
    <w:docVar w:name="dvpe" w:val="771.960"/>
    <w:docVar w:name="dvrapporteur" w:val="Izvjestitelj: "/>
    <w:docVar w:name="dvtitre" w:val="Rezolucija Europskog parlamenta od .... 2026. o zaštiti i promicanju financijske stabilnosti u kontekstu gospodarskih nesigurnosti(2025/2051(INI))"/>
  </w:docVars>
  <w:rsids>
    <w:rsidRoot w:val="000A7877"/>
    <w:rsid w:val="00002272"/>
    <w:rsid w:val="00035B35"/>
    <w:rsid w:val="00064002"/>
    <w:rsid w:val="000677B9"/>
    <w:rsid w:val="000831BA"/>
    <w:rsid w:val="000A42CC"/>
    <w:rsid w:val="000A7877"/>
    <w:rsid w:val="000E7DD9"/>
    <w:rsid w:val="0010095E"/>
    <w:rsid w:val="00125B37"/>
    <w:rsid w:val="00187494"/>
    <w:rsid w:val="001F32AE"/>
    <w:rsid w:val="002767FF"/>
    <w:rsid w:val="002B18FE"/>
    <w:rsid w:val="002B5493"/>
    <w:rsid w:val="00343214"/>
    <w:rsid w:val="00361C00"/>
    <w:rsid w:val="00395FA1"/>
    <w:rsid w:val="003E15D4"/>
    <w:rsid w:val="00405C70"/>
    <w:rsid w:val="00411CCE"/>
    <w:rsid w:val="0041666E"/>
    <w:rsid w:val="00421060"/>
    <w:rsid w:val="00471C19"/>
    <w:rsid w:val="004867E3"/>
    <w:rsid w:val="00494A28"/>
    <w:rsid w:val="004C0004"/>
    <w:rsid w:val="004C5D52"/>
    <w:rsid w:val="004D3D44"/>
    <w:rsid w:val="004F5CD1"/>
    <w:rsid w:val="0050519A"/>
    <w:rsid w:val="005072A1"/>
    <w:rsid w:val="00514517"/>
    <w:rsid w:val="00545827"/>
    <w:rsid w:val="00560270"/>
    <w:rsid w:val="005A5CD0"/>
    <w:rsid w:val="005C2568"/>
    <w:rsid w:val="005E752E"/>
    <w:rsid w:val="005F1B17"/>
    <w:rsid w:val="006037C0"/>
    <w:rsid w:val="006631B6"/>
    <w:rsid w:val="00680577"/>
    <w:rsid w:val="006A5D83"/>
    <w:rsid w:val="006D46F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25CF"/>
    <w:rsid w:val="00A1687D"/>
    <w:rsid w:val="00A43E52"/>
    <w:rsid w:val="00A4678D"/>
    <w:rsid w:val="00A778C7"/>
    <w:rsid w:val="00AA56C9"/>
    <w:rsid w:val="00AB441E"/>
    <w:rsid w:val="00AB6293"/>
    <w:rsid w:val="00AE0928"/>
    <w:rsid w:val="00AF3B82"/>
    <w:rsid w:val="00AF4EC6"/>
    <w:rsid w:val="00B12E95"/>
    <w:rsid w:val="00B22876"/>
    <w:rsid w:val="00B558F0"/>
    <w:rsid w:val="00B9761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5390"/>
    <w:rsid w:val="00E365E1"/>
    <w:rsid w:val="00E820A4"/>
    <w:rsid w:val="00EB006A"/>
    <w:rsid w:val="00EB4772"/>
    <w:rsid w:val="00ED169E"/>
    <w:rsid w:val="00ED4235"/>
    <w:rsid w:val="00F04346"/>
    <w:rsid w:val="00F075DC"/>
    <w:rsid w:val="00F149E9"/>
    <w:rsid w:val="00F3265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3CF5E9"/>
  <w15:chartTrackingRefBased/>
  <w15:docId w15:val="{E3010048-9C6E-4BCE-A384-69F27A145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4D3D44"/>
    <w:pPr>
      <w:widowControl/>
      <w:spacing w:after="240"/>
    </w:pPr>
    <w:rPr>
      <w:szCs w:val="24"/>
      <w:lang w:eastAsia="en-US"/>
    </w:rPr>
  </w:style>
  <w:style w:type="paragraph" w:customStyle="1" w:styleId="NormalHanging12a">
    <w:name w:val="NormalHanging12a"/>
    <w:basedOn w:val="Normal"/>
    <w:rsid w:val="004D3D44"/>
    <w:pPr>
      <w:widowControl/>
      <w:spacing w:after="240"/>
      <w:ind w:left="566" w:hanging="566"/>
    </w:pPr>
    <w:rPr>
      <w:szCs w:val="24"/>
      <w:lang w:eastAsia="en-US"/>
    </w:rPr>
  </w:style>
  <w:style w:type="paragraph" w:customStyle="1" w:styleId="Normal12">
    <w:name w:val="Normal12"/>
    <w:basedOn w:val="Normal"/>
    <w:rsid w:val="004D3D44"/>
    <w:pPr>
      <w:widowControl/>
      <w:spacing w:after="240"/>
    </w:pPr>
    <w:rPr>
      <w:szCs w:val="24"/>
      <w:lang w:eastAsia="en-US"/>
    </w:rPr>
  </w:style>
  <w:style w:type="paragraph" w:customStyle="1" w:styleId="NormalHanging">
    <w:name w:val="NormalHanging"/>
    <w:basedOn w:val="Normal"/>
    <w:rsid w:val="004D3D44"/>
    <w:pPr>
      <w:widowControl/>
      <w:spacing w:after="240"/>
      <w:ind w:left="566" w:hanging="566"/>
    </w:pPr>
    <w:rPr>
      <w:szCs w:val="24"/>
      <w:lang w:eastAsia="en-US"/>
    </w:rPr>
  </w:style>
  <w:style w:type="paragraph" w:customStyle="1" w:styleId="NormalCenter12a">
    <w:name w:val="NormalCenter12a"/>
    <w:basedOn w:val="Normal"/>
    <w:rsid w:val="004D3D44"/>
    <w:pPr>
      <w:widowControl/>
      <w:spacing w:after="240"/>
      <w:jc w:val="center"/>
    </w:pPr>
    <w:rPr>
      <w:szCs w:val="24"/>
      <w:lang w:eastAsia="en-US"/>
    </w:rPr>
  </w:style>
  <w:style w:type="character" w:styleId="Hyperlink">
    <w:name w:val="Hyperlink"/>
    <w:basedOn w:val="DefaultParagraphFont"/>
    <w:rsid w:val="004D3D44"/>
    <w:rPr>
      <w:color w:val="0000FF"/>
      <w:u w:val="single"/>
    </w:rPr>
  </w:style>
  <w:style w:type="character" w:styleId="FollowedHyperlink">
    <w:name w:val="FollowedHyperlink"/>
    <w:basedOn w:val="DefaultParagraphFont"/>
    <w:rsid w:val="00F3265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EN/ALL/?uri=CELEX:52024DC0021"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www.fsb.org/uploads/P221024-3.pdf" TargetMode="External"/><Relationship Id="rId3" Type="http://schemas.openxmlformats.org/officeDocument/2006/relationships/hyperlink" Target="http://data.europa.eu/eli/dir/2019/2034/oj" TargetMode="External"/><Relationship Id="rId7" Type="http://schemas.openxmlformats.org/officeDocument/2006/relationships/hyperlink" Target="http://data.europa.eu/eli/reg/2017/1131/oj" TargetMode="External"/><Relationship Id="rId2" Type="http://schemas.openxmlformats.org/officeDocument/2006/relationships/hyperlink" Target="http://data.europa.eu/eli/reg/2017/1131/oj" TargetMode="External"/><Relationship Id="rId1" Type="http://schemas.openxmlformats.org/officeDocument/2006/relationships/hyperlink" Target="http://data.europa.eu/eli/dir/2011/61/oj" TargetMode="External"/><Relationship Id="rId6" Type="http://schemas.openxmlformats.org/officeDocument/2006/relationships/hyperlink" Target="https://www.ecb.europa.eu/pub/pdf/fsr/ecb.fsr202505~0cde5244f6.en.pdf" TargetMode="External"/><Relationship Id="rId5" Type="http://schemas.openxmlformats.org/officeDocument/2006/relationships/hyperlink" Target="http://data.europa.eu/eli/dir/2016/2341/oj" TargetMode="External"/><Relationship Id="rId4" Type="http://schemas.openxmlformats.org/officeDocument/2006/relationships/hyperlink" Target="http://data.europa.eu/eli/reg/2019/2033/oj" TargetMode="External"/><Relationship Id="rId9" Type="http://schemas.openxmlformats.org/officeDocument/2006/relationships/hyperlink" Target="http://data.europa.eu/eli/reg/2022/25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2638</Words>
  <Characters>17359</Characters>
  <Application>Microsoft Office Word</Application>
  <DocSecurity>0</DocSecurity>
  <Lines>144</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BULJAN Jakov</cp:lastModifiedBy>
  <cp:revision>2</cp:revision>
  <cp:lastPrinted>2004-11-19T15:42:00Z</cp:lastPrinted>
  <dcterms:created xsi:type="dcterms:W3CDTF">2026-02-23T16:01:00Z</dcterms:created>
  <dcterms:modified xsi:type="dcterms:W3CDTF">2026-02-23T16:01:00Z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A10-0232/2025</vt:lpwstr>
  </property>
  <property fmtid="{D5CDD505-2E9C-101B-9397-08002B2CF9AE}" pid="4" name="&lt;Type&gt;">
    <vt:lpwstr>RR</vt:lpwstr>
  </property>
</Properties>
</file>