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4531" w14:paraId="6905CD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0FB541" w14:textId="43F4C17B" w:rsidR="00751A4A" w:rsidRPr="00334531" w:rsidRDefault="00EE0FDC" w:rsidP="0010095E">
            <w:pPr>
              <w:pStyle w:val="EPName"/>
            </w:pPr>
            <w:r w:rsidRPr="00334531">
              <w:t>Európai Parlament</w:t>
            </w:r>
          </w:p>
          <w:p w14:paraId="37A93BAE" w14:textId="77777777" w:rsidR="00751A4A" w:rsidRPr="003345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4531">
              <w:t>2024</w:t>
            </w:r>
            <w:r w:rsidR="00817416" w:rsidRPr="00334531">
              <w:t>-202</w:t>
            </w:r>
            <w:r w:rsidRPr="00334531">
              <w:t>9</w:t>
            </w:r>
          </w:p>
        </w:tc>
        <w:tc>
          <w:tcPr>
            <w:tcW w:w="2268" w:type="dxa"/>
            <w:shd w:val="clear" w:color="auto" w:fill="auto"/>
          </w:tcPr>
          <w:p w14:paraId="72635D79" w14:textId="77777777" w:rsidR="00751A4A" w:rsidRPr="00334531" w:rsidRDefault="00187494" w:rsidP="0010095E">
            <w:pPr>
              <w:pStyle w:val="EPLogo"/>
            </w:pPr>
            <w:r w:rsidRPr="00334531">
              <w:rPr>
                <w:noProof/>
                <w:lang w:eastAsia="ja-JP"/>
              </w:rPr>
              <w:drawing>
                <wp:inline distT="0" distB="0" distL="0" distR="0" wp14:anchorId="4496239F" wp14:editId="4EE16F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BA4815" w14:textId="77777777" w:rsidR="00D058B8" w:rsidRPr="00334531" w:rsidRDefault="00D058B8" w:rsidP="004C5D52">
      <w:pPr>
        <w:pStyle w:val="LineTop"/>
      </w:pPr>
    </w:p>
    <w:p w14:paraId="6B6C0393" w14:textId="272FB358" w:rsidR="00680577" w:rsidRPr="00334531" w:rsidRDefault="00EE0FDC" w:rsidP="00680577">
      <w:pPr>
        <w:pStyle w:val="EPBodyTA1"/>
      </w:pPr>
      <w:r w:rsidRPr="00334531">
        <w:t>ELFOGADOTT SZÖVEGEK</w:t>
      </w:r>
    </w:p>
    <w:p w14:paraId="29D21637" w14:textId="77777777" w:rsidR="00D058B8" w:rsidRPr="00334531" w:rsidRDefault="00D058B8" w:rsidP="00D058B8">
      <w:pPr>
        <w:pStyle w:val="LineBottom"/>
      </w:pPr>
    </w:p>
    <w:p w14:paraId="0209B080" w14:textId="39BCB76D" w:rsidR="00EE0FDC" w:rsidRPr="00334531" w:rsidRDefault="00EE0FDC" w:rsidP="00EE0FDC">
      <w:pPr>
        <w:pStyle w:val="ATHeading1"/>
      </w:pPr>
      <w:bookmarkStart w:id="0" w:name="TANumber"/>
      <w:r w:rsidRPr="00334531">
        <w:t>P10_</w:t>
      </w:r>
      <w:proofErr w:type="gramStart"/>
      <w:r w:rsidRPr="00334531">
        <w:t>TA(</w:t>
      </w:r>
      <w:proofErr w:type="gramEnd"/>
      <w:r w:rsidRPr="00334531">
        <w:t>202</w:t>
      </w:r>
      <w:r w:rsidR="00BC18F9" w:rsidRPr="00334531">
        <w:t>6</w:t>
      </w:r>
      <w:r w:rsidRPr="00334531">
        <w:t>)000</w:t>
      </w:r>
      <w:r w:rsidR="00334531" w:rsidRPr="00334531">
        <w:t>4</w:t>
      </w:r>
      <w:bookmarkEnd w:id="0"/>
    </w:p>
    <w:p w14:paraId="2F75E6F3" w14:textId="656348FE" w:rsidR="00EE0FDC" w:rsidRPr="00334531" w:rsidRDefault="0094014F" w:rsidP="00EE0FDC">
      <w:pPr>
        <w:pStyle w:val="ATHeading2"/>
      </w:pPr>
      <w:bookmarkStart w:id="1" w:name="title"/>
      <w:r w:rsidRPr="00334531">
        <w:t>A pénzügyi stabilitás megőrzése és előmozdítása a gazdasági bizonytalanságok közepette</w:t>
      </w:r>
      <w:bookmarkEnd w:id="1"/>
    </w:p>
    <w:p w14:paraId="5389BD68" w14:textId="77777777" w:rsidR="00EE0FDC" w:rsidRPr="00334531" w:rsidRDefault="00EE0FDC" w:rsidP="00EE0FDC">
      <w:pPr>
        <w:rPr>
          <w:i/>
          <w:vanish/>
        </w:rPr>
      </w:pPr>
      <w:r w:rsidRPr="00334531">
        <w:rPr>
          <w:i/>
        </w:rPr>
        <w:fldChar w:fldCharType="begin"/>
      </w:r>
      <w:r w:rsidRPr="00334531">
        <w:rPr>
          <w:i/>
        </w:rPr>
        <w:instrText xml:space="preserve"> TC"(</w:instrText>
      </w:r>
      <w:bookmarkStart w:id="2" w:name="DocNumber"/>
      <w:r w:rsidRPr="00334531">
        <w:rPr>
          <w:i/>
        </w:rPr>
        <w:instrText>A10-0232/2025</w:instrText>
      </w:r>
      <w:bookmarkEnd w:id="2"/>
      <w:r w:rsidRPr="00334531">
        <w:rPr>
          <w:i/>
        </w:rPr>
        <w:instrText xml:space="preserve"> - Előadó: Johan Van </w:instrText>
      </w:r>
      <w:proofErr w:type="spellStart"/>
      <w:r w:rsidRPr="00334531">
        <w:rPr>
          <w:i/>
        </w:rPr>
        <w:instrText>Overtveldt</w:instrText>
      </w:r>
      <w:proofErr w:type="spellEnd"/>
      <w:r w:rsidRPr="00334531">
        <w:rPr>
          <w:i/>
        </w:rPr>
        <w:instrText xml:space="preserve">)"\l3 \n&gt; \* MERGEFORMAT </w:instrText>
      </w:r>
      <w:r w:rsidRPr="00334531">
        <w:rPr>
          <w:i/>
        </w:rPr>
        <w:fldChar w:fldCharType="end"/>
      </w:r>
    </w:p>
    <w:p w14:paraId="1256F597" w14:textId="77777777" w:rsidR="00EE0FDC" w:rsidRPr="00334531" w:rsidRDefault="00EE0FDC" w:rsidP="00EE0FDC">
      <w:pPr>
        <w:rPr>
          <w:vanish/>
        </w:rPr>
      </w:pPr>
      <w:bookmarkStart w:id="3" w:name="Commission"/>
      <w:r w:rsidRPr="00334531">
        <w:rPr>
          <w:vanish/>
        </w:rPr>
        <w:t>Gazdasági és Monetáris Bizottság</w:t>
      </w:r>
      <w:bookmarkEnd w:id="3"/>
    </w:p>
    <w:p w14:paraId="03D1D6D9" w14:textId="77777777" w:rsidR="00EE0FDC" w:rsidRPr="00334531" w:rsidRDefault="00EE0FDC" w:rsidP="00EE0FDC">
      <w:pPr>
        <w:rPr>
          <w:vanish/>
        </w:rPr>
      </w:pPr>
      <w:bookmarkStart w:id="4" w:name="PE"/>
      <w:r w:rsidRPr="00334531">
        <w:rPr>
          <w:vanish/>
        </w:rPr>
        <w:t>PE771.960</w:t>
      </w:r>
      <w:bookmarkEnd w:id="4"/>
    </w:p>
    <w:p w14:paraId="143D3601" w14:textId="6A027CA7" w:rsidR="00EE0FDC" w:rsidRPr="00334531" w:rsidRDefault="00EE0FDC" w:rsidP="00EE0FDC">
      <w:pPr>
        <w:pStyle w:val="ATHeading3"/>
      </w:pPr>
      <w:bookmarkStart w:id="5" w:name="Sujet"/>
      <w:r w:rsidRPr="00334531">
        <w:t xml:space="preserve">Az Európai Parlament 2026. </w:t>
      </w:r>
      <w:r w:rsidR="00780140" w:rsidRPr="00334531">
        <w:t>január</w:t>
      </w:r>
      <w:r w:rsidRPr="00334531">
        <w:t xml:space="preserve"> </w:t>
      </w:r>
      <w:r w:rsidR="0094014F" w:rsidRPr="00334531">
        <w:t>20-</w:t>
      </w:r>
      <w:r w:rsidRPr="00334531">
        <w:t>i állásfoglalása a pénzügyi stabilitás megőrzéséről és előmozdításáról a gazdasági bizonytalanságok közepette</w:t>
      </w:r>
      <w:bookmarkEnd w:id="5"/>
      <w:r w:rsidRPr="00334531">
        <w:t xml:space="preserve"> </w:t>
      </w:r>
      <w:bookmarkStart w:id="6" w:name="References"/>
      <w:r w:rsidRPr="00334531">
        <w:t>(2025/2051(INI))</w:t>
      </w:r>
      <w:bookmarkEnd w:id="6"/>
    </w:p>
    <w:p w14:paraId="11155CCD" w14:textId="77777777" w:rsidR="00ED5C98" w:rsidRPr="00334531" w:rsidRDefault="00ED5C98" w:rsidP="00BC18F9">
      <w:pPr>
        <w:pStyle w:val="Normal12"/>
        <w:spacing w:before="360"/>
      </w:pPr>
      <w:r w:rsidRPr="00334531">
        <w:rPr>
          <w:i/>
        </w:rPr>
        <w:t>Az Európai Parlament</w:t>
      </w:r>
      <w:r w:rsidRPr="00334531">
        <w:t>,</w:t>
      </w:r>
    </w:p>
    <w:p w14:paraId="7B95E4E8" w14:textId="53B577EF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 xml:space="preserve">tekintettel a Bizottság 2024. január 24-i jelentésére az Európai Parlamentnek és a Tanácsnak a hitelintézetekre vonatkozó </w:t>
      </w:r>
      <w:proofErr w:type="spellStart"/>
      <w:r w:rsidRPr="00334531">
        <w:t>prudenciális</w:t>
      </w:r>
      <w:proofErr w:type="spellEnd"/>
      <w:r w:rsidRPr="00334531">
        <w:t xml:space="preserve"> követelményekről és a 648/2012/EU rendelet módosításáról szóló, 2013. június 26-i 575/2013/EU európai parlamenti és tanácsi rendelet 513. cikkével összhangban a hitelintézetekre vonatkozó </w:t>
      </w:r>
      <w:proofErr w:type="spellStart"/>
      <w:r w:rsidRPr="00334531">
        <w:t>makroprudenciális</w:t>
      </w:r>
      <w:proofErr w:type="spellEnd"/>
      <w:r w:rsidRPr="00334531">
        <w:t xml:space="preserve"> felülvizsgálatról, a banknak nem minősülő pénzügyi közvetítőkhöz (NBFI-k) kapcsolódó rendszerszintű kockázatokról és ezen közvetítők hitelintézetekkel való összekapcsoltságáról (COM(2024)0021),</w:t>
      </w:r>
    </w:p>
    <w:p w14:paraId="407BA093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az Európai Központi Bank (EKB) 2024. májusi pénzügyi stabilitási elemzésére,</w:t>
      </w:r>
    </w:p>
    <w:p w14:paraId="61CC10D3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az EKB 2025. májusi pénzügyi stabilitási elemzésére,</w:t>
      </w:r>
    </w:p>
    <w:p w14:paraId="6CAE5E4B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 Nemzetközi Fizetések Bankjának a nemzetközi banki és pénzügyi piaci fejleményekről szóló, 2025. márciusi negyedéves felülvizsgálatára,</w:t>
      </w:r>
    </w:p>
    <w:p w14:paraId="786455CF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 Pénzügyi Stabilitási Tanács (FSB) elnökének a G20-ak pénzügyminisztereihez és jegybankelnökeihez intézett, 2025. február 21-i levelére,</w:t>
      </w:r>
    </w:p>
    <w:p w14:paraId="3C3CDC10" w14:textId="7EEAFF13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 xml:space="preserve">tekintettel az FSB „A G20-ak </w:t>
      </w:r>
      <w:proofErr w:type="spellStart"/>
      <w:r w:rsidRPr="00334531">
        <w:t>kriptoeszköz</w:t>
      </w:r>
      <w:proofErr w:type="spellEnd"/>
      <w:r w:rsidRPr="00334531">
        <w:t>-politikájának végrehajtási ütemterve” című</w:t>
      </w:r>
      <w:r w:rsidR="00780140" w:rsidRPr="00334531">
        <w:t>, 2024. október 22-i</w:t>
      </w:r>
      <w:r w:rsidRPr="00334531">
        <w:t xml:space="preserve"> helyzetjelentésére,</w:t>
      </w:r>
    </w:p>
    <w:p w14:paraId="05D32104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 xml:space="preserve">tekintettel az FSB „Szakpolitikai javaslatok a pénzpiaci alapok </w:t>
      </w:r>
      <w:proofErr w:type="spellStart"/>
      <w:r w:rsidRPr="00334531">
        <w:t>rezilienciájának</w:t>
      </w:r>
      <w:proofErr w:type="spellEnd"/>
      <w:r w:rsidRPr="00334531">
        <w:t xml:space="preserve"> fokozására. Zárójelentés” című, 2021. októberi jelentésére,</w:t>
      </w:r>
    </w:p>
    <w:p w14:paraId="0FA649B5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 xml:space="preserve">tekintettel az Európai Rendszerkockázati Testület (ERKT) 2024. novemberi válaszára, amelyet „A </w:t>
      </w:r>
      <w:proofErr w:type="spellStart"/>
      <w:r w:rsidRPr="00334531">
        <w:t>makroprudenciális</w:t>
      </w:r>
      <w:proofErr w:type="spellEnd"/>
      <w:r w:rsidRPr="00334531">
        <w:t xml:space="preserve"> politika rendszerszintű megközelítése” című, a nem </w:t>
      </w:r>
      <w:r w:rsidRPr="00334531">
        <w:lastRenderedPageBreak/>
        <w:t xml:space="preserve">banki pénzügyi közvetítésre vonatkozó </w:t>
      </w:r>
      <w:proofErr w:type="spellStart"/>
      <w:r w:rsidRPr="00334531">
        <w:t>makroprudenciális</w:t>
      </w:r>
      <w:proofErr w:type="spellEnd"/>
      <w:r w:rsidRPr="00334531">
        <w:t xml:space="preserve"> politikák megfelelőségét értékelő bizottsági konzultációra adott,</w:t>
      </w:r>
    </w:p>
    <w:p w14:paraId="79666184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az ERKT 2025. februári, a pénzpiaci alapok reformjáról szóló, 2021. december 2-i ERKT-ajánlásról szóló megfelelési jelentésére (ESRB/2021/9),</w:t>
      </w:r>
    </w:p>
    <w:p w14:paraId="67B81111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az európai felügyeleti hatóságok vegyes bizottságának (2025. tavaszi,) az uniós pénzügyi rendszerben rejlő kockázatokról és sebezhető pontokról szóló, 2025. március 31-i frissített jelentésére,</w:t>
      </w:r>
    </w:p>
    <w:p w14:paraId="1B73ACCB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az Európai Értékpapírpiaci Hatóságnak (ESMA) a pénzpiaci alapokról szóló rendelet felülvizsgálatáról szóló, 2022. február 14-i véleményére,</w:t>
      </w:r>
    </w:p>
    <w:p w14:paraId="3FB8A5A3" w14:textId="184880AE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 xml:space="preserve">tekintettel a Nemzetközi Valutaalap (IMF) </w:t>
      </w:r>
      <w:r w:rsidR="00780140" w:rsidRPr="00334531">
        <w:t>„</w:t>
      </w:r>
      <w:r w:rsidRPr="00334531">
        <w:t xml:space="preserve">Global Financial </w:t>
      </w:r>
      <w:proofErr w:type="spellStart"/>
      <w:r w:rsidRPr="00334531">
        <w:t>Stability</w:t>
      </w:r>
      <w:proofErr w:type="spellEnd"/>
      <w:r w:rsidRPr="00334531">
        <w:t xml:space="preserve"> </w:t>
      </w:r>
      <w:proofErr w:type="spellStart"/>
      <w:r w:rsidRPr="00334531">
        <w:t>Report</w:t>
      </w:r>
      <w:proofErr w:type="spellEnd"/>
      <w:r w:rsidR="0094014F" w:rsidRPr="00334531">
        <w:t>”</w:t>
      </w:r>
      <w:r w:rsidRPr="00334531">
        <w:t xml:space="preserve"> (Globális pénzügyi stabilitási jelentés) című</w:t>
      </w:r>
      <w:r w:rsidR="00780140" w:rsidRPr="00334531">
        <w:t>, 2025. április 22-i</w:t>
      </w:r>
      <w:r w:rsidRPr="00334531">
        <w:t xml:space="preserve"> jelentésére,</w:t>
      </w:r>
    </w:p>
    <w:p w14:paraId="29B73967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 xml:space="preserve">tekintettel Mario </w:t>
      </w:r>
      <w:proofErr w:type="spellStart"/>
      <w:r w:rsidRPr="00334531">
        <w:t>Draghi</w:t>
      </w:r>
      <w:proofErr w:type="spellEnd"/>
      <w:r w:rsidRPr="00334531">
        <w:t xml:space="preserve"> „Az európai versenyképesség jövője” című, 2024. szeptember 9-i jelentésére (a </w:t>
      </w:r>
      <w:proofErr w:type="spellStart"/>
      <w:r w:rsidRPr="00334531">
        <w:t>Draghi</w:t>
      </w:r>
      <w:proofErr w:type="spellEnd"/>
      <w:r w:rsidRPr="00334531">
        <w:t>-jelentés),</w:t>
      </w:r>
    </w:p>
    <w:p w14:paraId="7522006D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Enrico Letta „Jóval több mint piac” című, 2024. április 17-i jelentésére (a Letta-jelentés),</w:t>
      </w:r>
    </w:p>
    <w:p w14:paraId="347757E6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 pénzügyi, gazdasági és szociális válságról szóló, 2011. július 6-i állásfoglalására: a szükséges intézkedésekre és kezdeményezésekre irányuló ajánlások</w:t>
      </w:r>
      <w:r w:rsidRPr="00334531">
        <w:rPr>
          <w:rStyle w:val="FootnoteReference"/>
        </w:rPr>
        <w:footnoteReference w:customMarkFollows="1" w:id="1"/>
        <w:t>1</w:t>
      </w:r>
      <w:r w:rsidRPr="00334531">
        <w:t>,</w:t>
      </w:r>
    </w:p>
    <w:p w14:paraId="6173E799" w14:textId="46173E93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 Gazdasági és Monetáris Bizottság</w:t>
      </w:r>
      <w:r w:rsidR="0094014F" w:rsidRPr="00334531">
        <w:t>ának</w:t>
      </w:r>
      <w:r w:rsidRPr="00334531">
        <w:t xml:space="preserve"> „A bankunió – 2024. évi éves jelentés” című, 2025. március 26-i jelentésére,</w:t>
      </w:r>
    </w:p>
    <w:p w14:paraId="3688B8A4" w14:textId="307D4198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 Gazdasági és Monetáris Bizottság</w:t>
      </w:r>
      <w:r w:rsidR="0094014F" w:rsidRPr="00334531">
        <w:t>ának</w:t>
      </w:r>
      <w:r w:rsidRPr="00334531">
        <w:t xml:space="preserve"> az EU-ban működő nem banki pénzügyi intézményekre vonatkozó </w:t>
      </w:r>
      <w:proofErr w:type="spellStart"/>
      <w:r w:rsidRPr="00334531">
        <w:t>makroprudenciális</w:t>
      </w:r>
      <w:proofErr w:type="spellEnd"/>
      <w:r w:rsidRPr="00334531">
        <w:t xml:space="preserve"> keret megfelelőségének értékeléséről</w:t>
      </w:r>
      <w:r w:rsidR="00780140" w:rsidRPr="00334531">
        <w:t xml:space="preserve"> szóló, 2025. március 19-i meghallgatására</w:t>
      </w:r>
      <w:r w:rsidRPr="00334531">
        <w:t>,</w:t>
      </w:r>
    </w:p>
    <w:p w14:paraId="3620402C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eljárási szabályzata 55. cikkére,</w:t>
      </w:r>
    </w:p>
    <w:p w14:paraId="0E4AB499" w14:textId="77777777" w:rsidR="00ED5C98" w:rsidRPr="00334531" w:rsidRDefault="00ED5C98" w:rsidP="00BC18F9">
      <w:pPr>
        <w:pStyle w:val="NormalHanging"/>
        <w:ind w:left="567" w:hanging="567"/>
      </w:pPr>
      <w:r w:rsidRPr="00334531">
        <w:t>–</w:t>
      </w:r>
      <w:r w:rsidRPr="00334531">
        <w:tab/>
        <w:t>tekintettel a Gazdasági és Monetáris Bizottság jelentésére (A10-0232/2025),</w:t>
      </w:r>
    </w:p>
    <w:p w14:paraId="62FF188A" w14:textId="77777777" w:rsidR="00ED5C98" w:rsidRPr="00334531" w:rsidRDefault="00ED5C98" w:rsidP="00BC18F9">
      <w:pPr>
        <w:pStyle w:val="NormalHanging"/>
        <w:ind w:left="567" w:hanging="567"/>
      </w:pPr>
      <w:r w:rsidRPr="00334531">
        <w:t>A.</w:t>
      </w:r>
      <w:r w:rsidRPr="00334531">
        <w:tab/>
        <w:t xml:space="preserve">mivel a pénzügyi stabilitás továbbra is a gazdasági </w:t>
      </w:r>
      <w:proofErr w:type="spellStart"/>
      <w:r w:rsidRPr="00334531">
        <w:t>reziliencia</w:t>
      </w:r>
      <w:proofErr w:type="spellEnd"/>
      <w:r w:rsidRPr="00334531">
        <w:t xml:space="preserve"> és jólét sarkalatos pontja, és éberséget igényel a nagy gazdasági bizonytalanságokkal, külső sokkhatásokkal és rendszerszintű kockázatokkal szemben;</w:t>
      </w:r>
    </w:p>
    <w:p w14:paraId="6F5D407E" w14:textId="77777777" w:rsidR="00ED5C98" w:rsidRPr="00334531" w:rsidRDefault="00ED5C98" w:rsidP="00BC18F9">
      <w:pPr>
        <w:pStyle w:val="NormalHanging"/>
        <w:ind w:left="567" w:hanging="567"/>
      </w:pPr>
      <w:r w:rsidRPr="00334531">
        <w:t>B.</w:t>
      </w:r>
      <w:r w:rsidRPr="00334531">
        <w:tab/>
        <w:t>mivel a globális pénzügyi válság megmutatta a globális méreteket öltő pénzügyi instabilitás fejlett gazdaságokat érintő kockázatait;</w:t>
      </w:r>
    </w:p>
    <w:p w14:paraId="67802439" w14:textId="77777777" w:rsidR="00ED5C98" w:rsidRPr="00334531" w:rsidRDefault="00ED5C98" w:rsidP="00BC18F9">
      <w:pPr>
        <w:pStyle w:val="NormalHanging"/>
        <w:ind w:left="567" w:hanging="567"/>
      </w:pPr>
      <w:r w:rsidRPr="00334531">
        <w:t>C.</w:t>
      </w:r>
      <w:r w:rsidRPr="00334531">
        <w:tab/>
        <w:t>mivel Oroszország Ukrajna elleni folytatódó agressziója és annak gazdasági következményei inflációs nyomáshoz, az energiapiacok volatilitásához és pénzügyi bizonytalansághoz vezettek;</w:t>
      </w:r>
    </w:p>
    <w:p w14:paraId="39FA81B0" w14:textId="77777777" w:rsidR="00ED5C98" w:rsidRPr="00334531" w:rsidRDefault="00ED5C98" w:rsidP="00BC18F9">
      <w:pPr>
        <w:pStyle w:val="NormalHanging"/>
        <w:ind w:left="567" w:hanging="567"/>
      </w:pPr>
      <w:r w:rsidRPr="00334531">
        <w:lastRenderedPageBreak/>
        <w:t>D.</w:t>
      </w:r>
      <w:r w:rsidRPr="00334531">
        <w:tab/>
        <w:t>mivel a vámok kivetése hozzájárul a globális kereskedelem széttagoltságához, súlyosbítja az ellátási lánc zavarait, és további kockázatokat jelent a pénzügyi piacokra és a tágabb értelemben vett gazdaságra nézve;</w:t>
      </w:r>
    </w:p>
    <w:p w14:paraId="5A4E14C1" w14:textId="77777777" w:rsidR="00ED5C98" w:rsidRPr="00334531" w:rsidRDefault="00ED5C98" w:rsidP="00BC18F9">
      <w:pPr>
        <w:pStyle w:val="NormalHanging"/>
        <w:ind w:left="567" w:hanging="567"/>
      </w:pPr>
      <w:r w:rsidRPr="00334531">
        <w:t>E.</w:t>
      </w:r>
      <w:r w:rsidRPr="00334531">
        <w:tab/>
        <w:t>mivel a jól integrált tőkepiaci unió elengedhetetlen a sokkhatások enyhítéséhez, az EU-n belüli beruházások ösztönzéséhez, valamint az egységes piac további integrációjához;</w:t>
      </w:r>
    </w:p>
    <w:p w14:paraId="007F0576" w14:textId="77777777" w:rsidR="00ED5C98" w:rsidRPr="00334531" w:rsidRDefault="00ED5C98" w:rsidP="00BC18F9">
      <w:pPr>
        <w:pStyle w:val="NormalHanging"/>
        <w:ind w:left="567" w:hanging="567"/>
      </w:pPr>
      <w:r w:rsidRPr="00334531">
        <w:t>F.</w:t>
      </w:r>
      <w:r w:rsidRPr="00334531">
        <w:tab/>
        <w:t>mivel az NBFI-k stabilitása még fontosabb lesz, ha az Európai Unió a finanszírozásából többet helyez át a tőkepiacokra;</w:t>
      </w:r>
    </w:p>
    <w:p w14:paraId="24012F13" w14:textId="77777777" w:rsidR="00ED5C98" w:rsidRPr="00334531" w:rsidRDefault="00ED5C98" w:rsidP="00BC18F9">
      <w:pPr>
        <w:pStyle w:val="NormalHanging"/>
        <w:ind w:left="567" w:hanging="567"/>
      </w:pPr>
      <w:r w:rsidRPr="00334531">
        <w:t>G.</w:t>
      </w:r>
      <w:r w:rsidRPr="00334531">
        <w:tab/>
        <w:t>mivel az NBFI-k nagyon különböző ágazatokban működnek;</w:t>
      </w:r>
    </w:p>
    <w:p w14:paraId="5C77B003" w14:textId="77777777" w:rsidR="00ED5C98" w:rsidRPr="00334531" w:rsidRDefault="00ED5C98" w:rsidP="00BC18F9">
      <w:pPr>
        <w:pStyle w:val="NormalHanging"/>
        <w:ind w:left="567" w:hanging="567"/>
      </w:pPr>
      <w:r w:rsidRPr="00334531">
        <w:t>H.</w:t>
      </w:r>
      <w:r w:rsidRPr="00334531">
        <w:tab/>
        <w:t>mivel a kereskedelmi feszültségek által súlyosbított, lemaradó gazdasági növekedés kedvezőtlen hatással van a tőkeáttétellel működő szervezetekre, és növelni fogja a pénzügyi intézmények hitelkockázatát;</w:t>
      </w:r>
    </w:p>
    <w:p w14:paraId="76A84CB3" w14:textId="77777777" w:rsidR="00ED5C98" w:rsidRPr="00334531" w:rsidRDefault="00ED5C98" w:rsidP="00BC18F9">
      <w:pPr>
        <w:pStyle w:val="NormalHanging"/>
        <w:ind w:left="567" w:hanging="567"/>
      </w:pPr>
      <w:r w:rsidRPr="00334531">
        <w:t>I.</w:t>
      </w:r>
      <w:r w:rsidRPr="00334531">
        <w:tab/>
        <w:t>mivel a részvény- és vállalati adósságpiacokon végzett magas eszközértékelés aggályokat vet fel a rendszerszintű következményekkel járó piaci korrekció lehetőségével kapcsolatban;</w:t>
      </w:r>
    </w:p>
    <w:p w14:paraId="31935CE0" w14:textId="77777777" w:rsidR="00ED5C98" w:rsidRPr="00334531" w:rsidRDefault="00ED5C98" w:rsidP="00BC18F9">
      <w:pPr>
        <w:pStyle w:val="NormalHanging"/>
        <w:ind w:left="567" w:hanging="567"/>
      </w:pPr>
      <w:r w:rsidRPr="00334531">
        <w:t>J.</w:t>
      </w:r>
      <w:r w:rsidRPr="00334531">
        <w:tab/>
        <w:t>mivel az alacsony törlesztőkamatok jellemezte körülményekből előnyt kovácsoló lakóingatlan-ágazat kulcsszerepet játszik a pénzügyi stabilitásban, mivel központi helyet foglal el a gazdaságban, a háztartások vagyonának jelentős része az ingatlanokban koncentrálódik, a pénzügyi szektor kulcsfontosságú szerepet játszik az ingatlanbefektetések finanszírozásában, valamint az ingatlanok hitelpiacokon biztosítékként betöltött kulcsfontosságú funkciója miatt;</w:t>
      </w:r>
    </w:p>
    <w:p w14:paraId="7D5EBBF0" w14:textId="77777777" w:rsidR="00ED5C98" w:rsidRPr="00334531" w:rsidRDefault="00ED5C98" w:rsidP="00BC18F9">
      <w:pPr>
        <w:pStyle w:val="NormalHanging"/>
        <w:ind w:left="567" w:hanging="567"/>
      </w:pPr>
      <w:r w:rsidRPr="00334531">
        <w:t>K.</w:t>
      </w:r>
      <w:r w:rsidRPr="00334531">
        <w:tab/>
        <w:t>mivel a pénzügyi ágazatok összetettsége és összekapcsolódása egyre fontosabbá vált, és az NBFI-k a bankok és a tágabb értelemben vett gazdaság nettó hitelezői;</w:t>
      </w:r>
    </w:p>
    <w:p w14:paraId="365CD9BA" w14:textId="77777777" w:rsidR="00ED5C98" w:rsidRPr="00334531" w:rsidRDefault="00ED5C98" w:rsidP="00BC18F9">
      <w:pPr>
        <w:pStyle w:val="NormalHanging"/>
        <w:ind w:left="567" w:hanging="567"/>
      </w:pPr>
      <w:r w:rsidRPr="00334531">
        <w:t>L.</w:t>
      </w:r>
      <w:r w:rsidRPr="00334531">
        <w:tab/>
        <w:t>mivel a stratégiai pénzügyi piacokon, például az államkötvénypiacokon nőtt az NBFI-k lábnyoma, amit az is bizonyít, hogy a 2025. áprilisi tarifaválság idején a fedezeti alapok felszámolták a fizikai teljesítéstől függő jövőbeli alapügyleteket az Egyesült Államok kincstári piacán;</w:t>
      </w:r>
    </w:p>
    <w:p w14:paraId="23199202" w14:textId="77777777" w:rsidR="00ED5C98" w:rsidRPr="00334531" w:rsidRDefault="00ED5C98" w:rsidP="00BC18F9">
      <w:pPr>
        <w:pStyle w:val="NormalHanging"/>
        <w:ind w:left="567" w:hanging="567"/>
      </w:pPr>
      <w:r w:rsidRPr="00334531">
        <w:t>M.</w:t>
      </w:r>
      <w:r w:rsidRPr="00334531">
        <w:tab/>
        <w:t xml:space="preserve">mivel a célzott reformok növelhetik az uniós pénzpiaci alapok </w:t>
      </w:r>
      <w:proofErr w:type="spellStart"/>
      <w:r w:rsidRPr="00334531">
        <w:t>rezilienciáját</w:t>
      </w:r>
      <w:proofErr w:type="spellEnd"/>
      <w:r w:rsidRPr="00334531">
        <w:t>, a nemzetközi normákkal összhangban;</w:t>
      </w:r>
    </w:p>
    <w:p w14:paraId="27031D9C" w14:textId="77777777" w:rsidR="00ED5C98" w:rsidRPr="00334531" w:rsidRDefault="00ED5C98" w:rsidP="00BC18F9">
      <w:pPr>
        <w:pStyle w:val="NormalHanging"/>
        <w:ind w:left="567" w:hanging="567"/>
      </w:pPr>
      <w:r w:rsidRPr="00334531">
        <w:t>N.</w:t>
      </w:r>
      <w:r w:rsidRPr="00334531">
        <w:tab/>
        <w:t xml:space="preserve">mivel a pénzügyi ágazat továbbra is kiszolgáltatott a </w:t>
      </w:r>
      <w:proofErr w:type="spellStart"/>
      <w:r w:rsidRPr="00334531">
        <w:t>kiberfenyegetésekkel</w:t>
      </w:r>
      <w:proofErr w:type="spellEnd"/>
      <w:r w:rsidRPr="00334531">
        <w:t>, a hibrid hadviselési taktikákkal és a rejtett tőkeáttétellel szemben, amelyek destabilizálhatják a kritikus pénzügyi infrastruktúrát;</w:t>
      </w:r>
    </w:p>
    <w:p w14:paraId="3D93BD11" w14:textId="77777777" w:rsidR="00ED5C98" w:rsidRPr="00334531" w:rsidRDefault="00ED5C98" w:rsidP="00BC18F9">
      <w:pPr>
        <w:pStyle w:val="Normal12a"/>
        <w:ind w:left="567" w:hanging="567"/>
      </w:pPr>
      <w:r w:rsidRPr="00334531">
        <w:rPr>
          <w:b/>
          <w:bCs/>
          <w:i/>
          <w:iCs/>
        </w:rPr>
        <w:t>Bankunió és tőkepiaci unió:</w:t>
      </w:r>
      <w:r w:rsidRPr="00334531">
        <w:rPr>
          <w:b/>
          <w:i/>
        </w:rPr>
        <w:t xml:space="preserve"> sokkcsillapítás és ellenálló képesség</w:t>
      </w:r>
    </w:p>
    <w:p w14:paraId="67C91562" w14:textId="77777777" w:rsidR="00ED5C98" w:rsidRPr="00334531" w:rsidRDefault="00ED5C98" w:rsidP="00BC18F9">
      <w:pPr>
        <w:pStyle w:val="NormalHanging12a"/>
        <w:ind w:left="567" w:hanging="567"/>
      </w:pPr>
      <w:r w:rsidRPr="00334531">
        <w:t>1.</w:t>
      </w:r>
      <w:r w:rsidRPr="00334531">
        <w:tab/>
        <w:t xml:space="preserve">üdvözli az EU termelékenysége és versenyképessége többek között a jobban integrált tőkepiacok és az erőforrás-hatékony gazdaság révén történő fokozásának szükségességéről – amint azt a </w:t>
      </w:r>
      <w:proofErr w:type="spellStart"/>
      <w:r w:rsidRPr="00334531">
        <w:t>Draghi</w:t>
      </w:r>
      <w:proofErr w:type="spellEnd"/>
      <w:r w:rsidRPr="00334531">
        <w:t>- és Letta-jelentés is körvonalazza – szóló megújult vitát;</w:t>
      </w:r>
    </w:p>
    <w:p w14:paraId="28463322" w14:textId="77777777" w:rsidR="00ED5C98" w:rsidRPr="00334531" w:rsidRDefault="00ED5C98" w:rsidP="00BC18F9">
      <w:pPr>
        <w:pStyle w:val="NormalHanging12a"/>
        <w:ind w:left="567" w:hanging="567"/>
      </w:pPr>
      <w:r w:rsidRPr="00334531">
        <w:t>2.</w:t>
      </w:r>
      <w:r w:rsidRPr="00334531">
        <w:tab/>
        <w:t>felhívja a Bizottságot, hogy kezelje prioritásként a tőkepiaci unió menetrendjét, amely támogatja az EU versenyképességét, ugyanakkor nem akadályozza a pénzügyi stabilitást;</w:t>
      </w:r>
    </w:p>
    <w:p w14:paraId="282473B9" w14:textId="77777777" w:rsidR="00ED5C98" w:rsidRPr="00334531" w:rsidRDefault="00ED5C98" w:rsidP="00BC18F9">
      <w:pPr>
        <w:pStyle w:val="NormalHanging12a"/>
        <w:ind w:left="567" w:hanging="567"/>
      </w:pPr>
      <w:r w:rsidRPr="00334531">
        <w:lastRenderedPageBreak/>
        <w:t>3.</w:t>
      </w:r>
      <w:r w:rsidRPr="00334531">
        <w:tab/>
        <w:t>hangsúlyozza a tőkepiaci unió azon célját, hogy hatékonyabban mozgósítsa a magántőkét az uniós beruházási hiány megszüntetése érdekében, valamint azt a szerepet, amelyet a tőkepiaci unió a sokkhatások enyhítésében játszhat; hangsúlyozza, hogy a tőkepiaci unió menetrendjének hozzá kell járulnia az EU pénzügyi rendszerében tapasztalható strukturális egyensúlyhiányok korrekciójához is; sajnálatát fejezi ki amiatt, hogy továbbra is fennáll a hitelfinanszírozás adóelőnye;</w:t>
      </w:r>
    </w:p>
    <w:p w14:paraId="197847EB" w14:textId="77777777" w:rsidR="00ED5C98" w:rsidRPr="00334531" w:rsidRDefault="00ED5C98" w:rsidP="00BC18F9">
      <w:pPr>
        <w:pStyle w:val="NormalHanging12a"/>
        <w:ind w:left="567" w:hanging="567"/>
      </w:pPr>
      <w:r w:rsidRPr="00334531">
        <w:t>4.</w:t>
      </w:r>
      <w:r w:rsidRPr="00334531">
        <w:tab/>
        <w:t>elismeri, hogy a bankunió kiteljesítésének stratégiai prioritásnak kell lennie a gazdasági és monetáris unió elmélyítésében;</w:t>
      </w:r>
    </w:p>
    <w:p w14:paraId="366BAF54" w14:textId="77777777" w:rsidR="00ED5C98" w:rsidRPr="00334531" w:rsidRDefault="00ED5C98" w:rsidP="00BC18F9">
      <w:pPr>
        <w:pStyle w:val="NormalHanging12a"/>
        <w:ind w:left="567" w:hanging="567"/>
      </w:pPr>
      <w:r w:rsidRPr="00334531">
        <w:t>5.</w:t>
      </w:r>
      <w:r w:rsidRPr="00334531">
        <w:tab/>
        <w:t xml:space="preserve">tudomásul veszi a koherensebb felügyelet hiányában az </w:t>
      </w:r>
      <w:proofErr w:type="spellStart"/>
      <w:r w:rsidRPr="00334531">
        <w:t>integráltabb</w:t>
      </w:r>
      <w:proofErr w:type="spellEnd"/>
      <w:r w:rsidRPr="00334531">
        <w:t xml:space="preserve"> pénzügyi piacokból eredő kihívásokat, beleértve egyrészt a hatékony kockázatmegosztás és -diverzifikáció, másrészt a tovagyűrűző, áttevődő és felerősödő kockázatok közötti kompromisszumot;</w:t>
      </w:r>
    </w:p>
    <w:p w14:paraId="5C3202C1" w14:textId="77777777" w:rsidR="00ED5C98" w:rsidRPr="00334531" w:rsidRDefault="00ED5C98" w:rsidP="00BC18F9">
      <w:pPr>
        <w:pStyle w:val="NormalHanging12a"/>
        <w:ind w:left="567" w:hanging="567"/>
      </w:pPr>
      <w:r w:rsidRPr="00334531">
        <w:t>6.</w:t>
      </w:r>
      <w:r w:rsidRPr="00334531">
        <w:tab/>
        <w:t>elismeri, hogy a határokon átnyúló banki konszolidáció tekintetében egyensúlyt kell teremteni egyrészt a földrajzi diverzifikáció, a határokon átnyúló pénzügyi szolgáltatások, a méretgazdaságosság, valamint a bankok és az államháztartások közötti kapcsolat esetleges gyengülése, másrészt a „túl nagy ahhoz, hogy csődbe menjen” bankok problémája, a kisebb pénzügyi központok esetleges gyengülése, valamint a kis- és középvállalkozásokkal (kkv-k) és a helyi gazdaságokkal való kapcsolatok között;</w:t>
      </w:r>
    </w:p>
    <w:p w14:paraId="05A08CC5" w14:textId="77777777" w:rsidR="00ED5C98" w:rsidRPr="00334531" w:rsidRDefault="00ED5C98" w:rsidP="00BC18F9">
      <w:pPr>
        <w:pStyle w:val="NormalHanging12a"/>
        <w:ind w:left="567" w:hanging="567"/>
      </w:pPr>
      <w:r w:rsidRPr="00334531">
        <w:t>7.</w:t>
      </w:r>
      <w:r w:rsidRPr="00334531">
        <w:tab/>
        <w:t>megjegyzi, hogy a rendszerszintű kockázat a kisebb intézményekből is eredhet, mivel azok egymással nagymértékben korreláló mérlegeket mutathatnak;</w:t>
      </w:r>
    </w:p>
    <w:p w14:paraId="7B450F32" w14:textId="77777777" w:rsidR="00ED5C98" w:rsidRPr="00334531" w:rsidRDefault="00ED5C98" w:rsidP="00BC18F9">
      <w:pPr>
        <w:pStyle w:val="NormalHanging12a"/>
        <w:ind w:left="567" w:hanging="567"/>
      </w:pPr>
      <w:r w:rsidRPr="00334531">
        <w:t>8.</w:t>
      </w:r>
      <w:r w:rsidRPr="00334531">
        <w:tab/>
        <w:t xml:space="preserve">hangsúlyozza a </w:t>
      </w:r>
      <w:proofErr w:type="spellStart"/>
      <w:r w:rsidRPr="00334531">
        <w:t>tőkéhez</w:t>
      </w:r>
      <w:proofErr w:type="spellEnd"/>
      <w:r w:rsidRPr="00334531">
        <w:t xml:space="preserve"> való hozzáférés fontosságát, különösen a kkv-k számára, mint például a növekvő vállalkozásoknak nyújtott kockázati tőke, a pénzügyi stabilitás megőrzése és annak biztosítása mellett, hogy a növekedés és a </w:t>
      </w:r>
      <w:proofErr w:type="spellStart"/>
      <w:r w:rsidRPr="00334531">
        <w:t>reziliencia</w:t>
      </w:r>
      <w:proofErr w:type="spellEnd"/>
      <w:r w:rsidRPr="00334531">
        <w:t xml:space="preserve"> kéz a kézben járjon;</w:t>
      </w:r>
    </w:p>
    <w:p w14:paraId="2364E2C2" w14:textId="77777777" w:rsidR="00ED5C98" w:rsidRPr="00334531" w:rsidRDefault="00ED5C98" w:rsidP="00BC18F9">
      <w:pPr>
        <w:pStyle w:val="Normal12a"/>
        <w:ind w:left="567" w:hanging="567"/>
      </w:pPr>
      <w:r w:rsidRPr="00334531">
        <w:rPr>
          <w:b/>
          <w:i/>
        </w:rPr>
        <w:t>Makroszintű pénzügyi kockázatok és geopolitikai instabilitás</w:t>
      </w:r>
    </w:p>
    <w:p w14:paraId="705BEE09" w14:textId="77777777" w:rsidR="00ED5C98" w:rsidRPr="00334531" w:rsidRDefault="00ED5C98" w:rsidP="00BC18F9">
      <w:pPr>
        <w:pStyle w:val="NormalHanging12a"/>
        <w:ind w:left="567" w:hanging="567"/>
      </w:pPr>
      <w:r w:rsidRPr="00334531">
        <w:t>9.</w:t>
      </w:r>
      <w:r w:rsidRPr="00334531">
        <w:tab/>
        <w:t>kiemeli az EKB-</w:t>
      </w:r>
      <w:proofErr w:type="spellStart"/>
      <w:r w:rsidRPr="00334531">
        <w:t>nak</w:t>
      </w:r>
      <w:proofErr w:type="spellEnd"/>
      <w:r w:rsidRPr="00334531">
        <w:t xml:space="preserve"> az árstabilitás fenntartására irányuló elsődleges célkitűzését, valamint az ERKT, az európai felügyeleti hatóságok és a központi bankok kulcsfontosságú szerepét az Unió pénzügyi stabilitásához való hozzájárulásban;</w:t>
      </w:r>
    </w:p>
    <w:p w14:paraId="11C7CD01" w14:textId="77777777" w:rsidR="00ED5C98" w:rsidRPr="00334531" w:rsidRDefault="00ED5C98" w:rsidP="00BC18F9">
      <w:pPr>
        <w:pStyle w:val="NormalHanging12a"/>
        <w:ind w:left="567" w:hanging="567"/>
      </w:pPr>
      <w:r w:rsidRPr="00334531">
        <w:t>10.</w:t>
      </w:r>
      <w:r w:rsidRPr="00334531">
        <w:tab/>
        <w:t>emlékeztet arra, hogy az eurórendszer a monetáris dominancia elvére épül; felszólít az EKB mint a pénzügyi stabilitást támogató tényező függetlenségének megőrzésére;</w:t>
      </w:r>
    </w:p>
    <w:p w14:paraId="39104B0C" w14:textId="77777777" w:rsidR="00ED5C98" w:rsidRPr="00334531" w:rsidRDefault="00ED5C98" w:rsidP="00BC18F9">
      <w:pPr>
        <w:pStyle w:val="NormalHanging12a"/>
        <w:ind w:left="567" w:hanging="567"/>
      </w:pPr>
      <w:r w:rsidRPr="00334531">
        <w:t>11.</w:t>
      </w:r>
      <w:r w:rsidRPr="00334531">
        <w:tab/>
        <w:t>hangsúlyozza, hogy egyes központi banki piaci beavatkozások olyan piaci torzulások kockázatával járnak, amelyek hatással lehetnek a pénzügyi stabilitásra;</w:t>
      </w:r>
    </w:p>
    <w:p w14:paraId="411BE13A" w14:textId="77777777" w:rsidR="00ED5C98" w:rsidRPr="00334531" w:rsidRDefault="00ED5C98" w:rsidP="00BC18F9">
      <w:pPr>
        <w:pStyle w:val="NormalHanging12a"/>
        <w:ind w:left="567" w:hanging="567"/>
      </w:pPr>
      <w:r w:rsidRPr="00334531">
        <w:t>12.</w:t>
      </w:r>
      <w:r w:rsidRPr="00334531">
        <w:tab/>
        <w:t>tudomásul veszi az Unió külső sokkhatásoknak való kitettségét a külföldi pénzügyi piacokkal és szervezetekkel való szoros összefonódások, az uniós pénzügyi ágazat nem uniós szolgáltatóktól való függése, valamint a geopolitikai bizonytalanság közepette növekvő kereskedelmi feszültségekből eredő nyomás miatt;</w:t>
      </w:r>
    </w:p>
    <w:p w14:paraId="659C4E0D" w14:textId="77777777" w:rsidR="00ED5C98" w:rsidRPr="00334531" w:rsidRDefault="00ED5C98" w:rsidP="00BC18F9">
      <w:pPr>
        <w:pStyle w:val="NormalHanging12a"/>
        <w:ind w:left="567" w:hanging="567"/>
      </w:pPr>
      <w:r w:rsidRPr="00334531">
        <w:t>13.</w:t>
      </w:r>
      <w:r w:rsidRPr="00334531">
        <w:tab/>
        <w:t>hangsúlyozza a magas államadósság és hiány kockázatát; emlékeztet arra, hogy a 2008-as pénzügyi válságot és az azt követő euróövezeti válságot az államadósság fenntarthatóságával kapcsolatos piaci aggályok, az akkori nem megfelelő banki szabályozási keret és az összekapcsolt pénzügyi rendszereken keresztüli átterjedés váltotta ki;</w:t>
      </w:r>
    </w:p>
    <w:p w14:paraId="386B3CB6" w14:textId="77777777" w:rsidR="00ED5C98" w:rsidRPr="00334531" w:rsidRDefault="00ED5C98" w:rsidP="00BC18F9">
      <w:pPr>
        <w:pStyle w:val="NormalHanging12a"/>
        <w:ind w:left="567" w:hanging="567"/>
      </w:pPr>
      <w:r w:rsidRPr="00334531">
        <w:lastRenderedPageBreak/>
        <w:t>14.</w:t>
      </w:r>
      <w:r w:rsidRPr="00334531">
        <w:tab/>
        <w:t xml:space="preserve">figyelmeztet a pénzügyi szektorra gyakorolt </w:t>
      </w:r>
      <w:proofErr w:type="spellStart"/>
      <w:r w:rsidRPr="00334531">
        <w:t>továbbgyűrűző</w:t>
      </w:r>
      <w:proofErr w:type="spellEnd"/>
      <w:r w:rsidRPr="00334531">
        <w:t xml:space="preserve"> hatásokra; e tekintetben tudomásul veszi a rendszerszintű sebezhetőségek enyhítésére irányuló felhívásokat; hangsúlyozza azonban, hogy a jövőbeli fejlemények nem áshatják alá a nemzeti költségvetési felelősségeket;</w:t>
      </w:r>
    </w:p>
    <w:p w14:paraId="0504F2DB" w14:textId="77777777" w:rsidR="00ED5C98" w:rsidRPr="00334531" w:rsidRDefault="00ED5C98" w:rsidP="00BC18F9">
      <w:pPr>
        <w:pStyle w:val="NormalHanging12a"/>
        <w:ind w:left="567" w:hanging="567"/>
      </w:pPr>
      <w:r w:rsidRPr="00334531">
        <w:t>15.</w:t>
      </w:r>
      <w:r w:rsidRPr="00334531">
        <w:tab/>
        <w:t>felhívja a Bizottságot, hogy a rendezett és fenntartható államháztartás biztosítása érdekében érvényesítse az EU gazdasági kormányzási keretének való megfelelést és a Stabilitási és Növekedési Paktum költségvetési szabályaival való konvergenciát;</w:t>
      </w:r>
    </w:p>
    <w:p w14:paraId="29E55BC8" w14:textId="77777777" w:rsidR="00ED5C98" w:rsidRPr="00334531" w:rsidRDefault="00ED5C98" w:rsidP="00BC18F9">
      <w:pPr>
        <w:pStyle w:val="NormalHanging12a"/>
        <w:ind w:left="567" w:hanging="567"/>
      </w:pPr>
      <w:r w:rsidRPr="00334531">
        <w:t>16.</w:t>
      </w:r>
      <w:r w:rsidRPr="00334531">
        <w:tab/>
        <w:t>elismeri, hogy az euróövezet pénzügyi és intézményi struktúrájának megerősítését célzó strukturális reformok és a piac széttöredezettségének csökkentése növelheti az euró nemzetközi szerepét, és potenciálisan megerősítheti a pénzügyi és monetáris stabilitást; tudomásul veszi a digitális euróról folyó vitákat;</w:t>
      </w:r>
    </w:p>
    <w:p w14:paraId="5EFEBF2D" w14:textId="77777777" w:rsidR="00ED5C98" w:rsidRPr="00334531" w:rsidRDefault="00ED5C98" w:rsidP="00BC18F9">
      <w:pPr>
        <w:pStyle w:val="NormalHanging12a"/>
        <w:ind w:left="567" w:hanging="567"/>
      </w:pPr>
      <w:r w:rsidRPr="00334531">
        <w:t>17.</w:t>
      </w:r>
      <w:r w:rsidRPr="00334531">
        <w:tab/>
        <w:t xml:space="preserve">kiemeli a magas tőkeáttételű pénzügyi intézményekből eredő potenciális instabilitást, elismerve ugyanakkor, hogy azok olyan gazdasági szerepet játszhatnak, mint a fedezeti ügyletek, a piaci likviditás javítása, az </w:t>
      </w:r>
      <w:proofErr w:type="spellStart"/>
      <w:r w:rsidRPr="00334531">
        <w:t>árfeltárás</w:t>
      </w:r>
      <w:proofErr w:type="spellEnd"/>
      <w:r w:rsidRPr="00334531">
        <w:t xml:space="preserve"> vagy a kockázatmegosztás;</w:t>
      </w:r>
    </w:p>
    <w:p w14:paraId="6DF9120A" w14:textId="77777777" w:rsidR="00ED5C98" w:rsidRPr="00334531" w:rsidRDefault="00ED5C98" w:rsidP="00BC18F9">
      <w:pPr>
        <w:pStyle w:val="NormalHanging12a"/>
        <w:ind w:left="567" w:hanging="567"/>
      </w:pPr>
      <w:r w:rsidRPr="00334531">
        <w:t>18.</w:t>
      </w:r>
      <w:r w:rsidRPr="00334531">
        <w:tab/>
        <w:t xml:space="preserve">hangsúlyozza, hogy fontos a </w:t>
      </w:r>
      <w:proofErr w:type="spellStart"/>
      <w:r w:rsidRPr="00334531">
        <w:t>makroprudenciális</w:t>
      </w:r>
      <w:proofErr w:type="spellEnd"/>
      <w:r w:rsidRPr="00334531">
        <w:t xml:space="preserve"> felügyeletek között, rendszerszintű kockázatelemzés és felügyelet terén folytatott koordináció, valamint ezek összeegyeztetése a </w:t>
      </w:r>
      <w:proofErr w:type="spellStart"/>
      <w:r w:rsidRPr="00334531">
        <w:t>mikroprudenciális</w:t>
      </w:r>
      <w:proofErr w:type="spellEnd"/>
      <w:r w:rsidRPr="00334531">
        <w:t xml:space="preserve"> felügyelettel a kompatibilitás biztosításáért;</w:t>
      </w:r>
    </w:p>
    <w:p w14:paraId="0735EAAB" w14:textId="77777777" w:rsidR="00ED5C98" w:rsidRPr="00334531" w:rsidRDefault="00ED5C98" w:rsidP="00BC18F9">
      <w:pPr>
        <w:pStyle w:val="NormalHanging12a"/>
        <w:ind w:left="567" w:hanging="567"/>
      </w:pPr>
      <w:r w:rsidRPr="00334531">
        <w:t>19.</w:t>
      </w:r>
      <w:r w:rsidRPr="00334531">
        <w:tab/>
        <w:t>elismeri az éghajlati és természeti veszélyek fizikai kockázatainak és az éghajlattal kapcsolatos átállási kockázatoknak a gyakoribb megnyilvánulásaiból eredő, a pénzügyi stabilitást fenyegető potenciális kockázatokat;</w:t>
      </w:r>
    </w:p>
    <w:p w14:paraId="3A785E4A" w14:textId="77777777" w:rsidR="00ED5C98" w:rsidRPr="00334531" w:rsidRDefault="00ED5C98" w:rsidP="00BC18F9">
      <w:pPr>
        <w:pStyle w:val="Normal12a"/>
        <w:ind w:left="567" w:hanging="567"/>
        <w:rPr>
          <w:b/>
          <w:bCs/>
          <w:i/>
          <w:iCs/>
        </w:rPr>
      </w:pPr>
      <w:r w:rsidRPr="00334531">
        <w:rPr>
          <w:b/>
          <w:bCs/>
          <w:i/>
          <w:iCs/>
        </w:rPr>
        <w:t>Bankszektori stressz és az NBFI-k felügyelete</w:t>
      </w:r>
    </w:p>
    <w:p w14:paraId="36C61141" w14:textId="77777777" w:rsidR="00ED5C98" w:rsidRPr="00334531" w:rsidRDefault="00ED5C98" w:rsidP="00BC18F9">
      <w:pPr>
        <w:pStyle w:val="NormalHanging12a"/>
        <w:ind w:left="567" w:hanging="567"/>
      </w:pPr>
      <w:r w:rsidRPr="00334531">
        <w:t>20.</w:t>
      </w:r>
      <w:r w:rsidRPr="00334531">
        <w:tab/>
        <w:t>hangsúlyozza, hogy az uniós bankok ellenálló képességének és globális versenyképességének fokozása érdekében gondoskodni kell a Bázel III keretrendszer végrehajtásáról; megjegyzi, hogy egyes nagy, nem uniós országokban továbbra sem egyértelmű a Bázel III standardok végrehajtása, és hogy az Unió bankrendszerének nemzetközi összefüggésben versenyképesnek kell maradnia; hangsúlyozza, hogy fontos fenntartani a bázeli keret integritását, és egyben kiemeli, hogy a pénzügyi stabilitás önmagában versenyelőnynek tekinthető;</w:t>
      </w:r>
    </w:p>
    <w:p w14:paraId="6790B251" w14:textId="77777777" w:rsidR="00ED5C98" w:rsidRPr="00334531" w:rsidRDefault="00ED5C98" w:rsidP="00BC18F9">
      <w:pPr>
        <w:pStyle w:val="NormalHanging12a"/>
        <w:ind w:left="567" w:hanging="567"/>
      </w:pPr>
      <w:r w:rsidRPr="00334531">
        <w:t>21.</w:t>
      </w:r>
      <w:r w:rsidRPr="00334531">
        <w:tab/>
      </w:r>
      <w:proofErr w:type="spellStart"/>
      <w:r w:rsidRPr="00334531">
        <w:t>kiemeli,hogy</w:t>
      </w:r>
      <w:proofErr w:type="spellEnd"/>
      <w:r w:rsidRPr="00334531">
        <w:t xml:space="preserve"> fontos fenntartani a szilárd </w:t>
      </w:r>
      <w:proofErr w:type="spellStart"/>
      <w:r w:rsidRPr="00334531">
        <w:t>makroprudenciális</w:t>
      </w:r>
      <w:proofErr w:type="spellEnd"/>
      <w:r w:rsidRPr="00334531">
        <w:t xml:space="preserve"> keretet, gondoskodva ugyanakkor az egyszerűsítésről, a jogi pontosításról és a </w:t>
      </w:r>
      <w:proofErr w:type="spellStart"/>
      <w:r w:rsidRPr="00334531">
        <w:t>terhek</w:t>
      </w:r>
      <w:proofErr w:type="spellEnd"/>
      <w:r w:rsidRPr="00334531">
        <w:t xml:space="preserve"> csökkentéséről, különösen a kisebb szervezetek esetében; kiemeli, hogy a </w:t>
      </w:r>
      <w:proofErr w:type="spellStart"/>
      <w:r w:rsidRPr="00334531">
        <w:t>makroprudenciális</w:t>
      </w:r>
      <w:proofErr w:type="spellEnd"/>
      <w:r w:rsidRPr="00334531">
        <w:t xml:space="preserve"> pufferek kialakítása és alkalmazása terén lehetőség van az egyszerűsítésre és a harmonizációra; felhívja a Bizottságot és a felügyeleti hatóságokat, hogy lehetőség szerint és a pénzügyi stabilitás veszélyeztetése nélkül szisztematikusan alkalmazzák az arányosság, a költséghatékonyság és a digitális egyszerűsítés elvét;</w:t>
      </w:r>
    </w:p>
    <w:p w14:paraId="3515C71C" w14:textId="77777777" w:rsidR="00ED5C98" w:rsidRPr="00334531" w:rsidRDefault="00ED5C98" w:rsidP="00BC18F9">
      <w:pPr>
        <w:pStyle w:val="NormalHanging12a"/>
        <w:ind w:left="567" w:hanging="567"/>
      </w:pPr>
      <w:r w:rsidRPr="00334531">
        <w:t>22.</w:t>
      </w:r>
      <w:r w:rsidRPr="00334531">
        <w:tab/>
        <w:t xml:space="preserve">hangsúlyozza, hogy fontolóra kell venni a 2008 utáni pénzügyi válsággal kapcsolatos reformok egyszerűsítését, amennyiben azok egyértelmű és megalapozott előnyökkel járnak a reálgazdaság számára, és nem jelentenek kockázatot a pénzügyi stabilitásra nézve; tudomásul veszi az </w:t>
      </w:r>
      <w:proofErr w:type="spellStart"/>
      <w:r w:rsidRPr="00334531">
        <w:t>értékpapírosítási</w:t>
      </w:r>
      <w:proofErr w:type="spellEnd"/>
      <w:r w:rsidRPr="00334531">
        <w:t xml:space="preserve"> csomagról folytatott vitát;</w:t>
      </w:r>
    </w:p>
    <w:p w14:paraId="1F84566A" w14:textId="77777777" w:rsidR="00ED5C98" w:rsidRPr="00334531" w:rsidRDefault="00ED5C98" w:rsidP="00BC18F9">
      <w:pPr>
        <w:pStyle w:val="NormalHanging12a"/>
        <w:ind w:left="567" w:hanging="567"/>
      </w:pPr>
      <w:r w:rsidRPr="00334531">
        <w:t>23.</w:t>
      </w:r>
      <w:r w:rsidRPr="00334531">
        <w:tab/>
        <w:t xml:space="preserve">tudomásul veszi az EKB elemzését a kereskedelmi ingatlanpiacok kitartó sebezhetőségéről, amit tovább súlyosbítanak az emelkedő kamatráták és az NBFI-k kitettségei, amit érdemes szoros figyelemmel követni; ezzel kapcsolatosan felhívja az </w:t>
      </w:r>
      <w:r w:rsidRPr="00334531">
        <w:lastRenderedPageBreak/>
        <w:t>ERKT-t, hogy szorosan kövesse nyomon az ingatlanpiacokon tevékenykedő NBFI-k szerepét, és adjon ki megfelelő ajánlásokat; elismeri továbbá a háztartások eladósodottságának magas szintjét;</w:t>
      </w:r>
    </w:p>
    <w:p w14:paraId="32F3E0CC" w14:textId="77777777" w:rsidR="00ED5C98" w:rsidRPr="00334531" w:rsidRDefault="00ED5C98" w:rsidP="00BC18F9">
      <w:pPr>
        <w:pStyle w:val="NormalHanging12a"/>
        <w:ind w:left="567" w:hanging="567"/>
      </w:pPr>
      <w:r w:rsidRPr="00334531">
        <w:t>24.</w:t>
      </w:r>
      <w:r w:rsidRPr="00334531">
        <w:tab/>
        <w:t>sürgeti az EKB-t, hogy a stratégiai autonómiával összefüggésben a rendszeres felügyeleti, felülvizsgálati és értékelési folyamat részeként mérje fel a pénzügyi intézmények geopolitikai kockázatoknak való kitettségét, beleértve a szankciók, a vámtarifák és a gazdasági széttagoltság közvetett hatásait is;</w:t>
      </w:r>
    </w:p>
    <w:p w14:paraId="5103C61A" w14:textId="77777777" w:rsidR="00ED5C98" w:rsidRPr="00334531" w:rsidRDefault="00ED5C98" w:rsidP="00BC18F9">
      <w:pPr>
        <w:pStyle w:val="NormalHanging12a"/>
        <w:ind w:left="567" w:hanging="567"/>
      </w:pPr>
      <w:r w:rsidRPr="00334531">
        <w:t>25.</w:t>
      </w:r>
      <w:r w:rsidRPr="00334531">
        <w:tab/>
        <w:t>elismeri, hogy az uniós pénzügyi ágazat eszközeinek több mint 40%-át kitevő NBFI-k egyre nagyobb rendszerszintű jelentőséggel bírnak; úgy véli, hogy amennyiben nincsenek megfelelően szabályozva, az ilyen szervezetek növelhetik a pénzügyi stabilitási kockázatokat;</w:t>
      </w:r>
    </w:p>
    <w:p w14:paraId="18D3C50A" w14:textId="77777777" w:rsidR="00ED5C98" w:rsidRPr="00334531" w:rsidRDefault="00ED5C98" w:rsidP="00BC18F9">
      <w:pPr>
        <w:pStyle w:val="NormalHanging12a"/>
        <w:ind w:left="567" w:hanging="567"/>
      </w:pPr>
      <w:r w:rsidRPr="00334531">
        <w:t>26.</w:t>
      </w:r>
      <w:r w:rsidRPr="00334531">
        <w:tab/>
        <w:t>tudomásul veszi az NBFI-k üzleti modelljeinek sokféleségét és fontos finanszírozási szerepüket; kiemeli, hogy számos ágazatban már létezik európai ágazati szabályozás, például a fedezeti alapokra (alternatívbefektetésialap-kezelői irányelv, azaz ABAK-irányelv</w:t>
      </w:r>
      <w:r w:rsidRPr="00334531">
        <w:rPr>
          <w:rStyle w:val="FootnoteReference"/>
        </w:rPr>
        <w:footnoteReference w:customMarkFollows="1" w:id="2"/>
        <w:t>2</w:t>
      </w:r>
      <w:r w:rsidRPr="00334531">
        <w:t>), a pénzpiaci alapokra (PPA-rendelet</w:t>
      </w:r>
      <w:r w:rsidRPr="00334531">
        <w:rPr>
          <w:rStyle w:val="FootnoteReference"/>
        </w:rPr>
        <w:footnoteReference w:customMarkFollows="1" w:id="3"/>
        <w:t>3</w:t>
      </w:r>
      <w:r w:rsidRPr="00334531">
        <w:t>), a biztosítókra (</w:t>
      </w:r>
      <w:proofErr w:type="spellStart"/>
      <w:r w:rsidRPr="00334531">
        <w:t>Szolvencia</w:t>
      </w:r>
      <w:proofErr w:type="spellEnd"/>
      <w:r w:rsidRPr="00334531">
        <w:t xml:space="preserve"> II), a befektetési vállalkozásokra (a befektetési vállalkozások </w:t>
      </w:r>
      <w:proofErr w:type="spellStart"/>
      <w:r w:rsidRPr="00334531">
        <w:t>prudenciális</w:t>
      </w:r>
      <w:proofErr w:type="spellEnd"/>
      <w:r w:rsidRPr="00334531">
        <w:t xml:space="preserve"> felügyeletéről szóló irányelv</w:t>
      </w:r>
      <w:r w:rsidRPr="00334531">
        <w:rPr>
          <w:rStyle w:val="FootnoteReference"/>
        </w:rPr>
        <w:footnoteReference w:customMarkFollows="1" w:id="4"/>
        <w:t>4</w:t>
      </w:r>
      <w:r w:rsidRPr="00334531">
        <w:t xml:space="preserve">/a befektetési vállalkozások </w:t>
      </w:r>
      <w:proofErr w:type="spellStart"/>
      <w:r w:rsidRPr="00334531">
        <w:t>prudenciális</w:t>
      </w:r>
      <w:proofErr w:type="spellEnd"/>
      <w:r w:rsidRPr="00334531">
        <w:t xml:space="preserve"> követelményeiről szóló rendelet</w:t>
      </w:r>
      <w:r w:rsidRPr="00334531">
        <w:rPr>
          <w:rStyle w:val="FootnoteReference"/>
        </w:rPr>
        <w:footnoteReference w:customMarkFollows="1" w:id="5"/>
        <w:t>5</w:t>
      </w:r>
      <w:r w:rsidRPr="00334531">
        <w:t>) vagy a nyugdíjalapokra (a foglalkoztatói nyugellátást szolgáltató intézményekről szóló irányelv</w:t>
      </w:r>
      <w:r w:rsidRPr="00334531">
        <w:rPr>
          <w:rStyle w:val="FootnoteReference"/>
        </w:rPr>
        <w:footnoteReference w:customMarkFollows="1" w:id="6"/>
        <w:t>6</w:t>
      </w:r>
      <w:r w:rsidRPr="00334531">
        <w:t>) vonatkozóan; megjegyzi azonban, hogy a jelenlegi keret elsősorban a befektetők védelmére és a piac integritására összpontosít, nem pedig a rendszerszintű kockázatok csökkentésére</w:t>
      </w:r>
      <w:r w:rsidRPr="00334531">
        <w:rPr>
          <w:rStyle w:val="FootnoteReference"/>
        </w:rPr>
        <w:footnoteReference w:customMarkFollows="1" w:id="7"/>
        <w:t>7</w:t>
      </w:r>
      <w:r w:rsidRPr="00334531">
        <w:t>; felszólít az NBFI-k tekintetében a szabályozási hiányosságok alapos felülvizsgálatára, többek között a kevésbé szabályozott területeken, például a családi vagyontervezés terén és az ellátási láncot finanszírozó vállalatokban;</w:t>
      </w:r>
    </w:p>
    <w:p w14:paraId="0F3AD233" w14:textId="77777777" w:rsidR="00ED5C98" w:rsidRPr="00334531" w:rsidRDefault="00ED5C98" w:rsidP="00BC18F9">
      <w:pPr>
        <w:pStyle w:val="NormalHanging12a"/>
        <w:ind w:left="567" w:hanging="567"/>
      </w:pPr>
      <w:r w:rsidRPr="00334531">
        <w:t>27.</w:t>
      </w:r>
      <w:r w:rsidRPr="00334531">
        <w:tab/>
        <w:t xml:space="preserve">tudomásul veszi a Bizottságnak a pénzpiaci alapok működéséről szóló 2023. évi jelentését és a pénzpiaci alapok keretének közelmúltbeli módosításait; felhívja a </w:t>
      </w:r>
      <w:r w:rsidRPr="00334531">
        <w:lastRenderedPageBreak/>
        <w:t xml:space="preserve">Bizottságot, hogy a nemzetközi normákkal, a más joghatóságokban elért szabályozási </w:t>
      </w:r>
      <w:proofErr w:type="spellStart"/>
      <w:r w:rsidRPr="00334531">
        <w:t>előrelépésekkel</w:t>
      </w:r>
      <w:proofErr w:type="spellEnd"/>
      <w:r w:rsidRPr="00334531">
        <w:t>, valamint az ERKT és az ESMA ajánlásaival összhangban terjessze elő a pénzpiaci alapokról szóló rendelet</w:t>
      </w:r>
      <w:r w:rsidRPr="00334531">
        <w:rPr>
          <w:rStyle w:val="FootnoteReference"/>
        </w:rPr>
        <w:footnoteReference w:customMarkFollows="1" w:id="8"/>
        <w:t>8</w:t>
      </w:r>
      <w:r w:rsidRPr="00334531">
        <w:t xml:space="preserve"> reformját;</w:t>
      </w:r>
    </w:p>
    <w:p w14:paraId="5E9E9F87" w14:textId="77777777" w:rsidR="00ED5C98" w:rsidRPr="00334531" w:rsidRDefault="00ED5C98" w:rsidP="00BC18F9">
      <w:pPr>
        <w:pStyle w:val="Normal12a"/>
        <w:ind w:left="567" w:hanging="567"/>
        <w:rPr>
          <w:b/>
          <w:bCs/>
          <w:i/>
          <w:iCs/>
        </w:rPr>
      </w:pPr>
      <w:r w:rsidRPr="00334531">
        <w:rPr>
          <w:b/>
          <w:bCs/>
          <w:i/>
          <w:iCs/>
        </w:rPr>
        <w:t>Likviditási, letéti és digitális kockázatok</w:t>
      </w:r>
    </w:p>
    <w:p w14:paraId="065AF64F" w14:textId="77777777" w:rsidR="00ED5C98" w:rsidRPr="00334531" w:rsidRDefault="00ED5C98" w:rsidP="00BC18F9">
      <w:pPr>
        <w:pStyle w:val="NormalHanging12a"/>
        <w:ind w:left="567" w:hanging="567"/>
      </w:pPr>
      <w:r w:rsidRPr="00334531">
        <w:t>28.</w:t>
      </w:r>
      <w:r w:rsidRPr="00334531">
        <w:tab/>
        <w:t>kiemeli, hogy az olyan válságok idején, mint a Covid19 és a 2022-es energiazavarok, a letéti felhívások jelentős likviditási stresszt okoztak; megjegyzi e tekintetben a likviditási felkészültség, valamint általában a tőkeáttétel és a tőkepufferek fontosságát;</w:t>
      </w:r>
    </w:p>
    <w:p w14:paraId="6AA7D644" w14:textId="77777777" w:rsidR="00ED5C98" w:rsidRPr="00334531" w:rsidRDefault="00ED5C98" w:rsidP="00BC18F9">
      <w:pPr>
        <w:pStyle w:val="NormalHanging12a"/>
        <w:ind w:left="567" w:hanging="567"/>
      </w:pPr>
      <w:r w:rsidRPr="00334531">
        <w:t>29.</w:t>
      </w:r>
      <w:r w:rsidRPr="00334531">
        <w:tab/>
        <w:t>olyan eszközöket szorgalmaz, amelyek jobban megragadják a rendszerszintű események során a letéti felhívásokból eredő likviditáskiáramlások nagyságrendjét és sebességét, különösen az energetikai közművek és az NBFI-k esetében;</w:t>
      </w:r>
    </w:p>
    <w:p w14:paraId="43D3D6EE" w14:textId="77777777" w:rsidR="00ED5C98" w:rsidRPr="00334531" w:rsidRDefault="00ED5C98" w:rsidP="00BC18F9">
      <w:pPr>
        <w:pStyle w:val="NormalHanging12a"/>
        <w:ind w:left="567" w:hanging="567"/>
      </w:pPr>
      <w:r w:rsidRPr="00334531">
        <w:t>30.</w:t>
      </w:r>
      <w:r w:rsidRPr="00334531">
        <w:tab/>
        <w:t xml:space="preserve">hangsúlyozza, hogy </w:t>
      </w:r>
      <w:proofErr w:type="spellStart"/>
      <w:r w:rsidRPr="00334531">
        <w:t>reziliens</w:t>
      </w:r>
      <w:proofErr w:type="spellEnd"/>
      <w:r w:rsidRPr="00334531">
        <w:t xml:space="preserve"> elszámolási infrastruktúrára, szilárd biztosítéki keretekre és a központi szerződő felek összehangolt felügyeletére van szükség; tudomásul veszi a Bizottság azon döntését, hogy az egyenértékűségi rendszert kiterjeszti az egyesült </w:t>
      </w:r>
      <w:proofErr w:type="spellStart"/>
      <w:r w:rsidRPr="00334531">
        <w:t>királyságbeli</w:t>
      </w:r>
      <w:proofErr w:type="spellEnd"/>
      <w:r w:rsidRPr="00334531">
        <w:t xml:space="preserve"> központi szerződő felekre, és megjegyzi, hogy továbbra is aggályok merülnek fel a nem uniós központi szerződő felektől való európai függőséggel kapcsolatban;</w:t>
      </w:r>
    </w:p>
    <w:p w14:paraId="30E93557" w14:textId="77777777" w:rsidR="00ED5C98" w:rsidRPr="00334531" w:rsidRDefault="00ED5C98" w:rsidP="00BC18F9">
      <w:pPr>
        <w:pStyle w:val="NormalHanging12a"/>
        <w:ind w:left="567" w:hanging="567"/>
      </w:pPr>
      <w:r w:rsidRPr="00334531">
        <w:t>31.</w:t>
      </w:r>
      <w:r w:rsidRPr="00334531">
        <w:tab/>
        <w:t xml:space="preserve">támogatja a letéti gyakorlatok nagyobb átláthatóságát és </w:t>
      </w:r>
      <w:proofErr w:type="spellStart"/>
      <w:r w:rsidRPr="00334531">
        <w:t>makroprudenciális</w:t>
      </w:r>
      <w:proofErr w:type="spellEnd"/>
      <w:r w:rsidRPr="00334531">
        <w:t xml:space="preserve"> felügyeletét, beleértve a stresszteszteket és a forgatókönyv-elemzést is, az FSB által a letéti és fedezeti lehívások likviditási felkészültségével kapcsolatban végzett közelmúltbeli munkára építve;</w:t>
      </w:r>
    </w:p>
    <w:p w14:paraId="7DB00C04" w14:textId="77777777" w:rsidR="00ED5C98" w:rsidRPr="00334531" w:rsidRDefault="00ED5C98" w:rsidP="00BC18F9">
      <w:pPr>
        <w:pStyle w:val="NormalHanging12a"/>
        <w:ind w:left="567" w:hanging="567"/>
      </w:pPr>
      <w:r w:rsidRPr="00334531">
        <w:t>32.</w:t>
      </w:r>
      <w:r w:rsidRPr="00334531">
        <w:tab/>
        <w:t xml:space="preserve">aggodalmát fejezi ki a </w:t>
      </w:r>
      <w:proofErr w:type="spellStart"/>
      <w:r w:rsidRPr="00334531">
        <w:t>kriptoeszköz</w:t>
      </w:r>
      <w:proofErr w:type="spellEnd"/>
      <w:r w:rsidRPr="00334531">
        <w:t>-piacok és a decentralizált pénzügyi piacok, valamint a hagyományos pénzügyi rendszer közötti kapcsolatok erősödése miatt; támogatja a Pénzügyi Stabilitási Tanácsot (FSB), a szabványügyi testületeket és az ERKT-t a szabályozási keret létrehozására és osztályozásának harmonizálására irányuló erőfeszítéseikben;</w:t>
      </w:r>
    </w:p>
    <w:p w14:paraId="65C9E53F" w14:textId="77777777" w:rsidR="00ED5C98" w:rsidRPr="00334531" w:rsidRDefault="00ED5C98" w:rsidP="00BC18F9">
      <w:pPr>
        <w:pStyle w:val="NormalHanging12a"/>
        <w:ind w:left="567" w:hanging="567"/>
      </w:pPr>
      <w:r w:rsidRPr="00334531">
        <w:t>33.</w:t>
      </w:r>
      <w:r w:rsidRPr="00334531">
        <w:tab/>
        <w:t xml:space="preserve">tudomásul veszi az FSB elemzését, amely szerint a </w:t>
      </w:r>
      <w:proofErr w:type="spellStart"/>
      <w:r w:rsidRPr="00334531">
        <w:t>kriptoeszközök</w:t>
      </w:r>
      <w:proofErr w:type="spellEnd"/>
      <w:r w:rsidRPr="00334531">
        <w:t xml:space="preserve"> piacából eredő pénzügyi stabilitási kockázatok egyelőre korlátozottnak tűnnek</w:t>
      </w:r>
      <w:r w:rsidRPr="00334531">
        <w:rPr>
          <w:rStyle w:val="FootnoteReference"/>
        </w:rPr>
        <w:footnoteReference w:customMarkFollows="1" w:id="9"/>
        <w:t>9</w:t>
      </w:r>
      <w:r w:rsidRPr="00334531">
        <w:t xml:space="preserve">; ugyanakkor rámutat a </w:t>
      </w:r>
      <w:proofErr w:type="spellStart"/>
      <w:r w:rsidRPr="00334531">
        <w:t>kriptoeszköz</w:t>
      </w:r>
      <w:proofErr w:type="spellEnd"/>
      <w:r w:rsidRPr="00334531">
        <w:t xml:space="preserve">-piacok fejleményeinek potenciálisan rendszerszintű jelentőségére; megjegyzi, hogy a </w:t>
      </w:r>
      <w:proofErr w:type="spellStart"/>
      <w:r w:rsidRPr="00334531">
        <w:t>kriptoeszközök</w:t>
      </w:r>
      <w:proofErr w:type="spellEnd"/>
      <w:r w:rsidRPr="00334531">
        <w:t xml:space="preserve"> nagyrészt spekulatív jellegűek, és fontos szerepet játszanak a jogellenes ügyletekben; sürgeti a Bizottságot és az ERKT-t, hogy szorosan kövessék nyomon az e területen bekövetkező fejleményeket;</w:t>
      </w:r>
    </w:p>
    <w:p w14:paraId="0D6C7C07" w14:textId="77777777" w:rsidR="00ED5C98" w:rsidRPr="00334531" w:rsidRDefault="00ED5C98" w:rsidP="00BC18F9">
      <w:pPr>
        <w:pStyle w:val="NormalHanging12a"/>
        <w:ind w:left="567" w:hanging="567"/>
      </w:pPr>
      <w:r w:rsidRPr="00334531">
        <w:t>34.</w:t>
      </w:r>
      <w:r w:rsidRPr="00334531">
        <w:tab/>
        <w:t xml:space="preserve">üdvözli, hogy az Európai Unió szilárd </w:t>
      </w:r>
      <w:proofErr w:type="spellStart"/>
      <w:r w:rsidRPr="00334531">
        <w:t>prudenciális</w:t>
      </w:r>
      <w:proofErr w:type="spellEnd"/>
      <w:r w:rsidRPr="00334531">
        <w:t xml:space="preserve"> keretet hozott létre a </w:t>
      </w:r>
      <w:proofErr w:type="spellStart"/>
      <w:r w:rsidRPr="00334531">
        <w:t>kriptoeszközökre</w:t>
      </w:r>
      <w:proofErr w:type="spellEnd"/>
      <w:r w:rsidRPr="00334531">
        <w:t xml:space="preserve"> vonatkozóan (</w:t>
      </w:r>
      <w:proofErr w:type="spellStart"/>
      <w:r w:rsidRPr="00334531">
        <w:t>MiCAR</w:t>
      </w:r>
      <w:proofErr w:type="spellEnd"/>
      <w:r w:rsidRPr="00334531">
        <w:t>); hangsúlyozza az időben történő és következetes végrehajtás fontosságát, és felhívja a Bizottságot, hogy kövesse nyomon a fennmaradó szabályozási hiányosságokat;</w:t>
      </w:r>
    </w:p>
    <w:p w14:paraId="15DEDFBA" w14:textId="77777777" w:rsidR="00ED5C98" w:rsidRPr="00334531" w:rsidRDefault="00ED5C98" w:rsidP="00BC18F9">
      <w:pPr>
        <w:pStyle w:val="NormalHanging12a"/>
        <w:ind w:left="567" w:hanging="567"/>
      </w:pPr>
      <w:r w:rsidRPr="00334531">
        <w:t>35.</w:t>
      </w:r>
      <w:r w:rsidRPr="00334531">
        <w:tab/>
        <w:t xml:space="preserve">kiemeli a stabil </w:t>
      </w:r>
      <w:proofErr w:type="spellStart"/>
      <w:r w:rsidRPr="00334531">
        <w:t>kriptopénzek</w:t>
      </w:r>
      <w:proofErr w:type="spellEnd"/>
      <w:r w:rsidRPr="00334531">
        <w:t xml:space="preserve"> piacának gyors növekedését, amely piac még mindig nagyrészt a </w:t>
      </w:r>
      <w:proofErr w:type="spellStart"/>
      <w:r w:rsidRPr="00334531">
        <w:t>kriptoökoszisztémára</w:t>
      </w:r>
      <w:proofErr w:type="spellEnd"/>
      <w:r w:rsidRPr="00334531">
        <w:t xml:space="preserve"> korlátozódik; megjegyzi, hogy a stabil </w:t>
      </w:r>
      <w:proofErr w:type="spellStart"/>
      <w:r w:rsidRPr="00334531">
        <w:t>kriptopénzekre</w:t>
      </w:r>
      <w:proofErr w:type="spellEnd"/>
      <w:r w:rsidRPr="00334531">
        <w:t xml:space="preserve"> </w:t>
      </w:r>
      <w:r w:rsidRPr="00334531">
        <w:lastRenderedPageBreak/>
        <w:t xml:space="preserve">vonatkozó szabályozási környezet gyorsan változik a főbb nem uniós országok joghatóságaiban; sürgeti a Bizottságot annak értékelésére, hogy léteznek-e potenciális </w:t>
      </w:r>
      <w:proofErr w:type="spellStart"/>
      <w:r w:rsidRPr="00334531">
        <w:t>továbbterjedési</w:t>
      </w:r>
      <w:proofErr w:type="spellEnd"/>
      <w:r w:rsidRPr="00334531">
        <w:t xml:space="preserve"> csatornák, például több kibocsátás esetén;</w:t>
      </w:r>
    </w:p>
    <w:p w14:paraId="2239AB7A" w14:textId="77777777" w:rsidR="00ED5C98" w:rsidRPr="00334531" w:rsidRDefault="00ED5C98" w:rsidP="00BC18F9">
      <w:pPr>
        <w:pStyle w:val="NormalHanging12a"/>
        <w:ind w:left="567" w:hanging="567"/>
      </w:pPr>
      <w:r w:rsidRPr="00334531">
        <w:t>36.</w:t>
      </w:r>
      <w:r w:rsidRPr="00334531">
        <w:tab/>
        <w:t xml:space="preserve">kiemeli, hogy az Unió intézkedéseket fogadott el a pénzügyi szervezetek digitális </w:t>
      </w:r>
      <w:proofErr w:type="spellStart"/>
      <w:r w:rsidRPr="00334531">
        <w:t>rezilienciájának</w:t>
      </w:r>
      <w:proofErr w:type="spellEnd"/>
      <w:r w:rsidRPr="00334531">
        <w:t xml:space="preserve"> megerősítése érdekében, különösen a digitális működési </w:t>
      </w:r>
      <w:proofErr w:type="spellStart"/>
      <w:r w:rsidRPr="00334531">
        <w:t>rezilienciáról</w:t>
      </w:r>
      <w:proofErr w:type="spellEnd"/>
      <w:r w:rsidRPr="00334531">
        <w:t xml:space="preserve"> szóló rendelet</w:t>
      </w:r>
      <w:r w:rsidRPr="00334531">
        <w:rPr>
          <w:rStyle w:val="FootnoteReference"/>
        </w:rPr>
        <w:footnoteReference w:customMarkFollows="1" w:id="10"/>
        <w:t>10</w:t>
      </w:r>
      <w:r w:rsidRPr="00334531">
        <w:t xml:space="preserve"> révén; ösztönzi az innovációt a digitális pénzügyek területén, valamint a </w:t>
      </w:r>
      <w:proofErr w:type="spellStart"/>
      <w:r w:rsidRPr="00334531">
        <w:t>kiberrezilienciába</w:t>
      </w:r>
      <w:proofErr w:type="spellEnd"/>
      <w:r w:rsidRPr="00334531">
        <w:t xml:space="preserve"> való széles körű beruházást a pénzügyi infrastruktúra külső fenyegetésekkel szembeni védelme érdekében; felhívja a Bizottságot és az EKB-t, hogy térképezzék fel és kezeljék az európai pénzügyi rendszer nem uniós digitális szolgáltatóktól való függőségét, az egyedüli hibapontokat és a hibrid támadások kockázatát;</w:t>
      </w:r>
    </w:p>
    <w:p w14:paraId="1974370C" w14:textId="77777777" w:rsidR="00ED5C98" w:rsidRPr="00334531" w:rsidRDefault="00ED5C98" w:rsidP="00BC18F9">
      <w:pPr>
        <w:pStyle w:val="NormalHanging12a"/>
        <w:ind w:left="567" w:hanging="567"/>
      </w:pPr>
      <w:r w:rsidRPr="00334531">
        <w:t>37.</w:t>
      </w:r>
      <w:r w:rsidRPr="00334531">
        <w:tab/>
        <w:t xml:space="preserve">hangsúlyozza, hogy a pénzügyi jártasság javítása hozzájárulhat az egyéni </w:t>
      </w:r>
      <w:proofErr w:type="spellStart"/>
      <w:r w:rsidRPr="00334531">
        <w:t>rezilienciához</w:t>
      </w:r>
      <w:proofErr w:type="spellEnd"/>
      <w:r w:rsidRPr="00334531">
        <w:t>, a stabilabb pénzügyi piacokhoz és a tőkepiaci unióban való fokozott részvételhez;</w:t>
      </w:r>
    </w:p>
    <w:p w14:paraId="1A708507" w14:textId="77777777" w:rsidR="00ED5C98" w:rsidRPr="00334531" w:rsidRDefault="00ED5C98" w:rsidP="00BC18F9">
      <w:pPr>
        <w:pStyle w:val="NormalHanging12a"/>
        <w:ind w:left="567" w:hanging="567"/>
      </w:pPr>
      <w:r w:rsidRPr="00334531">
        <w:t>38.</w:t>
      </w:r>
      <w:r w:rsidRPr="00334531">
        <w:tab/>
        <w:t>megjegyzi, hogy a készpénz rendelkezésre állásához szükséges észszerű és megbízható logisztika és infrastruktúra fenntartása továbbra is a pénzügyi stabilitás és a közbizalom alapvető eleme;</w:t>
      </w:r>
    </w:p>
    <w:p w14:paraId="69AC23D3" w14:textId="77777777" w:rsidR="00ED5C98" w:rsidRPr="00334531" w:rsidRDefault="00ED5C98" w:rsidP="00334531">
      <w:pPr>
        <w:pStyle w:val="Normal12a"/>
        <w:rPr>
          <w:b/>
          <w:bCs/>
        </w:rPr>
      </w:pPr>
      <w:r w:rsidRPr="00334531">
        <w:rPr>
          <w:b/>
          <w:bCs/>
          <w:i/>
        </w:rPr>
        <w:t>A felügyeleti koherencia, az adatképességek és a válsághelyzetekre való felkészültség javítása</w:t>
      </w:r>
    </w:p>
    <w:p w14:paraId="0BE73E08" w14:textId="77777777" w:rsidR="00ED5C98" w:rsidRPr="00334531" w:rsidRDefault="00ED5C98" w:rsidP="00BC18F9">
      <w:pPr>
        <w:pStyle w:val="NormalHanging12a"/>
        <w:ind w:left="567" w:hanging="567"/>
      </w:pPr>
      <w:r w:rsidRPr="00334531">
        <w:t>39.</w:t>
      </w:r>
      <w:r w:rsidRPr="00334531">
        <w:tab/>
        <w:t>támogatja a pénzügyi ágazat különböző tevékenységeihez, például a hitelezéshez, a tranzakciókhoz és az eszközkezeléshez kapcsolódó kockázatok és sebezhetőségek kezelésére irányuló holisztikus, koherensebb, rendszerszintű és tevékenységalapú felügyeleti megközelítést;</w:t>
      </w:r>
    </w:p>
    <w:p w14:paraId="41436D5B" w14:textId="77777777" w:rsidR="00ED5C98" w:rsidRPr="00334531" w:rsidRDefault="00ED5C98" w:rsidP="00BC18F9">
      <w:pPr>
        <w:pStyle w:val="NormalHanging12a"/>
        <w:ind w:left="567" w:hanging="567"/>
      </w:pPr>
      <w:r w:rsidRPr="00334531">
        <w:t>40.</w:t>
      </w:r>
      <w:r w:rsidRPr="00334531">
        <w:tab/>
        <w:t>hangsúlyozza a szilárd és hiteles válságkezelési keret fontosságát; kiemeli az Egységes Szanálási Mechanizmus szerepét a csődhelyzetben lévő intézmények hatékony szanálásának biztosításában, és támogatja az EKB végső hitelezőként betöltött szerepét a likviditás és a bizalom válságok idején történő megőrzése érdekében; megjegyzi, hogy még mindig hiányzik az Egységes Szanálási Alap védőhálója;</w:t>
      </w:r>
    </w:p>
    <w:p w14:paraId="52C71B97" w14:textId="77777777" w:rsidR="00ED5C98" w:rsidRPr="00334531" w:rsidRDefault="00ED5C98" w:rsidP="00BC18F9">
      <w:pPr>
        <w:pStyle w:val="NormalHanging12a"/>
        <w:ind w:left="567" w:hanging="567"/>
      </w:pPr>
      <w:r w:rsidRPr="00334531">
        <w:t>41.</w:t>
      </w:r>
      <w:r w:rsidRPr="00334531">
        <w:tab/>
        <w:t>támogatja az EKB-t, az ERKT-t, az európai és nemzeti felügyeleti hatóságokat, valamint a Pénzmosás és a Terrorizmusfinanszírozás Elleni Hatóságot az EU pénzügyi stabilitásának megőrzésében és a felmerülő globális pénzügyi kockázatok kezelésében, beleértve a rendszerszintű, határokon átnyúló NBFI-k ESMA általi koherens felügyeletét;</w:t>
      </w:r>
    </w:p>
    <w:p w14:paraId="3B7A6066" w14:textId="77777777" w:rsidR="00ED5C98" w:rsidRPr="00334531" w:rsidRDefault="00ED5C98" w:rsidP="00BC18F9">
      <w:pPr>
        <w:pStyle w:val="NormalHanging12a"/>
        <w:ind w:left="567" w:hanging="567"/>
      </w:pPr>
      <w:r w:rsidRPr="00334531">
        <w:t>42.</w:t>
      </w:r>
      <w:r w:rsidRPr="00334531">
        <w:tab/>
        <w:t>óva int a szabályozási arbitrázstól, és hangsúlyozza, hogy kezelni kell a korábbi zavarok során feltárt rejtett tőkeáttételi sebezhetőségeket;</w:t>
      </w:r>
    </w:p>
    <w:p w14:paraId="60D0FC26" w14:textId="77777777" w:rsidR="00ED5C98" w:rsidRPr="00334531" w:rsidRDefault="00ED5C98" w:rsidP="00BC18F9">
      <w:pPr>
        <w:pStyle w:val="NormalHanging12a"/>
        <w:ind w:left="567" w:hanging="567"/>
      </w:pPr>
      <w:r w:rsidRPr="00334531">
        <w:t>43.</w:t>
      </w:r>
      <w:r w:rsidRPr="00334531">
        <w:tab/>
        <w:t>felhívja a Bizottságot, hogy tartsa fenn a magas szintű ambíciót az FSB uniós tőkeáttételre vonatkozó ajánlásainak végrehajtása terén;</w:t>
      </w:r>
    </w:p>
    <w:p w14:paraId="4C662881" w14:textId="77777777" w:rsidR="00ED5C98" w:rsidRPr="00334531" w:rsidRDefault="00ED5C98" w:rsidP="00BC18F9">
      <w:pPr>
        <w:pStyle w:val="NormalHanging12a"/>
        <w:ind w:left="567" w:hanging="567"/>
      </w:pPr>
      <w:r w:rsidRPr="00334531">
        <w:lastRenderedPageBreak/>
        <w:t>44.</w:t>
      </w:r>
      <w:r w:rsidRPr="00334531">
        <w:tab/>
        <w:t>hangsúlyozza, hogy a hatóságoknak mind nemzeti, mind uniós szinten minőségi, könnyen hozzáférhető adatokkal és megfelelő erőforrásokkal kell rendelkezniük az adatok elemzéséhez;</w:t>
      </w:r>
    </w:p>
    <w:p w14:paraId="062CA985" w14:textId="77777777" w:rsidR="00ED5C98" w:rsidRPr="00334531" w:rsidRDefault="00ED5C98" w:rsidP="00BC18F9">
      <w:pPr>
        <w:pStyle w:val="NormalHanging12a"/>
        <w:ind w:left="567" w:hanging="567"/>
      </w:pPr>
      <w:r w:rsidRPr="00334531">
        <w:t>45.</w:t>
      </w:r>
      <w:r w:rsidRPr="00334531">
        <w:tab/>
        <w:t xml:space="preserve">az adatvédelmi biztosítékok tiszteletben tartása mellett fokozott átláthatóságra, adatelemzési képességekre és egyszerűsített adatmegosztási mechanizmusokra szólít fel a nemzeti és uniós hatóságok között, egy átfogóbb kockázatellenőrzési keret és rendszerszintű stressztesztelési képességek támogatása érdekében, többek között a </w:t>
      </w:r>
      <w:proofErr w:type="spellStart"/>
      <w:r w:rsidRPr="00334531">
        <w:t>kiberrezilienciára</w:t>
      </w:r>
      <w:proofErr w:type="spellEnd"/>
      <w:r w:rsidRPr="00334531">
        <w:t>, az energiakimaradásokra és a biztosítéki keretre vonatkozóan; megjegyzi, hogy egyes nemzeti hatóságok már bejelentették azon szándékukat, hogy stresszteszteket végezzenek a bankszektor és az NBFI-szektor közötti összeköttetésekre vonatkozóan;</w:t>
      </w:r>
    </w:p>
    <w:p w14:paraId="7A6FFFD2" w14:textId="77777777" w:rsidR="00ED5C98" w:rsidRPr="00334531" w:rsidRDefault="00ED5C98" w:rsidP="00BC18F9">
      <w:pPr>
        <w:pStyle w:val="NormalHanging12a"/>
        <w:ind w:left="567" w:hanging="567"/>
      </w:pPr>
      <w:r w:rsidRPr="00334531">
        <w:t>46.</w:t>
      </w:r>
      <w:r w:rsidRPr="00334531">
        <w:tab/>
        <w:t>megerősített együttműködésre szólít fel a nemzetközi pénzügyi intézményekkel, köztük az IMF-fel, a Bázeli Bankfelügyeleti Bizottsággal, a BIS-szel és az FSB-vel a határokon átnyúló stabilitási kockázatok kezelése érdekében;</w:t>
      </w:r>
    </w:p>
    <w:p w14:paraId="35B61772" w14:textId="77777777" w:rsidR="00ED5C98" w:rsidRPr="00334531" w:rsidRDefault="00ED5C98" w:rsidP="00BC18F9">
      <w:pPr>
        <w:pStyle w:val="NormalCenter12a"/>
        <w:ind w:left="567" w:hanging="567"/>
      </w:pPr>
      <w:r w:rsidRPr="00334531">
        <w:t>°</w:t>
      </w:r>
    </w:p>
    <w:p w14:paraId="25AE4981" w14:textId="77777777" w:rsidR="00ED5C98" w:rsidRPr="00334531" w:rsidRDefault="00ED5C98" w:rsidP="00BC18F9">
      <w:pPr>
        <w:pStyle w:val="NormalCenter12a"/>
        <w:ind w:left="567" w:hanging="567"/>
      </w:pPr>
      <w:r w:rsidRPr="00334531">
        <w:t>°</w:t>
      </w:r>
      <w:r w:rsidRPr="00334531">
        <w:tab/>
        <w:t>°</w:t>
      </w:r>
    </w:p>
    <w:p w14:paraId="2A46B294" w14:textId="1C8EAF62" w:rsidR="0072110B" w:rsidRPr="0072110B" w:rsidRDefault="00ED5C98" w:rsidP="00BC18F9">
      <w:pPr>
        <w:pStyle w:val="NormalHanging12a"/>
        <w:ind w:left="567" w:hanging="567"/>
      </w:pPr>
      <w:r w:rsidRPr="00334531">
        <w:t>47.</w:t>
      </w:r>
      <w:r w:rsidRPr="00334531">
        <w:tab/>
        <w:t>utasítja elnökét, hogy tájékoztatás céljából továbbítsa ezt a határozatot a Tanácsnak és a Bizottságnak.</w:t>
      </w:r>
    </w:p>
    <w:p w14:paraId="61F481E5" w14:textId="2DB6EA4E" w:rsidR="00E365E1" w:rsidRPr="0072110B" w:rsidRDefault="00E365E1" w:rsidP="00BC18F9">
      <w:pPr>
        <w:widowControl/>
        <w:spacing w:after="240"/>
        <w:ind w:left="567" w:hanging="567"/>
      </w:pPr>
    </w:p>
    <w:sectPr w:rsidR="00E365E1" w:rsidRPr="0072110B" w:rsidSect="007211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3F166" w14:textId="77777777" w:rsidR="00EE0FDC" w:rsidRPr="0072110B" w:rsidRDefault="00EE0FDC">
      <w:r w:rsidRPr="0072110B">
        <w:separator/>
      </w:r>
    </w:p>
  </w:endnote>
  <w:endnote w:type="continuationSeparator" w:id="0">
    <w:p w14:paraId="0DC48C5F" w14:textId="77777777" w:rsidR="00EE0FDC" w:rsidRPr="0072110B" w:rsidRDefault="00EE0FDC">
      <w:r w:rsidRPr="007211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EBD91" w14:textId="77777777" w:rsidR="00064002" w:rsidRPr="007211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634D8" w14:textId="77777777" w:rsidR="00064002" w:rsidRPr="007211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5BF58" w14:textId="77777777" w:rsidR="00064002" w:rsidRPr="007211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3CC0B" w14:textId="77777777" w:rsidR="00EE0FDC" w:rsidRPr="0072110B" w:rsidRDefault="00EE0FDC">
      <w:r w:rsidRPr="0072110B">
        <w:separator/>
      </w:r>
    </w:p>
  </w:footnote>
  <w:footnote w:type="continuationSeparator" w:id="0">
    <w:p w14:paraId="408A8B8F" w14:textId="77777777" w:rsidR="00EE0FDC" w:rsidRPr="0072110B" w:rsidRDefault="00EE0FDC">
      <w:r w:rsidRPr="0072110B">
        <w:continuationSeparator/>
      </w:r>
    </w:p>
  </w:footnote>
  <w:footnote w:id="1">
    <w:p w14:paraId="5B2F54D7" w14:textId="4BD51991" w:rsidR="00ED5C98" w:rsidRPr="0072110B" w:rsidRDefault="00ED5C98" w:rsidP="0072110B">
      <w:pPr>
        <w:pStyle w:val="FootnoteText"/>
        <w:ind w:left="567" w:hanging="567"/>
        <w:rPr>
          <w:sz w:val="24"/>
          <w:lang w:val="hu-HU"/>
        </w:rPr>
      </w:pPr>
      <w:r w:rsidRPr="0072110B">
        <w:rPr>
          <w:sz w:val="24"/>
          <w:vertAlign w:val="superscript"/>
          <w:lang w:val="hu-HU"/>
        </w:rPr>
        <w:t>1</w:t>
      </w:r>
      <w:r w:rsidR="0072110B" w:rsidRPr="0072110B">
        <w:rPr>
          <w:sz w:val="24"/>
          <w:vertAlign w:val="superscript"/>
          <w:lang w:val="hu-HU"/>
        </w:rPr>
        <w:t xml:space="preserve"> </w:t>
      </w:r>
      <w:r w:rsidR="0072110B" w:rsidRPr="0072110B">
        <w:rPr>
          <w:sz w:val="24"/>
          <w:vertAlign w:val="superscript"/>
          <w:lang w:val="hu-HU"/>
        </w:rPr>
        <w:tab/>
      </w:r>
      <w:r w:rsidRPr="0072110B">
        <w:rPr>
          <w:sz w:val="24"/>
          <w:lang w:val="hu-HU"/>
        </w:rPr>
        <w:t>HL C 33. E, 2013.2.5., 140. o.</w:t>
      </w:r>
    </w:p>
  </w:footnote>
  <w:footnote w:id="2">
    <w:p w14:paraId="41D6AB39" w14:textId="31D0406A" w:rsidR="00ED5C98" w:rsidRPr="0072110B" w:rsidRDefault="00ED5C98" w:rsidP="0072110B">
      <w:pPr>
        <w:pStyle w:val="FootnoteText"/>
        <w:ind w:left="567" w:hanging="567"/>
        <w:rPr>
          <w:sz w:val="24"/>
          <w:lang w:val="hu-HU"/>
        </w:rPr>
      </w:pPr>
      <w:r w:rsidRPr="0072110B">
        <w:rPr>
          <w:sz w:val="24"/>
          <w:vertAlign w:val="superscript"/>
          <w:lang w:val="hu-HU"/>
        </w:rPr>
        <w:t>2</w:t>
      </w:r>
      <w:r w:rsidR="0072110B" w:rsidRPr="0072110B">
        <w:rPr>
          <w:sz w:val="24"/>
          <w:vertAlign w:val="superscript"/>
          <w:lang w:val="hu-HU"/>
        </w:rPr>
        <w:t xml:space="preserve"> </w:t>
      </w:r>
      <w:r w:rsidR="0072110B" w:rsidRPr="0072110B">
        <w:rPr>
          <w:sz w:val="24"/>
          <w:vertAlign w:val="superscript"/>
          <w:lang w:val="hu-HU"/>
        </w:rPr>
        <w:tab/>
      </w:r>
      <w:r w:rsidRPr="0072110B">
        <w:rPr>
          <w:sz w:val="24"/>
          <w:lang w:val="hu-HU"/>
        </w:rPr>
        <w:t xml:space="preserve">Az Európai Parlament és a Tanács 2011/61/EU irányelve (2011. június 8.) az alternatívbefektetésialap-kezelőkről, valamint a 2003/41/EK és a 2009/65/EK irányelv, továbbá az 1060/2009/EK és az 1095/2010/EU rendelet módosításáról (HL L 174., 2011.7.1., 1. o., ELI: </w:t>
      </w:r>
      <w:hyperlink r:id="rId1" w:tgtFrame="http://data.europa.eu/eli/dir/2011/61/oj" w:history="1">
        <w:r w:rsidRPr="0072110B">
          <w:rPr>
            <w:rStyle w:val="Hyperlink"/>
            <w:sz w:val="24"/>
            <w:lang w:val="hu-HU"/>
          </w:rPr>
          <w:t>http://data.europa.eu/eli/dir/2011/61/oj</w:t>
        </w:r>
      </w:hyperlink>
      <w:r w:rsidRPr="0072110B">
        <w:rPr>
          <w:sz w:val="24"/>
          <w:lang w:val="hu-HU"/>
        </w:rPr>
        <w:t>).</w:t>
      </w:r>
    </w:p>
  </w:footnote>
  <w:footnote w:id="3">
    <w:p w14:paraId="637391DB" w14:textId="0B1B8460" w:rsidR="00ED5C98" w:rsidRPr="0072110B" w:rsidRDefault="00ED5C98" w:rsidP="0072110B">
      <w:pPr>
        <w:pStyle w:val="FootnoteText"/>
        <w:ind w:left="567" w:hanging="567"/>
        <w:rPr>
          <w:sz w:val="24"/>
          <w:lang w:val="hu-HU"/>
        </w:rPr>
      </w:pPr>
      <w:r w:rsidRPr="0072110B">
        <w:rPr>
          <w:sz w:val="24"/>
          <w:vertAlign w:val="superscript"/>
          <w:lang w:val="hu-HU"/>
        </w:rPr>
        <w:t>3</w:t>
      </w:r>
      <w:r w:rsidR="0072110B" w:rsidRPr="0072110B">
        <w:rPr>
          <w:sz w:val="24"/>
          <w:vertAlign w:val="superscript"/>
          <w:lang w:val="hu-HU"/>
        </w:rPr>
        <w:t xml:space="preserve"> </w:t>
      </w:r>
      <w:r w:rsidR="0072110B" w:rsidRPr="0072110B">
        <w:rPr>
          <w:sz w:val="24"/>
          <w:vertAlign w:val="superscript"/>
          <w:lang w:val="hu-HU"/>
        </w:rPr>
        <w:tab/>
      </w:r>
      <w:r w:rsidRPr="0072110B">
        <w:rPr>
          <w:sz w:val="24"/>
          <w:lang w:val="hu-HU"/>
        </w:rPr>
        <w:t>Az Európai Parlament és a Tanács (EU) 2017/1131 rendelete (2017. június 14.) a pénzpiaci alapokról (HL L 169., 2017.6.30., 8. o.</w:t>
      </w:r>
      <w:r w:rsidR="00BC18F9">
        <w:rPr>
          <w:sz w:val="24"/>
          <w:lang w:val="hu-HU"/>
        </w:rPr>
        <w:t>,</w:t>
      </w:r>
      <w:r w:rsidRPr="0072110B">
        <w:rPr>
          <w:sz w:val="24"/>
          <w:lang w:val="hu-HU"/>
        </w:rPr>
        <w:t xml:space="preserve"> ELI: </w:t>
      </w:r>
      <w:hyperlink r:id="rId2" w:tgtFrame="http://data.europa.eu/eli/reg/2017/1131/oj" w:history="1">
        <w:r w:rsidRPr="0072110B">
          <w:rPr>
            <w:rStyle w:val="Hyperlink"/>
            <w:sz w:val="24"/>
            <w:lang w:val="hu-HU"/>
          </w:rPr>
          <w:t>http://data.europa.eu/eli/reg/2017/1131/oj</w:t>
        </w:r>
      </w:hyperlink>
      <w:r w:rsidRPr="0072110B">
        <w:rPr>
          <w:sz w:val="24"/>
          <w:lang w:val="hu-HU"/>
        </w:rPr>
        <w:t>).</w:t>
      </w:r>
    </w:p>
  </w:footnote>
  <w:footnote w:id="4">
    <w:p w14:paraId="63AF6AD4" w14:textId="132185E9" w:rsidR="00ED5C98" w:rsidRPr="0072110B" w:rsidRDefault="00ED5C98" w:rsidP="0072110B">
      <w:pPr>
        <w:pStyle w:val="FootnoteText"/>
        <w:ind w:left="567" w:hanging="567"/>
        <w:rPr>
          <w:sz w:val="24"/>
          <w:lang w:val="hu-HU"/>
        </w:rPr>
      </w:pPr>
      <w:r w:rsidRPr="0072110B">
        <w:rPr>
          <w:sz w:val="24"/>
          <w:vertAlign w:val="superscript"/>
          <w:lang w:val="hu-HU"/>
        </w:rPr>
        <w:t>4</w:t>
      </w:r>
      <w:r w:rsidR="0072110B" w:rsidRPr="0072110B">
        <w:rPr>
          <w:sz w:val="24"/>
          <w:vertAlign w:val="superscript"/>
          <w:lang w:val="hu-HU"/>
        </w:rPr>
        <w:t xml:space="preserve"> </w:t>
      </w:r>
      <w:r w:rsidR="0072110B" w:rsidRPr="0072110B">
        <w:rPr>
          <w:sz w:val="24"/>
          <w:vertAlign w:val="superscript"/>
          <w:lang w:val="hu-HU"/>
        </w:rPr>
        <w:tab/>
      </w:r>
      <w:r w:rsidRPr="0072110B">
        <w:rPr>
          <w:sz w:val="24"/>
          <w:lang w:val="hu-HU"/>
        </w:rPr>
        <w:t xml:space="preserve">Az Európai Parlament és a Tanács (EU) 2019/2034 irányelve (2019. november 27.) a befektetési vállalkozások </w:t>
      </w:r>
      <w:proofErr w:type="spellStart"/>
      <w:r w:rsidRPr="0072110B">
        <w:rPr>
          <w:sz w:val="24"/>
          <w:lang w:val="hu-HU"/>
        </w:rPr>
        <w:t>prudenciális</w:t>
      </w:r>
      <w:proofErr w:type="spellEnd"/>
      <w:r w:rsidRPr="0072110B">
        <w:rPr>
          <w:sz w:val="24"/>
          <w:lang w:val="hu-HU"/>
        </w:rPr>
        <w:t xml:space="preserve"> felügyeletéről, valamint a 2002/87/EK, a 2009/65/EK, a 2011/61/EU, a 2013/36/EU, a 2014/59/EU és a 2014/65/EU irányelv módosításáról (HL L 314., 2019.12.5., 64. o., ELI: </w:t>
      </w:r>
      <w:hyperlink r:id="rId3" w:tgtFrame="http://data.europa.eu/eli/dir/2019/2034/oj" w:history="1">
        <w:r w:rsidRPr="0072110B">
          <w:rPr>
            <w:rStyle w:val="Hyperlink"/>
            <w:sz w:val="24"/>
            <w:lang w:val="hu-HU"/>
          </w:rPr>
          <w:t>http://data.europa.eu/eli/dir/2019/2034/oj</w:t>
        </w:r>
      </w:hyperlink>
      <w:r w:rsidRPr="0072110B">
        <w:rPr>
          <w:sz w:val="24"/>
          <w:lang w:val="hu-HU"/>
        </w:rPr>
        <w:t>).</w:t>
      </w:r>
    </w:p>
  </w:footnote>
  <w:footnote w:id="5">
    <w:p w14:paraId="5BA232E9" w14:textId="1005FF63" w:rsidR="00ED5C98" w:rsidRPr="0072110B" w:rsidRDefault="00ED5C98" w:rsidP="0072110B">
      <w:pPr>
        <w:pStyle w:val="FootnoteText"/>
        <w:ind w:left="567" w:hanging="567"/>
        <w:rPr>
          <w:sz w:val="24"/>
          <w:lang w:val="hu-HU"/>
        </w:rPr>
      </w:pPr>
      <w:r w:rsidRPr="0072110B">
        <w:rPr>
          <w:sz w:val="24"/>
          <w:vertAlign w:val="superscript"/>
          <w:lang w:val="hu-HU"/>
        </w:rPr>
        <w:t>5</w:t>
      </w:r>
      <w:r w:rsidR="0072110B" w:rsidRPr="0072110B">
        <w:rPr>
          <w:sz w:val="24"/>
          <w:vertAlign w:val="superscript"/>
          <w:lang w:val="hu-HU"/>
        </w:rPr>
        <w:t xml:space="preserve"> </w:t>
      </w:r>
      <w:r w:rsidR="0072110B" w:rsidRPr="0072110B">
        <w:rPr>
          <w:sz w:val="24"/>
          <w:vertAlign w:val="superscript"/>
          <w:lang w:val="hu-HU"/>
        </w:rPr>
        <w:tab/>
      </w:r>
      <w:r w:rsidRPr="0072110B">
        <w:rPr>
          <w:sz w:val="24"/>
          <w:lang w:val="hu-HU"/>
        </w:rPr>
        <w:t xml:space="preserve">Az Európai Parlament és a Tanács (EU) 2019/2033 rendelete (2019. november 27.) a befektetési vállalkozásokra vonatkozó </w:t>
      </w:r>
      <w:proofErr w:type="spellStart"/>
      <w:r w:rsidRPr="0072110B">
        <w:rPr>
          <w:sz w:val="24"/>
          <w:lang w:val="hu-HU"/>
        </w:rPr>
        <w:t>prudenciális</w:t>
      </w:r>
      <w:proofErr w:type="spellEnd"/>
      <w:r w:rsidRPr="0072110B">
        <w:rPr>
          <w:sz w:val="24"/>
          <w:lang w:val="hu-HU"/>
        </w:rPr>
        <w:t xml:space="preserve"> követelményekről, valamint az 1093/2010/EU, az 575/2013/EU, a 600/2014/EU és a 806/2014/EU rendelet módosításáról (HL L 314., 2019.12.5., 1. o., ELI: </w:t>
      </w:r>
      <w:hyperlink r:id="rId4" w:tgtFrame="http://data.europa.eu/eli/reg/2019/2033/oj" w:history="1">
        <w:r w:rsidRPr="0072110B">
          <w:rPr>
            <w:rStyle w:val="Hyperlink"/>
            <w:sz w:val="24"/>
            <w:lang w:val="hu-HU"/>
          </w:rPr>
          <w:t>http://data.europa.eu/eli/reg/2019/2033/oj</w:t>
        </w:r>
      </w:hyperlink>
      <w:r w:rsidRPr="0072110B">
        <w:rPr>
          <w:sz w:val="24"/>
          <w:lang w:val="hu-HU"/>
        </w:rPr>
        <w:t>).</w:t>
      </w:r>
    </w:p>
  </w:footnote>
  <w:footnote w:id="6">
    <w:p w14:paraId="7888040F" w14:textId="512431EA" w:rsidR="00ED5C98" w:rsidRPr="0072110B" w:rsidRDefault="00ED5C98" w:rsidP="0072110B">
      <w:pPr>
        <w:pStyle w:val="FootnoteText"/>
        <w:ind w:left="567" w:hanging="567"/>
        <w:rPr>
          <w:sz w:val="24"/>
          <w:lang w:val="hu-HU"/>
        </w:rPr>
      </w:pPr>
      <w:r w:rsidRPr="0072110B">
        <w:rPr>
          <w:sz w:val="24"/>
          <w:vertAlign w:val="superscript"/>
          <w:lang w:val="hu-HU"/>
        </w:rPr>
        <w:t>6</w:t>
      </w:r>
      <w:r w:rsidR="0072110B" w:rsidRPr="0072110B">
        <w:rPr>
          <w:sz w:val="24"/>
          <w:vertAlign w:val="superscript"/>
          <w:lang w:val="hu-HU"/>
        </w:rPr>
        <w:t xml:space="preserve"> </w:t>
      </w:r>
      <w:r w:rsidR="0072110B" w:rsidRPr="0072110B">
        <w:rPr>
          <w:sz w:val="24"/>
          <w:vertAlign w:val="superscript"/>
          <w:lang w:val="hu-HU"/>
        </w:rPr>
        <w:tab/>
      </w:r>
      <w:r w:rsidRPr="0072110B">
        <w:rPr>
          <w:sz w:val="24"/>
          <w:lang w:val="hu-HU"/>
        </w:rPr>
        <w:t xml:space="preserve">Az Európai Parlament és a Tanács (EU) 2016/2341 irányelve (2016. december 14.) a foglalkoztatói nyugellátást szolgáltató intézmények tevékenységéről és felügyeletéről (HL L 354., 2016.12.23., 37. o., ELI: </w:t>
      </w:r>
      <w:hyperlink r:id="rId5" w:tgtFrame="http://data.europa.eu/eli/dir/2016/2341/oj" w:history="1">
        <w:r w:rsidRPr="0072110B">
          <w:rPr>
            <w:rStyle w:val="Hyperlink"/>
            <w:sz w:val="24"/>
            <w:lang w:val="hu-HU"/>
          </w:rPr>
          <w:t>http://data.europa.eu/eli/dir/2016/2341/oj</w:t>
        </w:r>
      </w:hyperlink>
      <w:r w:rsidRPr="0072110B">
        <w:rPr>
          <w:sz w:val="24"/>
          <w:lang w:val="hu-HU"/>
        </w:rPr>
        <w:t>).</w:t>
      </w:r>
    </w:p>
  </w:footnote>
  <w:footnote w:id="7">
    <w:p w14:paraId="1510B77A" w14:textId="504A2867" w:rsidR="00ED5C98" w:rsidRPr="0072110B" w:rsidRDefault="00ED5C98" w:rsidP="0072110B">
      <w:pPr>
        <w:pStyle w:val="FootnoteText"/>
        <w:ind w:left="567" w:hanging="567"/>
        <w:rPr>
          <w:sz w:val="24"/>
          <w:lang w:val="hu-HU"/>
        </w:rPr>
      </w:pPr>
      <w:r w:rsidRPr="0072110B">
        <w:rPr>
          <w:sz w:val="24"/>
          <w:vertAlign w:val="superscript"/>
          <w:lang w:val="hu-HU"/>
        </w:rPr>
        <w:t>7</w:t>
      </w:r>
      <w:r w:rsidR="0072110B" w:rsidRPr="0072110B">
        <w:rPr>
          <w:sz w:val="24"/>
          <w:vertAlign w:val="superscript"/>
          <w:lang w:val="hu-HU"/>
        </w:rPr>
        <w:t xml:space="preserve"> </w:t>
      </w:r>
      <w:r w:rsidR="0072110B" w:rsidRPr="0072110B">
        <w:rPr>
          <w:sz w:val="24"/>
          <w:vertAlign w:val="superscript"/>
          <w:lang w:val="hu-HU"/>
        </w:rPr>
        <w:tab/>
      </w:r>
      <w:r w:rsidR="00780140" w:rsidRPr="00334531">
        <w:rPr>
          <w:szCs w:val="24"/>
          <w:lang w:val="en-GB"/>
        </w:rPr>
        <w:t>EKB, Financial stability review</w:t>
      </w:r>
      <w:r w:rsidRPr="0094014F">
        <w:rPr>
          <w:sz w:val="24"/>
          <w:szCs w:val="24"/>
          <w:lang w:val="hu-HU"/>
        </w:rPr>
        <w:t>, 20</w:t>
      </w:r>
      <w:r w:rsidRPr="0072110B">
        <w:rPr>
          <w:sz w:val="24"/>
          <w:lang w:val="hu-HU"/>
        </w:rPr>
        <w:t>25. május, 78. o.</w:t>
      </w:r>
    </w:p>
  </w:footnote>
  <w:footnote w:id="8">
    <w:p w14:paraId="3D5B78E5" w14:textId="036435A0" w:rsidR="00ED5C98" w:rsidRPr="0072110B" w:rsidRDefault="00ED5C98" w:rsidP="0072110B">
      <w:pPr>
        <w:pStyle w:val="FootnoteText"/>
        <w:ind w:left="567" w:hanging="567"/>
        <w:rPr>
          <w:sz w:val="24"/>
          <w:lang w:val="hu-HU"/>
        </w:rPr>
      </w:pPr>
      <w:r w:rsidRPr="0072110B">
        <w:rPr>
          <w:sz w:val="24"/>
          <w:vertAlign w:val="superscript"/>
          <w:lang w:val="hu-HU"/>
        </w:rPr>
        <w:t>8</w:t>
      </w:r>
      <w:r w:rsidR="0072110B" w:rsidRPr="0072110B">
        <w:rPr>
          <w:sz w:val="24"/>
          <w:vertAlign w:val="superscript"/>
          <w:lang w:val="hu-HU"/>
        </w:rPr>
        <w:t xml:space="preserve"> </w:t>
      </w:r>
      <w:r w:rsidR="0072110B" w:rsidRPr="0072110B">
        <w:rPr>
          <w:sz w:val="24"/>
          <w:vertAlign w:val="superscript"/>
          <w:lang w:val="hu-HU"/>
        </w:rPr>
        <w:tab/>
      </w:r>
      <w:r w:rsidRPr="0072110B">
        <w:rPr>
          <w:sz w:val="24"/>
          <w:lang w:val="hu-HU"/>
        </w:rPr>
        <w:t>Az Európai Parlament és a Tanács (EU) 2017/1131 rendelete (2017. június 14.) a pénzpiaci alapokról (HL L 169., 2017.6.30., 8. o.</w:t>
      </w:r>
      <w:r w:rsidR="00BC18F9">
        <w:rPr>
          <w:sz w:val="24"/>
          <w:lang w:val="hu-HU"/>
        </w:rPr>
        <w:t>,</w:t>
      </w:r>
      <w:r w:rsidRPr="0072110B">
        <w:rPr>
          <w:sz w:val="24"/>
          <w:lang w:val="hu-HU"/>
        </w:rPr>
        <w:t xml:space="preserve"> ELI: </w:t>
      </w:r>
      <w:hyperlink r:id="rId6" w:tgtFrame="http://data.europa.eu/eli/reg/2017/1131/oj" w:history="1">
        <w:r w:rsidRPr="0072110B">
          <w:rPr>
            <w:rStyle w:val="Hyperlink"/>
            <w:sz w:val="24"/>
            <w:lang w:val="hu-HU"/>
          </w:rPr>
          <w:t>http://data.europa.eu/eli/reg/2017/1131/oj</w:t>
        </w:r>
      </w:hyperlink>
      <w:r w:rsidRPr="0072110B">
        <w:rPr>
          <w:sz w:val="24"/>
          <w:lang w:val="hu-HU"/>
        </w:rPr>
        <w:t>).</w:t>
      </w:r>
    </w:p>
  </w:footnote>
  <w:footnote w:id="9">
    <w:p w14:paraId="7939BE28" w14:textId="54FEB1B1" w:rsidR="00ED5C98" w:rsidRPr="00BC18F9" w:rsidRDefault="00ED5C98" w:rsidP="0072110B">
      <w:pPr>
        <w:pStyle w:val="FootnoteText"/>
        <w:ind w:left="567" w:hanging="567"/>
        <w:rPr>
          <w:sz w:val="24"/>
          <w:szCs w:val="24"/>
          <w:lang w:val="hu-HU"/>
        </w:rPr>
      </w:pPr>
      <w:r w:rsidRPr="00BC18F9">
        <w:rPr>
          <w:sz w:val="24"/>
          <w:szCs w:val="24"/>
          <w:vertAlign w:val="superscript"/>
          <w:lang w:val="hu-HU"/>
        </w:rPr>
        <w:t>9</w:t>
      </w:r>
      <w:r w:rsidR="0072110B" w:rsidRPr="00BC18F9">
        <w:rPr>
          <w:sz w:val="24"/>
          <w:szCs w:val="24"/>
          <w:vertAlign w:val="superscript"/>
          <w:lang w:val="hu-HU"/>
        </w:rPr>
        <w:t xml:space="preserve"> </w:t>
      </w:r>
      <w:r w:rsidR="0072110B" w:rsidRPr="00BC18F9">
        <w:rPr>
          <w:sz w:val="24"/>
          <w:szCs w:val="24"/>
          <w:vertAlign w:val="superscript"/>
          <w:lang w:val="hu-HU"/>
        </w:rPr>
        <w:tab/>
      </w:r>
      <w:r w:rsidRPr="00BC18F9">
        <w:rPr>
          <w:sz w:val="24"/>
          <w:szCs w:val="24"/>
          <w:lang w:val="hu-HU"/>
        </w:rPr>
        <w:t xml:space="preserve">A G20-ak </w:t>
      </w:r>
      <w:proofErr w:type="spellStart"/>
      <w:r w:rsidRPr="00BC18F9">
        <w:rPr>
          <w:sz w:val="24"/>
          <w:szCs w:val="24"/>
          <w:lang w:val="hu-HU"/>
        </w:rPr>
        <w:t>kriptoeszközökre</w:t>
      </w:r>
      <w:proofErr w:type="spellEnd"/>
      <w:r w:rsidRPr="00BC18F9">
        <w:rPr>
          <w:sz w:val="24"/>
          <w:szCs w:val="24"/>
          <w:lang w:val="hu-HU"/>
        </w:rPr>
        <w:t xml:space="preserve"> vonatkozó politikájának végrehajtásáról szóló helyzetjelentés</w:t>
      </w:r>
      <w:r w:rsidR="00BC18F9">
        <w:rPr>
          <w:sz w:val="24"/>
          <w:szCs w:val="24"/>
          <w:lang w:val="hu-HU"/>
        </w:rPr>
        <w:t>,</w:t>
      </w:r>
      <w:r w:rsidRPr="00BC18F9">
        <w:rPr>
          <w:sz w:val="24"/>
          <w:szCs w:val="24"/>
          <w:lang w:val="hu-HU"/>
        </w:rPr>
        <w:t xml:space="preserve"> 2024. október 22.</w:t>
      </w:r>
    </w:p>
  </w:footnote>
  <w:footnote w:id="10">
    <w:p w14:paraId="374103FC" w14:textId="41796486" w:rsidR="00ED5C98" w:rsidRPr="0072110B" w:rsidRDefault="00ED5C98" w:rsidP="0072110B">
      <w:pPr>
        <w:pStyle w:val="FootnoteText"/>
        <w:ind w:left="567" w:hanging="567"/>
        <w:rPr>
          <w:sz w:val="24"/>
          <w:lang w:val="hu-HU"/>
        </w:rPr>
      </w:pPr>
      <w:r w:rsidRPr="0072110B">
        <w:rPr>
          <w:sz w:val="24"/>
          <w:vertAlign w:val="superscript"/>
          <w:lang w:val="hu-HU"/>
        </w:rPr>
        <w:t>10</w:t>
      </w:r>
      <w:r w:rsidR="0072110B" w:rsidRPr="0072110B">
        <w:rPr>
          <w:sz w:val="24"/>
          <w:vertAlign w:val="superscript"/>
          <w:lang w:val="hu-HU"/>
        </w:rPr>
        <w:t xml:space="preserve"> </w:t>
      </w:r>
      <w:r w:rsidR="0072110B" w:rsidRPr="0072110B">
        <w:rPr>
          <w:sz w:val="24"/>
          <w:vertAlign w:val="superscript"/>
          <w:lang w:val="hu-HU"/>
        </w:rPr>
        <w:tab/>
      </w:r>
      <w:r w:rsidRPr="0072110B">
        <w:rPr>
          <w:sz w:val="24"/>
          <w:lang w:val="hu-HU"/>
        </w:rPr>
        <w:t xml:space="preserve">Az Európai Parlament és a Tanács (EU) 2022/2554 rendelete (2022. december 14.) a pénzügyi ágazat digitális működési </w:t>
      </w:r>
      <w:proofErr w:type="spellStart"/>
      <w:r w:rsidRPr="0072110B">
        <w:rPr>
          <w:sz w:val="24"/>
          <w:lang w:val="hu-HU"/>
        </w:rPr>
        <w:t>rezilienciájáról</w:t>
      </w:r>
      <w:proofErr w:type="spellEnd"/>
      <w:r w:rsidRPr="0072110B">
        <w:rPr>
          <w:sz w:val="24"/>
          <w:lang w:val="hu-HU"/>
        </w:rPr>
        <w:t xml:space="preserve">, valamint az 1060/2009/EK, a 648/2012/EU, a 600/2014/EU, a 909/2014/EU és az (EU) 2016/1011 rendelet módosításáról (HL L 333., 2022.12.27., 1. o., ELI: </w:t>
      </w:r>
      <w:hyperlink r:id="rId7" w:tgtFrame="http://data.europa.eu/eli/reg/2022/2554/oj" w:history="1">
        <w:r w:rsidRPr="0072110B">
          <w:rPr>
            <w:rStyle w:val="Hyperlink"/>
            <w:sz w:val="24"/>
            <w:lang w:val="hu-HU"/>
          </w:rPr>
          <w:t>http://data.europa.eu/eli/reg/2022/2554/oj</w:t>
        </w:r>
      </w:hyperlink>
      <w:r w:rsidRPr="0072110B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C0FCA" w14:textId="77777777" w:rsidR="00064002" w:rsidRPr="007211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F7E4A" w14:textId="77777777" w:rsidR="00064002" w:rsidRPr="007211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7314" w14:textId="77777777" w:rsidR="00064002" w:rsidRPr="007211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4665903">
    <w:abstractNumId w:val="9"/>
  </w:num>
  <w:num w:numId="2" w16cid:durableId="979113646">
    <w:abstractNumId w:val="9"/>
  </w:num>
  <w:num w:numId="3" w16cid:durableId="370151820">
    <w:abstractNumId w:val="7"/>
  </w:num>
  <w:num w:numId="4" w16cid:durableId="549341849">
    <w:abstractNumId w:val="7"/>
  </w:num>
  <w:num w:numId="5" w16cid:durableId="134613021">
    <w:abstractNumId w:val="6"/>
  </w:num>
  <w:num w:numId="6" w16cid:durableId="1520005289">
    <w:abstractNumId w:val="6"/>
  </w:num>
  <w:num w:numId="7" w16cid:durableId="445541846">
    <w:abstractNumId w:val="5"/>
  </w:num>
  <w:num w:numId="8" w16cid:durableId="1657298586">
    <w:abstractNumId w:val="5"/>
  </w:num>
  <w:num w:numId="9" w16cid:durableId="673849423">
    <w:abstractNumId w:val="4"/>
  </w:num>
  <w:num w:numId="10" w16cid:durableId="105739390">
    <w:abstractNumId w:val="4"/>
  </w:num>
  <w:num w:numId="11" w16cid:durableId="882985273">
    <w:abstractNumId w:val="8"/>
  </w:num>
  <w:num w:numId="12" w16cid:durableId="1667396436">
    <w:abstractNumId w:val="8"/>
  </w:num>
  <w:num w:numId="13" w16cid:durableId="971792065">
    <w:abstractNumId w:val="3"/>
  </w:num>
  <w:num w:numId="14" w16cid:durableId="346441853">
    <w:abstractNumId w:val="3"/>
  </w:num>
  <w:num w:numId="15" w16cid:durableId="1512792244">
    <w:abstractNumId w:val="2"/>
  </w:num>
  <w:num w:numId="16" w16cid:durableId="2040230125">
    <w:abstractNumId w:val="2"/>
  </w:num>
  <w:num w:numId="17" w16cid:durableId="1278412005">
    <w:abstractNumId w:val="1"/>
  </w:num>
  <w:num w:numId="18" w16cid:durableId="2137478187">
    <w:abstractNumId w:val="1"/>
  </w:num>
  <w:num w:numId="19" w16cid:durableId="734548833">
    <w:abstractNumId w:val="0"/>
  </w:num>
  <w:num w:numId="20" w16cid:durableId="281108023">
    <w:abstractNumId w:val="0"/>
  </w:num>
  <w:num w:numId="21" w16cid:durableId="540942061">
    <w:abstractNumId w:val="9"/>
  </w:num>
  <w:num w:numId="22" w16cid:durableId="1835804953">
    <w:abstractNumId w:val="7"/>
  </w:num>
  <w:num w:numId="23" w16cid:durableId="951326617">
    <w:abstractNumId w:val="6"/>
  </w:num>
  <w:num w:numId="24" w16cid:durableId="1393193951">
    <w:abstractNumId w:val="5"/>
  </w:num>
  <w:num w:numId="25" w16cid:durableId="439956462">
    <w:abstractNumId w:val="4"/>
  </w:num>
  <w:num w:numId="26" w16cid:durableId="369108043">
    <w:abstractNumId w:val="8"/>
  </w:num>
  <w:num w:numId="27" w16cid:durableId="1935094422">
    <w:abstractNumId w:val="3"/>
  </w:num>
  <w:num w:numId="28" w16cid:durableId="1417557414">
    <w:abstractNumId w:val="2"/>
  </w:num>
  <w:num w:numId="29" w16cid:durableId="1737244928">
    <w:abstractNumId w:val="1"/>
  </w:num>
  <w:num w:numId="30" w16cid:durableId="1691762517">
    <w:abstractNumId w:val="0"/>
  </w:num>
  <w:num w:numId="31" w16cid:durableId="162476426">
    <w:abstractNumId w:val="9"/>
  </w:num>
  <w:num w:numId="32" w16cid:durableId="134882551">
    <w:abstractNumId w:val="7"/>
  </w:num>
  <w:num w:numId="33" w16cid:durableId="727848000">
    <w:abstractNumId w:val="6"/>
  </w:num>
  <w:num w:numId="34" w16cid:durableId="1228569745">
    <w:abstractNumId w:val="5"/>
  </w:num>
  <w:num w:numId="35" w16cid:durableId="247037920">
    <w:abstractNumId w:val="4"/>
  </w:num>
  <w:num w:numId="36" w16cid:durableId="345332938">
    <w:abstractNumId w:val="8"/>
  </w:num>
  <w:num w:numId="37" w16cid:durableId="1485587578">
    <w:abstractNumId w:val="3"/>
  </w:num>
  <w:num w:numId="38" w16cid:durableId="1931228986">
    <w:abstractNumId w:val="2"/>
  </w:num>
  <w:num w:numId="39" w16cid:durableId="46491395">
    <w:abstractNumId w:val="1"/>
  </w:num>
  <w:num w:numId="40" w16cid:durableId="1849522978">
    <w:abstractNumId w:val="0"/>
  </w:num>
  <w:num w:numId="41" w16cid:durableId="1372076408">
    <w:abstractNumId w:val="10"/>
  </w:num>
  <w:num w:numId="42" w16cid:durableId="116222757">
    <w:abstractNumId w:val="10"/>
  </w:num>
  <w:num w:numId="43" w16cid:durableId="2122794031">
    <w:abstractNumId w:val="10"/>
  </w:num>
  <w:num w:numId="44" w16cid:durableId="21049152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2/2025"/>
    <w:docVar w:name="dvlangue" w:val="HU"/>
    <w:docVar w:name="dvnumam" w:val="0"/>
    <w:docVar w:name="dvpe" w:val="771.960"/>
    <w:docVar w:name="dvrapporteur" w:val="Előadó: "/>
    <w:docVar w:name="dvtitre" w:val="Az Európai Parlament 2026.  ...-i állásfoglalása a pénzügyi stabilitás megőrzéséről és előmozdításáról a gazdasági bizonytalanságok közepette(2025/2051(INI))"/>
  </w:docVars>
  <w:rsids>
    <w:rsidRoot w:val="00EE0FDC"/>
    <w:rsid w:val="00002272"/>
    <w:rsid w:val="00064002"/>
    <w:rsid w:val="000677B9"/>
    <w:rsid w:val="000831BA"/>
    <w:rsid w:val="000A42CC"/>
    <w:rsid w:val="000E7DD9"/>
    <w:rsid w:val="0010095E"/>
    <w:rsid w:val="00125B37"/>
    <w:rsid w:val="00172995"/>
    <w:rsid w:val="00187494"/>
    <w:rsid w:val="001F32AE"/>
    <w:rsid w:val="002767FF"/>
    <w:rsid w:val="002B18FE"/>
    <w:rsid w:val="002B5493"/>
    <w:rsid w:val="00334531"/>
    <w:rsid w:val="00343214"/>
    <w:rsid w:val="00361C00"/>
    <w:rsid w:val="00395FA1"/>
    <w:rsid w:val="003B598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1A3"/>
    <w:rsid w:val="005C2568"/>
    <w:rsid w:val="005F1B17"/>
    <w:rsid w:val="006037C0"/>
    <w:rsid w:val="006631B6"/>
    <w:rsid w:val="00680577"/>
    <w:rsid w:val="006F74FA"/>
    <w:rsid w:val="0072110B"/>
    <w:rsid w:val="00731ADD"/>
    <w:rsid w:val="00734777"/>
    <w:rsid w:val="00747932"/>
    <w:rsid w:val="00751A4A"/>
    <w:rsid w:val="00756632"/>
    <w:rsid w:val="00762C74"/>
    <w:rsid w:val="0078014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14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8F9"/>
    <w:rsid w:val="00BD48FE"/>
    <w:rsid w:val="00BD7BD8"/>
    <w:rsid w:val="00BE6ADC"/>
    <w:rsid w:val="00C05BFE"/>
    <w:rsid w:val="00C23CD4"/>
    <w:rsid w:val="00C61C0C"/>
    <w:rsid w:val="00C941CB"/>
    <w:rsid w:val="00CC2357"/>
    <w:rsid w:val="00CE3BDE"/>
    <w:rsid w:val="00CF071A"/>
    <w:rsid w:val="00D058B8"/>
    <w:rsid w:val="00D216EB"/>
    <w:rsid w:val="00D22B5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C98"/>
    <w:rsid w:val="00EE0FD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A892B"/>
  <w15:chartTrackingRefBased/>
  <w15:docId w15:val="{B108C8D4-CA36-46C0-A8ED-FB0373058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D5C98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D5C9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D5C98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D5C9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D5C9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D5C98"/>
    <w:rPr>
      <w:color w:val="0000FF"/>
      <w:u w:val="single"/>
    </w:rPr>
  </w:style>
  <w:style w:type="paragraph" w:styleId="Revision">
    <w:name w:val="Revision"/>
    <w:hidden/>
    <w:uiPriority w:val="99"/>
    <w:semiHidden/>
    <w:rsid w:val="0078014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9/2034/oj" TargetMode="External"/><Relationship Id="rId7" Type="http://schemas.openxmlformats.org/officeDocument/2006/relationships/hyperlink" Target="http://data.europa.eu/eli/reg/2022/2554/oj" TargetMode="External"/><Relationship Id="rId2" Type="http://schemas.openxmlformats.org/officeDocument/2006/relationships/hyperlink" Target="http://data.europa.eu/eli/reg/2017/1131/oj" TargetMode="External"/><Relationship Id="rId1" Type="http://schemas.openxmlformats.org/officeDocument/2006/relationships/hyperlink" Target="http://data.europa.eu/eli/dir/2011/61/oj" TargetMode="External"/><Relationship Id="rId6" Type="http://schemas.openxmlformats.org/officeDocument/2006/relationships/hyperlink" Target="http://data.europa.eu/eli/reg/2017/1131/oj" TargetMode="External"/><Relationship Id="rId5" Type="http://schemas.openxmlformats.org/officeDocument/2006/relationships/hyperlink" Target="http://data.europa.eu/eli/dir/2016/2341/oj" TargetMode="External"/><Relationship Id="rId4" Type="http://schemas.openxmlformats.org/officeDocument/2006/relationships/hyperlink" Target="http://data.europa.eu/eli/reg/2019/203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2546</Words>
  <Characters>18960</Characters>
  <Application>Microsoft Office Word</Application>
  <DocSecurity>0</DocSecurity>
  <Lines>158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2026-01-20T12:40:00Z</dcterms:created>
  <dcterms:modified xsi:type="dcterms:W3CDTF">2026-01-20T12:40:00Z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A10-0232/2025</vt:lpwstr>
  </property>
  <property fmtid="{D5CDD505-2E9C-101B-9397-08002B2CF9AE}" pid="4" name="&lt;Type&gt;">
    <vt:lpwstr>RR</vt:lpwstr>
  </property>
</Properties>
</file>