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56A9" w14:paraId="3B9FE65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5D8A6BF" w14:textId="77777777" w:rsidR="00751A4A" w:rsidRPr="00AD56A9" w:rsidRDefault="00B23AF0" w:rsidP="0010095E">
            <w:pPr>
              <w:pStyle w:val="EPName"/>
            </w:pPr>
            <w:r w:rsidRPr="00AD56A9">
              <w:t>Parlament Ewropew</w:t>
            </w:r>
          </w:p>
          <w:p w14:paraId="6381953F" w14:textId="77777777" w:rsidR="00751A4A" w:rsidRPr="00AD56A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56A9">
              <w:t>2024</w:t>
            </w:r>
            <w:r w:rsidR="00817416" w:rsidRPr="00AD56A9">
              <w:t>-202</w:t>
            </w:r>
            <w:r w:rsidRPr="00AD56A9">
              <w:t>9</w:t>
            </w:r>
          </w:p>
        </w:tc>
        <w:tc>
          <w:tcPr>
            <w:tcW w:w="2268" w:type="dxa"/>
            <w:shd w:val="clear" w:color="auto" w:fill="auto"/>
          </w:tcPr>
          <w:p w14:paraId="7D478400" w14:textId="77777777" w:rsidR="00751A4A" w:rsidRPr="00AD56A9" w:rsidRDefault="00187494" w:rsidP="0010095E">
            <w:pPr>
              <w:pStyle w:val="EPLogo"/>
            </w:pPr>
            <w:r w:rsidRPr="00AD56A9">
              <w:rPr>
                <w:noProof/>
                <w:lang w:eastAsia="ja-JP"/>
              </w:rPr>
              <w:drawing>
                <wp:inline distT="0" distB="0" distL="0" distR="0" wp14:anchorId="57D6B005" wp14:editId="622B9E8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5478A4" w14:textId="77777777" w:rsidR="00D058B8" w:rsidRPr="00AD56A9" w:rsidRDefault="00D058B8" w:rsidP="004C5D52">
      <w:pPr>
        <w:pStyle w:val="LineTop"/>
      </w:pPr>
    </w:p>
    <w:p w14:paraId="43A4E7AC" w14:textId="77777777" w:rsidR="00680577" w:rsidRPr="00AD56A9" w:rsidRDefault="00B23AF0" w:rsidP="00680577">
      <w:pPr>
        <w:pStyle w:val="EPBodyTA1"/>
      </w:pPr>
      <w:r w:rsidRPr="00AD56A9">
        <w:t>TESTI ADOTTATI</w:t>
      </w:r>
    </w:p>
    <w:p w14:paraId="28587EE3" w14:textId="77777777" w:rsidR="00D058B8" w:rsidRPr="00AD56A9" w:rsidRDefault="00D058B8" w:rsidP="00D058B8">
      <w:pPr>
        <w:pStyle w:val="LineBottom"/>
      </w:pPr>
    </w:p>
    <w:p w14:paraId="6608A4AD" w14:textId="188C75C2" w:rsidR="00B23AF0" w:rsidRPr="00AD56A9" w:rsidRDefault="00B23AF0" w:rsidP="00B23AF0">
      <w:pPr>
        <w:pStyle w:val="ATHeading1"/>
      </w:pPr>
      <w:bookmarkStart w:id="0" w:name="TANumber"/>
      <w:r w:rsidRPr="00AD56A9">
        <w:t>P10_TA(2026)000</w:t>
      </w:r>
      <w:bookmarkEnd w:id="0"/>
      <w:r w:rsidR="008315BD">
        <w:t>4</w:t>
      </w:r>
    </w:p>
    <w:p w14:paraId="74A2755C" w14:textId="77777777" w:rsidR="00B23AF0" w:rsidRPr="00AD56A9" w:rsidRDefault="00B23AF0" w:rsidP="00B23AF0">
      <w:pPr>
        <w:pStyle w:val="ATHeading2"/>
      </w:pPr>
      <w:bookmarkStart w:id="1" w:name="title"/>
      <w:r w:rsidRPr="00AD56A9">
        <w:t>Is-salvagwardja u l-promozzjoni tal-istabbiltà finanzjarja fost l-inċertezzi ekonomiċi</w:t>
      </w:r>
      <w:bookmarkEnd w:id="1"/>
    </w:p>
    <w:p w14:paraId="177D3592" w14:textId="77777777" w:rsidR="00B23AF0" w:rsidRPr="00AD56A9" w:rsidRDefault="00B23AF0" w:rsidP="00B23AF0">
      <w:pPr>
        <w:rPr>
          <w:i/>
          <w:vanish/>
        </w:rPr>
      </w:pPr>
      <w:r w:rsidRPr="00AD56A9">
        <w:rPr>
          <w:i/>
        </w:rPr>
        <w:fldChar w:fldCharType="begin"/>
      </w:r>
      <w:r w:rsidRPr="00AD56A9">
        <w:rPr>
          <w:i/>
        </w:rPr>
        <w:instrText xml:space="preserve"> TC"(</w:instrText>
      </w:r>
      <w:bookmarkStart w:id="2" w:name="DocNumber"/>
      <w:r w:rsidRPr="00AD56A9">
        <w:rPr>
          <w:i/>
        </w:rPr>
        <w:instrText>A10-0232/2025</w:instrText>
      </w:r>
      <w:bookmarkEnd w:id="2"/>
      <w:r w:rsidRPr="00AD56A9">
        <w:rPr>
          <w:i/>
        </w:rPr>
        <w:instrText xml:space="preserve"> - Rapporteur: Johan Van Overtveldt)"\l3 \n&gt; \* MERGEFORMAT </w:instrText>
      </w:r>
      <w:r w:rsidRPr="00AD56A9">
        <w:rPr>
          <w:i/>
        </w:rPr>
        <w:fldChar w:fldCharType="end"/>
      </w:r>
    </w:p>
    <w:p w14:paraId="397CF24A" w14:textId="77777777" w:rsidR="00B23AF0" w:rsidRPr="00AD56A9" w:rsidRDefault="00B23AF0" w:rsidP="00B23AF0">
      <w:pPr>
        <w:rPr>
          <w:vanish/>
        </w:rPr>
      </w:pPr>
      <w:bookmarkStart w:id="3" w:name="Commission"/>
      <w:r w:rsidRPr="00AD56A9">
        <w:rPr>
          <w:vanish/>
        </w:rPr>
        <w:t>Kumitat għall-Affarijiet Ekonomiċi u Monetarji</w:t>
      </w:r>
      <w:bookmarkEnd w:id="3"/>
    </w:p>
    <w:p w14:paraId="0967C8F8" w14:textId="77777777" w:rsidR="00B23AF0" w:rsidRPr="00AD56A9" w:rsidRDefault="00B23AF0" w:rsidP="00B23AF0">
      <w:pPr>
        <w:rPr>
          <w:vanish/>
        </w:rPr>
      </w:pPr>
      <w:bookmarkStart w:id="4" w:name="PE"/>
      <w:r w:rsidRPr="00AD56A9">
        <w:rPr>
          <w:vanish/>
        </w:rPr>
        <w:t>PE771.960</w:t>
      </w:r>
      <w:bookmarkEnd w:id="4"/>
    </w:p>
    <w:p w14:paraId="6D957B87" w14:textId="351FE3A4" w:rsidR="00B23AF0" w:rsidRPr="00AD56A9" w:rsidRDefault="00B23AF0" w:rsidP="00B23AF0">
      <w:pPr>
        <w:pStyle w:val="ATHeading3"/>
      </w:pPr>
      <w:bookmarkStart w:id="5" w:name="Sujet"/>
      <w:r w:rsidRPr="00AD56A9">
        <w:t xml:space="preserve">Riżoluzzjoni tal-Parlament Ewropew </w:t>
      </w:r>
      <w:r w:rsidR="00E263C9">
        <w:t xml:space="preserve">tal-20 ta’ Jannar 2026 </w:t>
      </w:r>
      <w:r w:rsidRPr="00AD56A9">
        <w:t>dwar is-salvagwardja u l-promozzjoni tal-istabbiltà finanzjarja fost l-inċertezzi ekonomiċi</w:t>
      </w:r>
      <w:bookmarkEnd w:id="5"/>
      <w:r w:rsidRPr="00AD56A9">
        <w:t xml:space="preserve"> </w:t>
      </w:r>
      <w:bookmarkStart w:id="6" w:name="References"/>
      <w:r w:rsidRPr="00AD56A9">
        <w:t>(2025/2051(INI))</w:t>
      </w:r>
      <w:bookmarkEnd w:id="6"/>
    </w:p>
    <w:p w14:paraId="4D922CE5" w14:textId="77777777" w:rsidR="00FF4DFE" w:rsidRPr="00AD56A9" w:rsidRDefault="00FF4DFE" w:rsidP="00E02F51">
      <w:pPr>
        <w:pStyle w:val="Normal12"/>
        <w:spacing w:before="480"/>
      </w:pPr>
      <w:r w:rsidRPr="00AD56A9">
        <w:rPr>
          <w:i/>
        </w:rPr>
        <w:t>Il-Parlament Ewropew</w:t>
      </w:r>
      <w:r w:rsidRPr="00AD56A9">
        <w:t>,</w:t>
      </w:r>
    </w:p>
    <w:p w14:paraId="7BD13051" w14:textId="6C3BDB89" w:rsidR="00FF4DFE" w:rsidRPr="00AD56A9" w:rsidRDefault="00FF4DFE" w:rsidP="00FF4DFE">
      <w:pPr>
        <w:pStyle w:val="NormalHanging"/>
      </w:pPr>
      <w:r w:rsidRPr="00AD56A9">
        <w:t>–</w:t>
      </w:r>
      <w:r w:rsidRPr="00AD56A9">
        <w:tab/>
        <w:t>wara li kkunsidra r-rapport tal-Kummissjoni tal-24 ta’ Jannar 2024 dwar ir-rieżami makroprudenzjali għall-istituzzjonijiet ta’ kreditu, ir-riskji sistemiċi relatati mal-Intermedjarji Finanzjarji Mhux Bankarji (</w:t>
      </w:r>
      <w:proofErr w:type="spellStart"/>
      <w:r w:rsidRPr="00AD56A9">
        <w:t>NBFIs</w:t>
      </w:r>
      <w:proofErr w:type="spellEnd"/>
      <w:r w:rsidRPr="00AD56A9">
        <w:t>) u l-interkonnettività tagħhom mal-istituzzjonijiet ta’ kreditu, skont l-Artikolu 513 tar-Regolament (UE) Nru 575/2013 tal-Parlament Ewropew u tal-Kunsill tas-26 ta’ Ġunju 2013 dwar ir-rekwiżiti prudenzjali għall-istituzzjonijiet ta’ kreditu u li jemenda r-Regolament (UE) Nru 648/2012 (</w:t>
      </w:r>
      <w:r w:rsidR="00E02F51" w:rsidRPr="00550DD3">
        <w:t>COM(2024)0021</w:t>
      </w:r>
      <w:r w:rsidRPr="00AD56A9">
        <w:t>),</w:t>
      </w:r>
    </w:p>
    <w:p w14:paraId="23379F8B" w14:textId="77777777" w:rsidR="00FF4DFE" w:rsidRPr="00AD56A9" w:rsidRDefault="00FF4DFE" w:rsidP="00FF4DFE">
      <w:pPr>
        <w:pStyle w:val="NormalHanging"/>
      </w:pPr>
      <w:r w:rsidRPr="00AD56A9">
        <w:t>–</w:t>
      </w:r>
      <w:r w:rsidRPr="00AD56A9">
        <w:tab/>
        <w:t>wara li kkunsidra r-Rieżami tal-Istabbiltà Finanzjarja tal-Bank Ċentrali Ewropew (BĊE) ta’ Novembru 2024,</w:t>
      </w:r>
    </w:p>
    <w:p w14:paraId="27F064C0" w14:textId="77777777" w:rsidR="00FF4DFE" w:rsidRPr="00AD56A9" w:rsidRDefault="00FF4DFE" w:rsidP="00FF4DFE">
      <w:pPr>
        <w:pStyle w:val="NormalHanging"/>
      </w:pPr>
      <w:r w:rsidRPr="00AD56A9">
        <w:t>–</w:t>
      </w:r>
      <w:r w:rsidRPr="00AD56A9">
        <w:tab/>
        <w:t>wara li kkunsidra r-Rieżami tal-Istabbiltà Finanzjarja tal-BĊE ta’ Mejju 2025,</w:t>
      </w:r>
    </w:p>
    <w:p w14:paraId="4C55D7A4" w14:textId="77777777" w:rsidR="00FF4DFE" w:rsidRPr="00AD56A9" w:rsidRDefault="00FF4DFE" w:rsidP="00FF4DFE">
      <w:pPr>
        <w:pStyle w:val="NormalHanging"/>
      </w:pPr>
      <w:r w:rsidRPr="00AD56A9">
        <w:t>–</w:t>
      </w:r>
      <w:r w:rsidRPr="00AD56A9">
        <w:tab/>
        <w:t>wara li kkunsidra r-Rieżami Trimestrali tal-Bank għall-Ħlasijiet Internazzjonali (BĦI) ta’ Marzu 2025 dwar l-iżviluppi fis-swieq bankarji u finanzjarji internazzjonali,</w:t>
      </w:r>
    </w:p>
    <w:p w14:paraId="143E89C5" w14:textId="77777777" w:rsidR="00FF4DFE" w:rsidRPr="00AD56A9" w:rsidRDefault="00FF4DFE" w:rsidP="00FF4DFE">
      <w:pPr>
        <w:pStyle w:val="NormalHanging"/>
      </w:pPr>
      <w:r w:rsidRPr="00AD56A9">
        <w:t>–</w:t>
      </w:r>
      <w:r w:rsidRPr="00AD56A9">
        <w:tab/>
        <w:t>wara li kkunsidra l-ittra tal-21 ta’ Frar 2025 mill-President tal-Bord għall-Istabbiltà Finanzjarja (FSB) lill-Ministri tal-Finanzi u l-Gvernaturi tal-Banek Ċentrali tal-G20,</w:t>
      </w:r>
    </w:p>
    <w:p w14:paraId="3E380037" w14:textId="77777777" w:rsidR="00FF4DFE" w:rsidRPr="00AD56A9" w:rsidRDefault="00FF4DFE" w:rsidP="00FF4DFE">
      <w:pPr>
        <w:pStyle w:val="NormalHanging"/>
      </w:pPr>
      <w:r w:rsidRPr="00AD56A9">
        <w:t>–</w:t>
      </w:r>
      <w:r w:rsidRPr="00AD56A9">
        <w:tab/>
        <w:t xml:space="preserve">wara li kkunsidra r-rapport tal-istatus tal-FSB tat-22 ta’ Ottubru 2024 bit-titolu “G20 </w:t>
      </w:r>
      <w:proofErr w:type="spellStart"/>
      <w:r w:rsidRPr="00AD56A9">
        <w:t>Crypto-asset</w:t>
      </w:r>
      <w:proofErr w:type="spellEnd"/>
      <w:r w:rsidRPr="00AD56A9">
        <w:t xml:space="preserve"> </w:t>
      </w:r>
      <w:proofErr w:type="spellStart"/>
      <w:r w:rsidRPr="00AD56A9">
        <w:t>Policy</w:t>
      </w:r>
      <w:proofErr w:type="spellEnd"/>
      <w:r w:rsidRPr="00AD56A9">
        <w:t xml:space="preserve"> </w:t>
      </w:r>
      <w:proofErr w:type="spellStart"/>
      <w:r w:rsidRPr="00AD56A9">
        <w:t>Implementation</w:t>
      </w:r>
      <w:proofErr w:type="spellEnd"/>
      <w:r w:rsidRPr="00AD56A9">
        <w:t xml:space="preserve"> </w:t>
      </w:r>
      <w:proofErr w:type="spellStart"/>
      <w:r w:rsidRPr="00AD56A9">
        <w:t>Roadmap</w:t>
      </w:r>
      <w:proofErr w:type="spellEnd"/>
      <w:r w:rsidRPr="00AD56A9">
        <w:t>” (Pjan Direzzjonali għall-Implimentazzjoni tal-Politika dwar il-Kriptoassi tal-G20),</w:t>
      </w:r>
    </w:p>
    <w:p w14:paraId="056D19EC" w14:textId="77777777" w:rsidR="00FF4DFE" w:rsidRPr="00AD56A9" w:rsidRDefault="00FF4DFE" w:rsidP="00FF4DFE">
      <w:pPr>
        <w:pStyle w:val="NormalHanging"/>
      </w:pPr>
      <w:r w:rsidRPr="00AD56A9">
        <w:t>–</w:t>
      </w:r>
      <w:r w:rsidRPr="00AD56A9">
        <w:tab/>
        <w:t>wara li kkunsidra r-rapport tal-FSB ta’ Ottubru 2021 bit-titolu “</w:t>
      </w:r>
      <w:proofErr w:type="spellStart"/>
      <w:r w:rsidRPr="00AD56A9">
        <w:t>Policy</w:t>
      </w:r>
      <w:proofErr w:type="spellEnd"/>
      <w:r w:rsidRPr="00AD56A9">
        <w:t xml:space="preserve"> </w:t>
      </w:r>
      <w:proofErr w:type="spellStart"/>
      <w:r w:rsidRPr="00AD56A9">
        <w:t>proposals</w:t>
      </w:r>
      <w:proofErr w:type="spellEnd"/>
      <w:r w:rsidRPr="00AD56A9">
        <w:t xml:space="preserve"> </w:t>
      </w:r>
      <w:proofErr w:type="spellStart"/>
      <w:r w:rsidRPr="00AD56A9">
        <w:t>to</w:t>
      </w:r>
      <w:proofErr w:type="spellEnd"/>
      <w:r w:rsidRPr="00AD56A9">
        <w:t xml:space="preserve"> </w:t>
      </w:r>
      <w:proofErr w:type="spellStart"/>
      <w:r w:rsidRPr="00AD56A9">
        <w:t>enhance</w:t>
      </w:r>
      <w:proofErr w:type="spellEnd"/>
      <w:r w:rsidRPr="00AD56A9">
        <w:t xml:space="preserve"> </w:t>
      </w:r>
      <w:proofErr w:type="spellStart"/>
      <w:r w:rsidRPr="00AD56A9">
        <w:t>money</w:t>
      </w:r>
      <w:proofErr w:type="spellEnd"/>
      <w:r w:rsidRPr="00AD56A9">
        <w:t xml:space="preserve"> </w:t>
      </w:r>
      <w:proofErr w:type="spellStart"/>
      <w:r w:rsidRPr="00AD56A9">
        <w:t>market</w:t>
      </w:r>
      <w:proofErr w:type="spellEnd"/>
      <w:r w:rsidRPr="00AD56A9">
        <w:t xml:space="preserve"> </w:t>
      </w:r>
      <w:proofErr w:type="spellStart"/>
      <w:r w:rsidRPr="00AD56A9">
        <w:t>fund</w:t>
      </w:r>
      <w:proofErr w:type="spellEnd"/>
      <w:r w:rsidRPr="00AD56A9">
        <w:t xml:space="preserve"> </w:t>
      </w:r>
      <w:proofErr w:type="spellStart"/>
      <w:r w:rsidRPr="00AD56A9">
        <w:t>resilience</w:t>
      </w:r>
      <w:proofErr w:type="spellEnd"/>
      <w:r w:rsidRPr="00AD56A9">
        <w:t xml:space="preserve">: Final </w:t>
      </w:r>
      <w:proofErr w:type="spellStart"/>
      <w:r w:rsidRPr="00AD56A9">
        <w:t>report</w:t>
      </w:r>
      <w:proofErr w:type="spellEnd"/>
      <w:r w:rsidRPr="00AD56A9">
        <w:t>” (Proposti ta’ politika biex tissaħħaħ ir-reżiljenza tal-fondi tas-suq monetarju: Rapport finali),</w:t>
      </w:r>
    </w:p>
    <w:p w14:paraId="45882157" w14:textId="77777777" w:rsidR="00FF4DFE" w:rsidRPr="00AD56A9" w:rsidRDefault="00FF4DFE" w:rsidP="00FF4DFE">
      <w:pPr>
        <w:pStyle w:val="NormalHanging"/>
      </w:pPr>
      <w:r w:rsidRPr="00AD56A9">
        <w:lastRenderedPageBreak/>
        <w:t>–</w:t>
      </w:r>
      <w:r w:rsidRPr="00AD56A9">
        <w:tab/>
        <w:t xml:space="preserve">wara li kkunsidra r-rispons tal-Bord Ewropew dwar ir-Riskju Sistemiku (BERS) ta’ Novembru 2024 għall-konsultazzjoni tal-Kummissjoni li jivvaluta l-adegwatezza tal- politiki makroprudenzjali għall-intermedjazzjoni finanzjarja mhux bankarja, bit-titolu “A </w:t>
      </w:r>
      <w:proofErr w:type="spellStart"/>
      <w:r w:rsidRPr="00AD56A9">
        <w:t>system-wide</w:t>
      </w:r>
      <w:proofErr w:type="spellEnd"/>
      <w:r w:rsidRPr="00AD56A9">
        <w:t xml:space="preserve"> </w:t>
      </w:r>
      <w:proofErr w:type="spellStart"/>
      <w:r w:rsidRPr="00AD56A9">
        <w:t>approach</w:t>
      </w:r>
      <w:proofErr w:type="spellEnd"/>
      <w:r w:rsidRPr="00AD56A9">
        <w:t xml:space="preserve"> </w:t>
      </w:r>
      <w:proofErr w:type="spellStart"/>
      <w:r w:rsidRPr="00AD56A9">
        <w:t>to</w:t>
      </w:r>
      <w:proofErr w:type="spellEnd"/>
      <w:r w:rsidRPr="00AD56A9">
        <w:t xml:space="preserve"> </w:t>
      </w:r>
      <w:proofErr w:type="spellStart"/>
      <w:r w:rsidRPr="00AD56A9">
        <w:t>macroprudential</w:t>
      </w:r>
      <w:proofErr w:type="spellEnd"/>
      <w:r w:rsidRPr="00AD56A9">
        <w:t xml:space="preserve"> </w:t>
      </w:r>
      <w:proofErr w:type="spellStart"/>
      <w:r w:rsidRPr="00AD56A9">
        <w:t>policy</w:t>
      </w:r>
      <w:proofErr w:type="spellEnd"/>
      <w:r w:rsidRPr="00AD56A9">
        <w:t>” (Approċċ mifrux mas-sistema kollha għall-politika makroprudenzjali),</w:t>
      </w:r>
    </w:p>
    <w:p w14:paraId="1273DFB3" w14:textId="77777777" w:rsidR="00FF4DFE" w:rsidRPr="00AD56A9" w:rsidRDefault="00FF4DFE" w:rsidP="00FF4DFE">
      <w:pPr>
        <w:pStyle w:val="NormalHanging"/>
      </w:pPr>
      <w:r w:rsidRPr="00AD56A9">
        <w:t>–</w:t>
      </w:r>
      <w:r w:rsidRPr="00AD56A9">
        <w:tab/>
        <w:t>wara li kkunsidra r-rapport ta’ konformità tal-BERS ta’ Frar 2025 dwar ir-rakkomandazzjoni tal-BERS tat-2 ta’ Diċembru 2021 fir-rigward tar-riforma tal-fondi tas-suq monetarju (ESRB/2021/9),</w:t>
      </w:r>
    </w:p>
    <w:p w14:paraId="02598862" w14:textId="77777777" w:rsidR="00FF4DFE" w:rsidRPr="00AD56A9" w:rsidRDefault="00FF4DFE" w:rsidP="00FF4DFE">
      <w:pPr>
        <w:pStyle w:val="NormalHanging"/>
      </w:pPr>
      <w:r w:rsidRPr="00AD56A9">
        <w:t>–</w:t>
      </w:r>
      <w:r w:rsidRPr="00AD56A9">
        <w:tab/>
        <w:t>wara li kkunsidra l-aġġornament tal-Kumitat Konġunt tal-Awtoritajiet Superviżorji Ewropej tal-31 ta’ Marzu 2025 dwar ir-riskji u l-vulnerabbiltajiet tas-sistema finanzjarja tal-UE – ir-rebbiegħa tal-2025,</w:t>
      </w:r>
    </w:p>
    <w:p w14:paraId="3FD1CD7A" w14:textId="77777777" w:rsidR="00FF4DFE" w:rsidRPr="00AD56A9" w:rsidRDefault="00FF4DFE" w:rsidP="00FF4DFE">
      <w:pPr>
        <w:pStyle w:val="NormalHanging"/>
      </w:pPr>
      <w:r w:rsidRPr="00AD56A9">
        <w:t>–</w:t>
      </w:r>
      <w:r w:rsidRPr="00AD56A9">
        <w:tab/>
        <w:t>wara li kkunsidra l-opinjoni tal-Awtorità Ewropea tat-Titoli u s-Swieq (ESMA) tal-14 ta’ Frar 2022 dwar ir-rieżami tar-Regolament dwar il-Fond tas-Suq Monetarju,</w:t>
      </w:r>
    </w:p>
    <w:p w14:paraId="6EC48BCD" w14:textId="77777777" w:rsidR="00FF4DFE" w:rsidRPr="00AD56A9" w:rsidRDefault="00FF4DFE" w:rsidP="00FF4DFE">
      <w:pPr>
        <w:pStyle w:val="NormalHanging"/>
      </w:pPr>
      <w:r w:rsidRPr="00AD56A9">
        <w:t>–</w:t>
      </w:r>
      <w:r w:rsidRPr="00AD56A9">
        <w:tab/>
        <w:t>wara li kkunsidra r-Rapport dwar l-Istabbiltà Finanzjarja Globali tal-Fond Monetarju Internazzjonali (FMI) tat-22 ta’ April 2025,</w:t>
      </w:r>
    </w:p>
    <w:p w14:paraId="05341716" w14:textId="77777777" w:rsidR="00FF4DFE" w:rsidRPr="00AD56A9" w:rsidRDefault="00FF4DFE" w:rsidP="00FF4DFE">
      <w:pPr>
        <w:pStyle w:val="NormalHanging"/>
      </w:pPr>
      <w:r w:rsidRPr="00AD56A9">
        <w:t>–</w:t>
      </w:r>
      <w:r w:rsidRPr="00AD56A9">
        <w:tab/>
        <w:t xml:space="preserve">wara li kkunsidra r-rapport ta’ Mario </w:t>
      </w:r>
      <w:proofErr w:type="spellStart"/>
      <w:r w:rsidRPr="00AD56A9">
        <w:t>Draghi</w:t>
      </w:r>
      <w:proofErr w:type="spellEnd"/>
      <w:r w:rsidRPr="00AD56A9">
        <w:t xml:space="preserve"> tad-9 ta’ Settembru 2024 bit-titolu “</w:t>
      </w:r>
      <w:proofErr w:type="spellStart"/>
      <w:r w:rsidRPr="00AD56A9">
        <w:t>The</w:t>
      </w:r>
      <w:proofErr w:type="spellEnd"/>
      <w:r w:rsidRPr="00AD56A9">
        <w:t xml:space="preserve"> </w:t>
      </w:r>
      <w:proofErr w:type="spellStart"/>
      <w:r w:rsidRPr="00AD56A9">
        <w:t>future</w:t>
      </w:r>
      <w:proofErr w:type="spellEnd"/>
      <w:r w:rsidRPr="00AD56A9">
        <w:t xml:space="preserve"> of </w:t>
      </w:r>
      <w:proofErr w:type="spellStart"/>
      <w:r w:rsidRPr="00AD56A9">
        <w:t>European</w:t>
      </w:r>
      <w:proofErr w:type="spellEnd"/>
      <w:r w:rsidRPr="00AD56A9">
        <w:t xml:space="preserve"> </w:t>
      </w:r>
      <w:proofErr w:type="spellStart"/>
      <w:r w:rsidRPr="00AD56A9">
        <w:t>competitiveness</w:t>
      </w:r>
      <w:proofErr w:type="spellEnd"/>
      <w:r w:rsidRPr="00AD56A9">
        <w:t xml:space="preserve">” (Il-futur tal-kompetittività Ewropea) (ir-Rapport </w:t>
      </w:r>
      <w:proofErr w:type="spellStart"/>
      <w:r w:rsidRPr="00AD56A9">
        <w:t>Draghi</w:t>
      </w:r>
      <w:proofErr w:type="spellEnd"/>
      <w:r w:rsidRPr="00AD56A9">
        <w:t>),</w:t>
      </w:r>
    </w:p>
    <w:p w14:paraId="3A6651C7" w14:textId="77777777" w:rsidR="00FF4DFE" w:rsidRPr="00AD56A9" w:rsidRDefault="00FF4DFE" w:rsidP="00FF4DFE">
      <w:pPr>
        <w:pStyle w:val="NormalHanging"/>
      </w:pPr>
      <w:r w:rsidRPr="00AD56A9">
        <w:t>–</w:t>
      </w:r>
      <w:r w:rsidRPr="00AD56A9">
        <w:tab/>
        <w:t xml:space="preserve">wara li kkunsidra r-rapport ta’ Enrico </w:t>
      </w:r>
      <w:proofErr w:type="spellStart"/>
      <w:r w:rsidRPr="00AD56A9">
        <w:t>Letta</w:t>
      </w:r>
      <w:proofErr w:type="spellEnd"/>
      <w:r w:rsidRPr="00AD56A9">
        <w:t xml:space="preserve"> tas-17 ta’ April 2024 bit-titolu “</w:t>
      </w:r>
      <w:proofErr w:type="spellStart"/>
      <w:r w:rsidRPr="00AD56A9">
        <w:t>Much</w:t>
      </w:r>
      <w:proofErr w:type="spellEnd"/>
      <w:r w:rsidRPr="00AD56A9">
        <w:t xml:space="preserve"> </w:t>
      </w:r>
      <w:proofErr w:type="spellStart"/>
      <w:r w:rsidRPr="00AD56A9">
        <w:t>more</w:t>
      </w:r>
      <w:proofErr w:type="spellEnd"/>
      <w:r w:rsidRPr="00AD56A9">
        <w:t xml:space="preserve"> </w:t>
      </w:r>
      <w:proofErr w:type="spellStart"/>
      <w:r w:rsidRPr="00AD56A9">
        <w:t>than</w:t>
      </w:r>
      <w:proofErr w:type="spellEnd"/>
      <w:r w:rsidRPr="00AD56A9">
        <w:t xml:space="preserve"> a </w:t>
      </w:r>
      <w:proofErr w:type="spellStart"/>
      <w:r w:rsidRPr="00AD56A9">
        <w:t>market</w:t>
      </w:r>
      <w:proofErr w:type="spellEnd"/>
      <w:r w:rsidRPr="00AD56A9">
        <w:t xml:space="preserve">” (Ħafna aktar milli suq) (ir-Rapport </w:t>
      </w:r>
      <w:proofErr w:type="spellStart"/>
      <w:r w:rsidRPr="00AD56A9">
        <w:t>Letta</w:t>
      </w:r>
      <w:proofErr w:type="spellEnd"/>
      <w:r w:rsidRPr="00AD56A9">
        <w:t>),</w:t>
      </w:r>
    </w:p>
    <w:p w14:paraId="025C0E45" w14:textId="77777777" w:rsidR="00FF4DFE" w:rsidRPr="00AD56A9" w:rsidRDefault="00FF4DFE" w:rsidP="00FF4DFE">
      <w:pPr>
        <w:pStyle w:val="NormalHanging"/>
      </w:pPr>
      <w:r w:rsidRPr="00AD56A9">
        <w:t>–</w:t>
      </w:r>
      <w:r w:rsidRPr="00AD56A9">
        <w:tab/>
        <w:t>wara li kkunsidra r-riżoluzzjoni tiegħu tas-6 ta’ Lulju 2011 dwar il-kriżi finanzjarja, ekonomika u soċjali: rakkomandazzjonijiet rigward il-miżuri u l-inizjattivi li għandhom jittieħdu</w:t>
      </w:r>
      <w:r w:rsidRPr="00AD56A9">
        <w:rPr>
          <w:rStyle w:val="FootnoteReference"/>
        </w:rPr>
        <w:footnoteReference w:customMarkFollows="1" w:id="1"/>
        <w:t>1</w:t>
      </w:r>
      <w:r w:rsidRPr="00AD56A9">
        <w:t>,</w:t>
      </w:r>
    </w:p>
    <w:p w14:paraId="209C31C7" w14:textId="77777777" w:rsidR="00FF4DFE" w:rsidRPr="00AD56A9" w:rsidRDefault="00FF4DFE" w:rsidP="00FF4DFE">
      <w:pPr>
        <w:pStyle w:val="NormalHanging"/>
      </w:pPr>
      <w:r w:rsidRPr="00AD56A9">
        <w:t>–</w:t>
      </w:r>
      <w:r w:rsidRPr="00AD56A9">
        <w:tab/>
        <w:t>wara li kkunsidra r-rapport tal-Kumitat għall-Affarijiet Ekonomiċi u Monetarji tiegħu tas-26 ta’ Marzu 2025 dwar l-Unjoni Bankarja – rapport annwali 2024,</w:t>
      </w:r>
    </w:p>
    <w:p w14:paraId="232E686D" w14:textId="77777777" w:rsidR="00FF4DFE" w:rsidRPr="00AD56A9" w:rsidRDefault="00FF4DFE" w:rsidP="00FF4DFE">
      <w:pPr>
        <w:pStyle w:val="NormalHanging"/>
      </w:pPr>
      <w:r w:rsidRPr="00AD56A9">
        <w:t>–</w:t>
      </w:r>
      <w:r w:rsidRPr="00AD56A9">
        <w:tab/>
        <w:t>wara li kkunsidra s-seduta ta’ smigħ tal-Kumitat għall-Affarijiet Ekonomiċi u Monetarji tiegħu tad-19 ta’ Marzu 2025 dwar il-valutazzjoni tal-adegwatezza tal-qafas makroprudenzjali għall-istituzzjonijiet finanzjarji mhux bankarji fl-UE,</w:t>
      </w:r>
    </w:p>
    <w:p w14:paraId="4668F2DE" w14:textId="77777777" w:rsidR="00FF4DFE" w:rsidRPr="00AD56A9" w:rsidRDefault="00FF4DFE" w:rsidP="00FF4DFE">
      <w:pPr>
        <w:pStyle w:val="NormalHanging"/>
      </w:pPr>
      <w:r w:rsidRPr="00AD56A9">
        <w:t>–</w:t>
      </w:r>
      <w:r w:rsidRPr="00AD56A9">
        <w:tab/>
        <w:t>wara li kkunsidra l-Artikolu 55 tar-Regoli ta’ Proċedura tiegħu,</w:t>
      </w:r>
    </w:p>
    <w:p w14:paraId="4339FD40" w14:textId="77777777" w:rsidR="00FF4DFE" w:rsidRPr="00AD56A9" w:rsidRDefault="00FF4DFE" w:rsidP="00FF4DFE">
      <w:pPr>
        <w:pStyle w:val="NormalHanging"/>
      </w:pPr>
      <w:r w:rsidRPr="00AD56A9">
        <w:t>–</w:t>
      </w:r>
      <w:r w:rsidRPr="00AD56A9">
        <w:tab/>
        <w:t>wara li kkunsidra r-rapport tal-Kumitat għall-Affarijiet Ekonomiċi u Monetarji (A10-0232/2025),</w:t>
      </w:r>
    </w:p>
    <w:p w14:paraId="22B5487C" w14:textId="77777777" w:rsidR="00FF4DFE" w:rsidRPr="00AD56A9" w:rsidRDefault="00FF4DFE" w:rsidP="00FF4DFE">
      <w:pPr>
        <w:pStyle w:val="NormalHanging"/>
      </w:pPr>
      <w:r w:rsidRPr="00AD56A9">
        <w:t>A.</w:t>
      </w:r>
      <w:r w:rsidRPr="00AD56A9">
        <w:tab/>
        <w:t>billi l-istabbiltà finanzjarja tibqa’ pedament tar-reżiljenza ekonomika u t-tkabbir, u tirrikjedi l-viġilanza fid-dawl ta’ inċertezza ekonomika sinifikanti, xokkijiet esterni u riskji sistemiċi;</w:t>
      </w:r>
    </w:p>
    <w:p w14:paraId="1FAA746C" w14:textId="77777777" w:rsidR="00FF4DFE" w:rsidRPr="00AD56A9" w:rsidRDefault="00FF4DFE" w:rsidP="00FF4DFE">
      <w:pPr>
        <w:pStyle w:val="NormalHanging"/>
      </w:pPr>
      <w:r w:rsidRPr="00AD56A9">
        <w:t>B.</w:t>
      </w:r>
      <w:r w:rsidRPr="00AD56A9">
        <w:tab/>
        <w:t>billi l-kriżi finanzjarja globali żvelat ir-riskji li l-instabbiltà finanzjarja toħloq għall-ekonomiji avvanzati u li jassumu proporzjon globali;</w:t>
      </w:r>
    </w:p>
    <w:p w14:paraId="69410FA0" w14:textId="77777777" w:rsidR="00FF4DFE" w:rsidRPr="00AD56A9" w:rsidRDefault="00FF4DFE" w:rsidP="00FF4DFE">
      <w:pPr>
        <w:pStyle w:val="NormalHanging"/>
      </w:pPr>
      <w:r w:rsidRPr="00AD56A9">
        <w:lastRenderedPageBreak/>
        <w:t>C.</w:t>
      </w:r>
      <w:r w:rsidRPr="00AD56A9">
        <w:tab/>
        <w:t>billi l-aggressjoni kontinwa tar-Russja kontra l-Ukrajna u l-konsegwenzi ekonomiċi tagħha wasslu għal pressjonijiet inflazzjonarji, volatilità fis-swieq tal-enerġija u inċertezza finanzjarja;</w:t>
      </w:r>
    </w:p>
    <w:p w14:paraId="00015667" w14:textId="77777777" w:rsidR="00FF4DFE" w:rsidRPr="00AD56A9" w:rsidRDefault="00FF4DFE" w:rsidP="00FF4DFE">
      <w:pPr>
        <w:pStyle w:val="NormalHanging"/>
      </w:pPr>
      <w:r w:rsidRPr="00AD56A9">
        <w:t>D.</w:t>
      </w:r>
      <w:r w:rsidRPr="00AD56A9">
        <w:tab/>
        <w:t>billi l-impożizzjoni ta’ tariffi tikkontribwixxi għall-frammentazzjoni tal-kummerċ dinji, taggrava t-tfixkil fil-katina tal-provvista u toħloq riskji addizzjonali għas-swieq finanzjarji u għall-ekonomija usa’;</w:t>
      </w:r>
    </w:p>
    <w:p w14:paraId="4E5C68C3" w14:textId="77777777" w:rsidR="00FF4DFE" w:rsidRPr="00AD56A9" w:rsidRDefault="00FF4DFE" w:rsidP="00FF4DFE">
      <w:pPr>
        <w:pStyle w:val="NormalHanging"/>
      </w:pPr>
      <w:r w:rsidRPr="00AD56A9">
        <w:t>E.</w:t>
      </w:r>
      <w:r w:rsidRPr="00AD56A9">
        <w:tab/>
        <w:t>billi unjoni tas-swieq kapitali (CMU) integrata sew hija essenzjali biex tassorbi x-xokkijiet u trawwem l-investiment fl-UE u tintegra aktar is-suq uniku;</w:t>
      </w:r>
    </w:p>
    <w:p w14:paraId="4A2BD549" w14:textId="77777777" w:rsidR="00FF4DFE" w:rsidRPr="00AD56A9" w:rsidRDefault="00FF4DFE" w:rsidP="00FF4DFE">
      <w:pPr>
        <w:pStyle w:val="NormalHanging"/>
      </w:pPr>
      <w:r w:rsidRPr="00AD56A9">
        <w:t>F.</w:t>
      </w:r>
      <w:r w:rsidRPr="00AD56A9">
        <w:tab/>
        <w:t>billi l-istabbiltà tal-</w:t>
      </w:r>
      <w:proofErr w:type="spellStart"/>
      <w:r w:rsidRPr="00AD56A9">
        <w:t>NBFIs</w:t>
      </w:r>
      <w:proofErr w:type="spellEnd"/>
      <w:r w:rsidRPr="00AD56A9">
        <w:t xml:space="preserve"> se ssir saħansitra aktar importanti jekk l-Unjoni Ewropea tidderieġi l-finanzjament tagħha aktar lejn is-swieq kapitali;</w:t>
      </w:r>
    </w:p>
    <w:p w14:paraId="0EA22E0F" w14:textId="77777777" w:rsidR="00FF4DFE" w:rsidRPr="00AD56A9" w:rsidRDefault="00FF4DFE" w:rsidP="00FF4DFE">
      <w:pPr>
        <w:pStyle w:val="NormalHanging"/>
      </w:pPr>
      <w:r w:rsidRPr="00AD56A9">
        <w:t>G.</w:t>
      </w:r>
      <w:r w:rsidRPr="00AD56A9">
        <w:tab/>
        <w:t>billi l-</w:t>
      </w:r>
      <w:proofErr w:type="spellStart"/>
      <w:r w:rsidRPr="00AD56A9">
        <w:t>NBFIs</w:t>
      </w:r>
      <w:proofErr w:type="spellEnd"/>
      <w:r w:rsidRPr="00AD56A9">
        <w:t xml:space="preserve"> joperaw f’setturi differenti ħafna;</w:t>
      </w:r>
    </w:p>
    <w:p w14:paraId="7ECDB56F" w14:textId="77777777" w:rsidR="00FF4DFE" w:rsidRPr="00AD56A9" w:rsidRDefault="00FF4DFE" w:rsidP="00FF4DFE">
      <w:pPr>
        <w:pStyle w:val="NormalHanging"/>
      </w:pPr>
      <w:r w:rsidRPr="00AD56A9">
        <w:t>H.</w:t>
      </w:r>
      <w:r w:rsidRPr="00AD56A9">
        <w:tab/>
        <w:t>billi t-tnaqqis fit-tkabbir ekonomiku, aggravat mit-tensjonijiet kummerċjali, għandu effetti negattivi fuq l-entitajiet b’ingranaġġ u se jżid ir-riskju ta’ kreditu għall-istituzzjonijiet finanzjarji;</w:t>
      </w:r>
    </w:p>
    <w:p w14:paraId="34B6682C" w14:textId="77777777" w:rsidR="00FF4DFE" w:rsidRPr="00AD56A9" w:rsidRDefault="00FF4DFE" w:rsidP="00FF4DFE">
      <w:pPr>
        <w:pStyle w:val="NormalHanging"/>
      </w:pPr>
      <w:r w:rsidRPr="00AD56A9">
        <w:t>I.</w:t>
      </w:r>
      <w:r w:rsidRPr="00AD56A9">
        <w:tab/>
        <w:t>billi l-valutazzjonijiet għoljin tal-assi fis-swieq tal-ekwità u tad-dejn korporattiv iqajmu tħassib dwar il-possibbiltà ta’ korrezzjoni tas-suq li jkollha konsegwenzi sistemiċi;</w:t>
      </w:r>
    </w:p>
    <w:p w14:paraId="54C73BC5" w14:textId="77777777" w:rsidR="00FF4DFE" w:rsidRPr="00AD56A9" w:rsidRDefault="00FF4DFE" w:rsidP="00FF4DFE">
      <w:pPr>
        <w:pStyle w:val="NormalHanging"/>
      </w:pPr>
      <w:r w:rsidRPr="00AD56A9">
        <w:t>J.</w:t>
      </w:r>
      <w:r w:rsidRPr="00AD56A9">
        <w:tab/>
        <w:t>billi s-settur tal-proprjetà immobbli residenzjali, li bbenefika minn ambjent b’rata tal-imgħax baxxa, għandu rwol ċentrali fl-istabbiltà finanzjarja minħabba l-post ċentrali tiegħu fl-ekonomija, is-sehem sinifikanti tal-ġid tal-unitajiet domestiċi kkonċentrat fl-assi tal-proprjetà, l-involviment ewlieni tas-settur finanzjarju fil-finanzjament tal-investimenti tal-proprjetà immobbli u l-funzjoni kruċjali tal-proprjetà immobbli bħala kollateral fis-swieq tal-kreditu;</w:t>
      </w:r>
    </w:p>
    <w:p w14:paraId="7A4CE1F5" w14:textId="77777777" w:rsidR="00FF4DFE" w:rsidRPr="00AD56A9" w:rsidRDefault="00FF4DFE" w:rsidP="00FF4DFE">
      <w:pPr>
        <w:pStyle w:val="NormalHanging"/>
      </w:pPr>
      <w:r w:rsidRPr="00AD56A9">
        <w:t>K.</w:t>
      </w:r>
      <w:r w:rsidRPr="00AD56A9">
        <w:tab/>
        <w:t>billi l-kumplessità u l-interkonnessjoni fost is-setturi finanzjarji saru dejjem aktar importanti u l-</w:t>
      </w:r>
      <w:proofErr w:type="spellStart"/>
      <w:r w:rsidRPr="00AD56A9">
        <w:t>NBFIs</w:t>
      </w:r>
      <w:proofErr w:type="spellEnd"/>
      <w:r w:rsidRPr="00AD56A9">
        <w:t xml:space="preserve"> huma selliefa netti lill-banek u lill-ekonomija usa’;</w:t>
      </w:r>
    </w:p>
    <w:p w14:paraId="72857BB2" w14:textId="77777777" w:rsidR="00FF4DFE" w:rsidRPr="00AD56A9" w:rsidRDefault="00FF4DFE" w:rsidP="00FF4DFE">
      <w:pPr>
        <w:pStyle w:val="NormalHanging"/>
      </w:pPr>
      <w:r w:rsidRPr="00AD56A9">
        <w:t>L.</w:t>
      </w:r>
      <w:r w:rsidRPr="00AD56A9">
        <w:tab/>
        <w:t>billi l-impronta tal-</w:t>
      </w:r>
      <w:proofErr w:type="spellStart"/>
      <w:r w:rsidRPr="00AD56A9">
        <w:t>NBFIs</w:t>
      </w:r>
      <w:proofErr w:type="spellEnd"/>
      <w:r w:rsidRPr="00AD56A9">
        <w:t xml:space="preserve"> fis-swieq finanzjarji strateġiċi, bħas-swieq tal-bonds sovrani, kibret, kif muri mil-likwidazzjoni ta’ kuntratti ta’ flus futuri ġestiti minn fondi ħeġġ fis-suq tat-teżor tal-Istati Uniti matul il-kriżi tat-tariffi f’April 2025;</w:t>
      </w:r>
    </w:p>
    <w:p w14:paraId="05E75A12" w14:textId="77777777" w:rsidR="00FF4DFE" w:rsidRPr="00AD56A9" w:rsidRDefault="00FF4DFE" w:rsidP="00FF4DFE">
      <w:pPr>
        <w:pStyle w:val="NormalHanging"/>
      </w:pPr>
      <w:r w:rsidRPr="00AD56A9">
        <w:t>M.</w:t>
      </w:r>
      <w:r w:rsidRPr="00AD56A9">
        <w:tab/>
        <w:t>billi riformi mmirati jistgħu jtejbu r-reżiljenza tal-fondi tas-suq monetarju tal-UE f’konformità mal-istandards internazzjonali;</w:t>
      </w:r>
    </w:p>
    <w:p w14:paraId="17772880" w14:textId="77777777" w:rsidR="00FF4DFE" w:rsidRPr="00AD56A9" w:rsidRDefault="00FF4DFE" w:rsidP="00FF4DFE">
      <w:pPr>
        <w:pStyle w:val="NormalHanging"/>
      </w:pPr>
      <w:r w:rsidRPr="00AD56A9">
        <w:t>N.</w:t>
      </w:r>
      <w:r w:rsidRPr="00AD56A9">
        <w:tab/>
        <w:t>billi s-settur finanzjarju għadu vulnerabbli għat-theddid ċibernetiku, għat-tattiċi tal-gwerra ibrida u għall-ingranaġġ moħbi li jistgħu jiddestabbilizzaw l-infrastruttura finanzjarja kritika;</w:t>
      </w:r>
    </w:p>
    <w:p w14:paraId="515986AC" w14:textId="77777777" w:rsidR="00FF4DFE" w:rsidRPr="00AD56A9" w:rsidRDefault="00FF4DFE" w:rsidP="00FF4DFE">
      <w:pPr>
        <w:pStyle w:val="Normal12a"/>
      </w:pPr>
      <w:r w:rsidRPr="00AD56A9">
        <w:rPr>
          <w:i/>
        </w:rPr>
        <w:t>L-Unjoni Bankarja u s-CMU:</w:t>
      </w:r>
      <w:r w:rsidRPr="00AD56A9">
        <w:rPr>
          <w:b/>
          <w:i/>
        </w:rPr>
        <w:t xml:space="preserve"> l-assorbiment tax-xokkijiet u r-reżiljenza</w:t>
      </w:r>
    </w:p>
    <w:p w14:paraId="72905BF5" w14:textId="77777777" w:rsidR="00FF4DFE" w:rsidRPr="00AD56A9" w:rsidRDefault="00FF4DFE" w:rsidP="00FF4DFE">
      <w:pPr>
        <w:pStyle w:val="NormalHanging12a"/>
      </w:pPr>
      <w:r w:rsidRPr="00AD56A9">
        <w:t>1.</w:t>
      </w:r>
      <w:r w:rsidRPr="00AD56A9">
        <w:tab/>
        <w:t xml:space="preserve">Jilqa’ d-dibattitu mġedded dwar il-ħtieġa li tingħata spinta lill-produttività u l-kompetittività tal-UE, inkluż permezz ta’ swieq kapitali integrati aħjar u ekonomija effiċjenti fl-użu tar-riżorsi, kif sottolinjat fir-Rapport </w:t>
      </w:r>
      <w:proofErr w:type="spellStart"/>
      <w:r w:rsidRPr="00AD56A9">
        <w:t>Draghi</w:t>
      </w:r>
      <w:proofErr w:type="spellEnd"/>
      <w:r w:rsidRPr="00AD56A9">
        <w:t xml:space="preserve"> u r-Rapport </w:t>
      </w:r>
      <w:proofErr w:type="spellStart"/>
      <w:r w:rsidRPr="00AD56A9">
        <w:t>Letta</w:t>
      </w:r>
      <w:proofErr w:type="spellEnd"/>
      <w:r w:rsidRPr="00AD56A9">
        <w:t>;</w:t>
      </w:r>
    </w:p>
    <w:p w14:paraId="2724C04A" w14:textId="77777777" w:rsidR="00FF4DFE" w:rsidRPr="00AD56A9" w:rsidRDefault="00FF4DFE" w:rsidP="00FF4DFE">
      <w:pPr>
        <w:pStyle w:val="NormalHanging12a"/>
      </w:pPr>
      <w:r w:rsidRPr="00AD56A9">
        <w:t>2.</w:t>
      </w:r>
      <w:r w:rsidRPr="00AD56A9">
        <w:tab/>
        <w:t>Jistieden lill-Kummissjoni tipprijoritizza aġenda tas-CMU li tappoġġja l-kompetittività tal-UE filwaqt li ma xxekkilx l-istabbiltà finanzjarja;</w:t>
      </w:r>
    </w:p>
    <w:p w14:paraId="47F19B24" w14:textId="77777777" w:rsidR="00FF4DFE" w:rsidRPr="00AD56A9" w:rsidRDefault="00FF4DFE" w:rsidP="00FF4DFE">
      <w:pPr>
        <w:pStyle w:val="NormalHanging12a"/>
      </w:pPr>
      <w:r w:rsidRPr="00AD56A9">
        <w:lastRenderedPageBreak/>
        <w:t>3.</w:t>
      </w:r>
      <w:r w:rsidRPr="00AD56A9">
        <w:tab/>
        <w:t>Jenfasizza l-għan tas-CMU li jiġi mobilizzat il-kapital privat b’mod aktar effettiv biex titnaqqas id-diskrepanza fl-investiment tal-UE u r-rwol li jista’ jkollha biex tassorbi x-xokkijiet; jenfasizza li l-aġenda tas-CMU għandha tikkontribwixxi wkoll għall-korrezzjoni tal-iżbilanċi strutturali fis-sistema finanzjarja tal-UE; jiddispjaċih dwar il-persistenza ta’ predispożizzjoni favur id-dejn ikkawżata mit-taxxa;</w:t>
      </w:r>
    </w:p>
    <w:p w14:paraId="1AD9A021" w14:textId="77777777" w:rsidR="00FF4DFE" w:rsidRPr="00AD56A9" w:rsidRDefault="00FF4DFE" w:rsidP="00FF4DFE">
      <w:pPr>
        <w:pStyle w:val="NormalHanging12a"/>
      </w:pPr>
      <w:r w:rsidRPr="00AD56A9">
        <w:t>4.</w:t>
      </w:r>
      <w:r w:rsidRPr="00AD56A9">
        <w:tab/>
        <w:t>Jirrikonoxxi li t-tlestija tal-Unjoni Bankarja trid tkun prijorità strateġika fl-approfondiment tal-Unjoni Ekonomika u Monetarja;</w:t>
      </w:r>
    </w:p>
    <w:p w14:paraId="29E0C29E" w14:textId="77777777" w:rsidR="00FF4DFE" w:rsidRPr="00AD56A9" w:rsidRDefault="00FF4DFE" w:rsidP="00FF4DFE">
      <w:pPr>
        <w:pStyle w:val="NormalHanging12a"/>
      </w:pPr>
      <w:r w:rsidRPr="00AD56A9">
        <w:t>5.</w:t>
      </w:r>
      <w:r w:rsidRPr="00AD56A9">
        <w:tab/>
        <w:t>Jinnota l-isfidi li jirriżultaw minn swieq finanzjarji aktar integrati fl-assenza ta’ superviżjoni aktar koerenti, inkluż il-kompromess bejn il-kondiviżjoni effiċjenti tar-riskju u d-diversifikazzjoni, minn naħa waħda, u r-riskji ta’ kontaġju, effetti konsegwenzjali u amplifikazzjoni, min-naħa l-oħra;</w:t>
      </w:r>
    </w:p>
    <w:p w14:paraId="2E96FCD1" w14:textId="77777777" w:rsidR="00FF4DFE" w:rsidRPr="00AD56A9" w:rsidRDefault="00FF4DFE" w:rsidP="00FF4DFE">
      <w:pPr>
        <w:pStyle w:val="NormalHanging12a"/>
      </w:pPr>
      <w:r w:rsidRPr="00AD56A9">
        <w:t>6.</w:t>
      </w:r>
      <w:r w:rsidRPr="00AD56A9">
        <w:tab/>
        <w:t>Jirrikonoxxi, fir-rigward tal-konsolidazzjoni bankarja transfruntiera, il-kompromess li jeħtieġ li jintlaħaq bejn, min-naħa, id-diversifikazzjoni ġeografika, is-servizzi finanzjarji transfruntiera, l-ekonomiji ta’ skala, u d-dgħajfien potenzjali tan-</w:t>
      </w:r>
      <w:proofErr w:type="spellStart"/>
      <w:r w:rsidRPr="00AD56A9">
        <w:t>nexus</w:t>
      </w:r>
      <w:proofErr w:type="spellEnd"/>
      <w:r w:rsidRPr="00AD56A9">
        <w:t xml:space="preserve"> sovran-bankarju, u, min-naħa l-oħra, il-problema ta’ banek “kbar wisq biex ifallu”, id-dgħajfien potenzjali ta’ ċentri finanzjarji iżgħar u r-rabtiet ma’ intrapriżi żgħar u ta’ daqs medju (SMEs) u l-ekonomiji lokali;</w:t>
      </w:r>
    </w:p>
    <w:p w14:paraId="716DBA76" w14:textId="77777777" w:rsidR="00FF4DFE" w:rsidRPr="00AD56A9" w:rsidRDefault="00FF4DFE" w:rsidP="00FF4DFE">
      <w:pPr>
        <w:pStyle w:val="NormalHanging12a"/>
      </w:pPr>
      <w:r w:rsidRPr="00AD56A9">
        <w:t>7.</w:t>
      </w:r>
      <w:r w:rsidRPr="00AD56A9">
        <w:tab/>
        <w:t>Jinnota li r-riskju sistemiku jista’ jiġi minn istituzzjonijiet iżgħar ukoll, peress li dawn jista’ jkollhom karti tal-bilanċ korrelatati ħafna;</w:t>
      </w:r>
    </w:p>
    <w:p w14:paraId="19972739" w14:textId="77777777" w:rsidR="00FF4DFE" w:rsidRPr="00AD56A9" w:rsidRDefault="00FF4DFE" w:rsidP="00FF4DFE">
      <w:pPr>
        <w:pStyle w:val="NormalHanging12a"/>
      </w:pPr>
      <w:r w:rsidRPr="00AD56A9">
        <w:t>8.</w:t>
      </w:r>
      <w:r w:rsidRPr="00AD56A9">
        <w:tab/>
        <w:t>Jisħaq fuq l-importanza tal-aċċess għall-kapital, speċjalment għall-SMEs, bħall-kapital ta’ riskju għall-kumpaniji li qed jikbru, filwaqt li tiġi ppreservata l-istabbiltà finanzjarja, u jiġi żgurat li t-tkabbir u r-reżiljenza jimxu id f’id;</w:t>
      </w:r>
    </w:p>
    <w:p w14:paraId="56C86DFA" w14:textId="77777777" w:rsidR="00FF4DFE" w:rsidRPr="00AD56A9" w:rsidRDefault="00FF4DFE" w:rsidP="00FF4DFE">
      <w:pPr>
        <w:pStyle w:val="Normal12a"/>
      </w:pPr>
      <w:r w:rsidRPr="00AD56A9">
        <w:rPr>
          <w:b/>
          <w:i/>
        </w:rPr>
        <w:t>Ir-riskji makrofinanzjarji u l-fraġilità ġeopolitika</w:t>
      </w:r>
    </w:p>
    <w:p w14:paraId="622FF978" w14:textId="77777777" w:rsidR="00FF4DFE" w:rsidRPr="00AD56A9" w:rsidRDefault="00FF4DFE" w:rsidP="00FF4DFE">
      <w:pPr>
        <w:pStyle w:val="NormalHanging12a"/>
      </w:pPr>
      <w:r w:rsidRPr="00AD56A9">
        <w:t>9.</w:t>
      </w:r>
      <w:r w:rsidRPr="00AD56A9">
        <w:tab/>
        <w:t>Jenfasizza l-objettiv ewlieni tal-BĊE biex tinżamm l-istabbiltà tal-prezzijiet u r-rwol ewlieni tal-BERS, l-awtoritajiet superviżorji u l-banek ċentrali Ewropej fil-kontribut għall-istabbiltà finanzjarja fl-Unjoni;</w:t>
      </w:r>
    </w:p>
    <w:p w14:paraId="65824EC7" w14:textId="77777777" w:rsidR="00FF4DFE" w:rsidRPr="00AD56A9" w:rsidRDefault="00FF4DFE" w:rsidP="00FF4DFE">
      <w:pPr>
        <w:pStyle w:val="NormalHanging12a"/>
      </w:pPr>
      <w:r w:rsidRPr="00AD56A9">
        <w:t>10.</w:t>
      </w:r>
      <w:r w:rsidRPr="00AD56A9">
        <w:tab/>
        <w:t>Ifakkar li l-Eurosistema nbniet fuq il-prinċipju ta’ dominanza monetarja; jappella li tiġi ppreservata l-indipendenza tal-BĊE bħala element li jappoġġja l-istabbiltà finanzjarja;</w:t>
      </w:r>
    </w:p>
    <w:p w14:paraId="53150E7F" w14:textId="77777777" w:rsidR="00FF4DFE" w:rsidRPr="00AD56A9" w:rsidRDefault="00FF4DFE" w:rsidP="00FF4DFE">
      <w:pPr>
        <w:pStyle w:val="NormalHanging12a"/>
      </w:pPr>
      <w:r w:rsidRPr="00AD56A9">
        <w:t>11.</w:t>
      </w:r>
      <w:r w:rsidRPr="00AD56A9">
        <w:tab/>
        <w:t>Jissottolinja li ċerti interventi fis-suq tal-banek ċentrali jġibu magħhom ir-riskju ta’ distorsjonijiet tas-suq li jistgħu jaffettwaw l-istabbiltà finanzjarja;</w:t>
      </w:r>
    </w:p>
    <w:p w14:paraId="69D9EEAF" w14:textId="77777777" w:rsidR="00FF4DFE" w:rsidRPr="00AD56A9" w:rsidRDefault="00FF4DFE" w:rsidP="00FF4DFE">
      <w:pPr>
        <w:pStyle w:val="NormalHanging12a"/>
      </w:pPr>
      <w:r w:rsidRPr="00AD56A9">
        <w:t>12.</w:t>
      </w:r>
      <w:r w:rsidRPr="00AD56A9">
        <w:tab/>
        <w:t>Jinnota l-iskopertura tal-Unjoni għal xokkijiet esterni minħabba r-rabtiet mill-qrib tagħha ma’ swieq u entitajiet finanzjarji barranin, id-dipendenza tas-settur finanzjarju tal-UE fuq fornituri ta’ servizzi li mhumiex fl-UE u l-pressjonijiet li jirriżultaw minn tensjonijiet kummerċjali li kulma jmur qed jiżdiedu fl-isfond ta’ inċertezza ġeopolitika;</w:t>
      </w:r>
    </w:p>
    <w:p w14:paraId="68A69387" w14:textId="77777777" w:rsidR="00FF4DFE" w:rsidRPr="00AD56A9" w:rsidRDefault="00FF4DFE" w:rsidP="00FF4DFE">
      <w:pPr>
        <w:pStyle w:val="NormalHanging12a"/>
      </w:pPr>
      <w:r w:rsidRPr="00AD56A9">
        <w:t>13.</w:t>
      </w:r>
      <w:r w:rsidRPr="00AD56A9">
        <w:tab/>
        <w:t>Jenfasizza r-riskji ta’ dejn sovran u defiċits għoljin; ifakkar li t-tħassib tas-suq dwar is-sostenibbiltà tad-dejn sovran, il-qafas regolatorju bankarju inadegwat f’dak iż-żmien, u l-kontaġju permezz ta’ sistemi finanzjarji interkonnessi wasslu għall-kriżi finanzjarja tal-2008 u l-kriżi sussegwenti taż-żona tal-euro;</w:t>
      </w:r>
    </w:p>
    <w:p w14:paraId="597687B8" w14:textId="77777777" w:rsidR="00FF4DFE" w:rsidRPr="00AD56A9" w:rsidRDefault="00FF4DFE" w:rsidP="00FF4DFE">
      <w:pPr>
        <w:pStyle w:val="NormalHanging12a"/>
      </w:pPr>
      <w:r w:rsidRPr="00AD56A9">
        <w:lastRenderedPageBreak/>
        <w:t>14.</w:t>
      </w:r>
      <w:r w:rsidRPr="00AD56A9">
        <w:tab/>
        <w:t>Iwissi dwar l-effetti konsegwenzjali għas-settur finanzjarju; jieħu nota f’dan ir-rigward tal-appelli biex jittaffew il-vulnerabbiltajiet sistemiċi; jisħaq, madankollu, li kwalunkwe żvilupp futur m’għandux idgħajjef ir-responsabbiltajiet fiskali nazzjonali;</w:t>
      </w:r>
    </w:p>
    <w:p w14:paraId="33418A57" w14:textId="77777777" w:rsidR="00FF4DFE" w:rsidRPr="00AD56A9" w:rsidRDefault="00FF4DFE" w:rsidP="00FF4DFE">
      <w:pPr>
        <w:pStyle w:val="NormalHanging12a"/>
      </w:pPr>
      <w:r w:rsidRPr="00AD56A9">
        <w:t>15.</w:t>
      </w:r>
      <w:r w:rsidRPr="00AD56A9">
        <w:tab/>
        <w:t>Jistieden lill-Kummissjoni tinforza l-konformità mal-qafas ta’ governanza ekonomika tal-UE u l-konverġenza mar-regoli fiskali tal-Patt ta’ Stabbiltà u Tkabbir biex tiżgura finanzi pubbliċi sodi u sostenibbli;</w:t>
      </w:r>
    </w:p>
    <w:p w14:paraId="7465060B" w14:textId="77777777" w:rsidR="00FF4DFE" w:rsidRPr="00AD56A9" w:rsidRDefault="00FF4DFE" w:rsidP="00FF4DFE">
      <w:pPr>
        <w:pStyle w:val="NormalHanging12a"/>
      </w:pPr>
      <w:r w:rsidRPr="00AD56A9">
        <w:t>16.</w:t>
      </w:r>
      <w:r w:rsidRPr="00AD56A9">
        <w:tab/>
        <w:t xml:space="preserve">Jirrikonoxxi li r-riformi strutturali mmirati lejn it-tisħiħ tal-arkitettura finanzjarja u istituzzjonali taż-żona tal-euro u t-tnaqqis fil-frammentazzjoni tas-suq jistgħu </w:t>
      </w:r>
      <w:proofErr w:type="spellStart"/>
      <w:r w:rsidRPr="00AD56A9">
        <w:t>jelevaw</w:t>
      </w:r>
      <w:proofErr w:type="spellEnd"/>
      <w:r w:rsidRPr="00AD56A9">
        <w:t xml:space="preserve"> ir-rwol internazzjonali tal-euro u potenzjalment jsaħħu l-istabbiltà finanzjarja u monetarja; jinnota d-diskussjonijiet li għaddejjin dwar l-euro diġitali;</w:t>
      </w:r>
    </w:p>
    <w:p w14:paraId="62A5B70D" w14:textId="77777777" w:rsidR="00FF4DFE" w:rsidRPr="00AD56A9" w:rsidRDefault="00FF4DFE" w:rsidP="00FF4DFE">
      <w:pPr>
        <w:pStyle w:val="NormalHanging12a"/>
      </w:pPr>
      <w:r w:rsidRPr="00AD56A9">
        <w:t>17.</w:t>
      </w:r>
      <w:r w:rsidRPr="00AD56A9">
        <w:tab/>
        <w:t>Jenfasizza l-instabbiltà potenzjali li tirriżulta minn istituzzjonijiet finanzjarji b’ingranaġġ għoli, filwaqt li jirrikonoxxi li jista’ jkollhom rwoli ekonomiċi bħall-</w:t>
      </w:r>
      <w:proofErr w:type="spellStart"/>
      <w:r w:rsidRPr="00AD56A9">
        <w:t>hedging</w:t>
      </w:r>
      <w:proofErr w:type="spellEnd"/>
      <w:r w:rsidRPr="00AD56A9">
        <w:t>, it-titjib tal-likwidità tas-suq, l-identifikazzjoni tal-prezz jew il-kondiviżjoni tar-riskju;</w:t>
      </w:r>
    </w:p>
    <w:p w14:paraId="0A6C4CA9" w14:textId="77777777" w:rsidR="00FF4DFE" w:rsidRPr="00AD56A9" w:rsidRDefault="00FF4DFE" w:rsidP="00FF4DFE">
      <w:pPr>
        <w:pStyle w:val="NormalHanging12a"/>
      </w:pPr>
      <w:r w:rsidRPr="00AD56A9">
        <w:t>18.</w:t>
      </w:r>
      <w:r w:rsidRPr="00AD56A9">
        <w:tab/>
        <w:t>Jisħaq fuq l-importanza tal-koordinazzjoni fost is-superviżuri makroprudenzjali permezz ta’ analiżi u sorveljanza tar-riskju sistemiku, u l-allinjament mas-superviżjoni mikroprudenzjali biex tiġi żgurata l-kompatibbiltà;</w:t>
      </w:r>
    </w:p>
    <w:p w14:paraId="77C5A830" w14:textId="77777777" w:rsidR="00FF4DFE" w:rsidRPr="00AD56A9" w:rsidRDefault="00FF4DFE" w:rsidP="00FF4DFE">
      <w:pPr>
        <w:pStyle w:val="NormalHanging12a"/>
      </w:pPr>
      <w:r w:rsidRPr="00AD56A9">
        <w:t>19.</w:t>
      </w:r>
      <w:r w:rsidRPr="00AD56A9">
        <w:tab/>
        <w:t>Jirrikonoxxi r-riskji potenzjali għall-istabbiltà finanzjarja li jirriżultaw minn manifestazzjonijiet aktar frekwenti ta’ riskji fiżiċi ta’ perikli klimatiċi u naturali u riskji ta’ tranżizzjoni relatati mal-klima;</w:t>
      </w:r>
    </w:p>
    <w:p w14:paraId="74D22D80" w14:textId="77777777" w:rsidR="00FF4DFE" w:rsidRPr="00AD56A9" w:rsidRDefault="00FF4DFE" w:rsidP="00FF4DFE">
      <w:pPr>
        <w:pStyle w:val="Normal12a"/>
      </w:pPr>
      <w:r w:rsidRPr="00AD56A9">
        <w:rPr>
          <w:b/>
          <w:i/>
        </w:rPr>
        <w:t>L-istress tas-settur bankarju u s-sorveljanza tal-NBFI</w:t>
      </w:r>
    </w:p>
    <w:p w14:paraId="3E286F47" w14:textId="77777777" w:rsidR="00FF4DFE" w:rsidRPr="00AD56A9" w:rsidRDefault="00FF4DFE" w:rsidP="00FF4DFE">
      <w:pPr>
        <w:pStyle w:val="NormalHanging12a"/>
      </w:pPr>
      <w:r w:rsidRPr="00AD56A9">
        <w:t>20.</w:t>
      </w:r>
      <w:r w:rsidRPr="00AD56A9">
        <w:tab/>
        <w:t>Jenfasizza l-ħtieġa li tiġi żgurata l-implimentazzjoni tal-qafas ta’ Basel III biex jissaħħu r-reżiljenza u l-kompetittività globali tal-banek tal-UE; jinnota n-nuqqas kontinwu ta’ ċarezza rigward l-implimentazzjoni tal-istandards ta’ Basel III fil-ġuriżdizzjonijiet ta’ pajjiżi mhux tal-UE u l-ħtieġa li s-sistema bankarja tal-Unjoni tibqa’ kompetittiva f’kuntest internazzjonali; jenfasizza l-importanza li tinżamm l-integrità tal-qafas ta’ Basel, filwaqt li jissottolinja li l-istabbiltà finanzjarja nnifisha tista’ titqies bħala vantaġġ kompetittiv;</w:t>
      </w:r>
    </w:p>
    <w:p w14:paraId="3041C04D" w14:textId="77777777" w:rsidR="00FF4DFE" w:rsidRPr="00AD56A9" w:rsidRDefault="00FF4DFE" w:rsidP="00FF4DFE">
      <w:pPr>
        <w:pStyle w:val="NormalHanging12a"/>
      </w:pPr>
      <w:r w:rsidRPr="00AD56A9">
        <w:t>21.</w:t>
      </w:r>
      <w:r w:rsidRPr="00AD56A9">
        <w:tab/>
        <w:t>Jenfasizza l-importanza li jinżamm qafas makroprudenzjali sod filwaqt li jiġu żgurati s-simplifikazzjoni, il-kjarifika legali u t-tnaqqis tal-piżijiet, b’mod partikolari għal entitajiet iżgħar; jenfasizza li hemm lok għal simplifikazzjoni u armonizzazzjoni fit-tfassil u fl-applikazzjoni ta’ buffers makroprudenzjali; jistieden lill-Kummissjoni u lill-awtoritajiet superviżorji japplikaw b’mod sistematiku l-prinċipji tal-proporzjonalità, il-kosteffiċjenza u s-simplifikazzjoni diġitali fejn possibbli u mingħajr ma jipperikolaw l-istabbiltà finanzjarja;</w:t>
      </w:r>
    </w:p>
    <w:p w14:paraId="657B04B7" w14:textId="77777777" w:rsidR="00FF4DFE" w:rsidRPr="00AD56A9" w:rsidRDefault="00FF4DFE" w:rsidP="00FF4DFE">
      <w:pPr>
        <w:pStyle w:val="NormalHanging12a"/>
      </w:pPr>
      <w:r w:rsidRPr="00AD56A9">
        <w:t>22.</w:t>
      </w:r>
      <w:r w:rsidRPr="00AD56A9">
        <w:tab/>
        <w:t>Jisħaq li s-simplifikazzjoni tar-riformi wara l-kriżi finanzjarja tal-2028 għandha titqies sakemm jiġi stabbilit li hemm benefiċċji ċari u sostanzjati għall-ekonomija reali u dment li ma hemm l-ebda riskju għall-istabbiltà finanzjarja; jieħu nota tad-dibattitu dwar il-pakkett ta’ titolizzazzjoni;</w:t>
      </w:r>
    </w:p>
    <w:p w14:paraId="3B70C9E8" w14:textId="77777777" w:rsidR="00FF4DFE" w:rsidRPr="00AD56A9" w:rsidRDefault="00FF4DFE" w:rsidP="00FF4DFE">
      <w:pPr>
        <w:pStyle w:val="NormalHanging12a"/>
      </w:pPr>
      <w:r w:rsidRPr="00AD56A9">
        <w:t>23.</w:t>
      </w:r>
      <w:r w:rsidRPr="00AD56A9">
        <w:tab/>
        <w:t>Jieħu nota tal-analiżi tal-BĊE dwar il-vulnerabbiltajiet persistenti fis-swieq tal-proprjetà immobbli kummerċjali, li huma aggravati minn skoperturi tal-NBFI u rati tal-interessi dejjem jiżdiedu, li jeħtieġu monitoraġġ mill-qrib; jappella, f’dan il-kuntest, sabiex il-</w:t>
      </w:r>
      <w:r w:rsidRPr="00AD56A9">
        <w:lastRenderedPageBreak/>
        <w:t>BERS jimmonitorja mill-qrib ir-rwol tal-</w:t>
      </w:r>
      <w:proofErr w:type="spellStart"/>
      <w:r w:rsidRPr="00AD56A9">
        <w:t>NBFIs</w:t>
      </w:r>
      <w:proofErr w:type="spellEnd"/>
      <w:r w:rsidRPr="00AD56A9">
        <w:t xml:space="preserve"> attivi fis-swieq tal-proprjetà immobbli u joħroġ rakkomandazzjonijiet rilevanti; jirrikonoxxi, barra minn hekk, il-livelli għoljin ta’ dejn tal-unitajiet domestiċi;</w:t>
      </w:r>
    </w:p>
    <w:p w14:paraId="70FE928F" w14:textId="77777777" w:rsidR="00FF4DFE" w:rsidRPr="00AD56A9" w:rsidRDefault="00FF4DFE" w:rsidP="00FF4DFE">
      <w:pPr>
        <w:pStyle w:val="NormalHanging12a"/>
      </w:pPr>
      <w:r w:rsidRPr="00AD56A9">
        <w:t>24.</w:t>
      </w:r>
      <w:r w:rsidRPr="00AD56A9">
        <w:tab/>
        <w:t>Iħeġġeġ lill-BĊE jivvaluta l-iskopertura tal-istituzzjonijiet finanzjarji għar-riskji ġeopolitiċi, inklużi l-effetti indiretti tas-sanzjonijiet, it-tariffi u l-frammentazzjoni ekonomika bħala parti mill-Proċess ta’ Reviżjoni u Evalwazzjoni Superviżorji fil-kuntest tal-awtonomija strateġika;</w:t>
      </w:r>
    </w:p>
    <w:p w14:paraId="71496A83" w14:textId="77777777" w:rsidR="00FF4DFE" w:rsidRPr="00AD56A9" w:rsidRDefault="00FF4DFE" w:rsidP="00FF4DFE">
      <w:pPr>
        <w:pStyle w:val="NormalHanging12a"/>
      </w:pPr>
      <w:r w:rsidRPr="00AD56A9">
        <w:t>25.</w:t>
      </w:r>
      <w:r w:rsidRPr="00AD56A9">
        <w:tab/>
        <w:t>Jirrikonoxxi r-rilevanza sistemika dejjem akbar tal-</w:t>
      </w:r>
      <w:proofErr w:type="spellStart"/>
      <w:r w:rsidRPr="00AD56A9">
        <w:t>NBFIs</w:t>
      </w:r>
      <w:proofErr w:type="spellEnd"/>
      <w:r w:rsidRPr="00AD56A9">
        <w:t>, li jikkostitwixxu aktar minn 40 % tal-assi tas-settur finanzjarju tal-UE; iqis li tali entitajiet jistgħu jikkontribwixxu għar-riskji fl-istabbiltà finanzjarja meta mhumiex regolati biżżejjed;</w:t>
      </w:r>
    </w:p>
    <w:p w14:paraId="28881974" w14:textId="77777777" w:rsidR="00FF4DFE" w:rsidRPr="00AD56A9" w:rsidRDefault="00FF4DFE" w:rsidP="00FF4DFE">
      <w:pPr>
        <w:pStyle w:val="NormalHanging12a"/>
      </w:pPr>
      <w:r w:rsidRPr="00AD56A9">
        <w:t>26.</w:t>
      </w:r>
      <w:r w:rsidRPr="00AD56A9">
        <w:tab/>
        <w:t>Jinnota d-diversità tal-mudelli ta’ negozju tal-</w:t>
      </w:r>
      <w:proofErr w:type="spellStart"/>
      <w:r w:rsidRPr="00AD56A9">
        <w:t>NBFIs</w:t>
      </w:r>
      <w:proofErr w:type="spellEnd"/>
      <w:r w:rsidRPr="00AD56A9">
        <w:t xml:space="preserve"> u r-rwol ta’ finanzjament importanti tagħhom; jenfasizza li għal ħafna setturi, diġà hemm fis-seħħ regolamentazzjoni settorjali Ewropea, bħal għall-fondi ħeġġ (id-Direttiva dwar Maniġers ta’ Fondi ta’ Investiment Alternattivi</w:t>
      </w:r>
      <w:r w:rsidRPr="00AD56A9">
        <w:rPr>
          <w:rStyle w:val="FootnoteReference"/>
        </w:rPr>
        <w:footnoteReference w:customMarkFollows="1" w:id="2"/>
        <w:t>2</w:t>
      </w:r>
      <w:r w:rsidRPr="00AD56A9">
        <w:t>), il-fondi tas-suq monetarju (ir-Regolament dwar il-Fondi tas-Suq Monetarju</w:t>
      </w:r>
      <w:r w:rsidRPr="00AD56A9">
        <w:rPr>
          <w:rStyle w:val="FootnoteReference"/>
        </w:rPr>
        <w:footnoteReference w:customMarkFollows="1" w:id="3"/>
        <w:t>3</w:t>
      </w:r>
      <w:r w:rsidRPr="00AD56A9">
        <w:t>), l-impriżi tal-assigurazzjoni (Solvenza II), u d-ditti tal-investiment (id-Direttiva</w:t>
      </w:r>
      <w:r w:rsidRPr="00AD56A9">
        <w:rPr>
          <w:rStyle w:val="FootnoteReference"/>
        </w:rPr>
        <w:footnoteReference w:customMarkFollows="1" w:id="4"/>
        <w:t>4</w:t>
      </w:r>
      <w:r w:rsidRPr="00AD56A9">
        <w:t xml:space="preserve"> u r-Regolament</w:t>
      </w:r>
      <w:r w:rsidRPr="00AD56A9">
        <w:rPr>
          <w:rStyle w:val="FootnoteReference"/>
        </w:rPr>
        <w:footnoteReference w:customMarkFollows="1" w:id="5"/>
        <w:t>5</w:t>
      </w:r>
      <w:r w:rsidRPr="00AD56A9">
        <w:t xml:space="preserve"> dwar id-Ditti tal-Investiment) jew il-fondi tal-pensjonijiet (id-Direttiva dwar l-istituzzjonijiet għall-provvista ta’ rtirar okkupazzjonali</w:t>
      </w:r>
      <w:r w:rsidRPr="00AD56A9">
        <w:rPr>
          <w:rStyle w:val="FootnoteReference"/>
        </w:rPr>
        <w:footnoteReference w:customMarkFollows="1" w:id="6"/>
        <w:t>6</w:t>
      </w:r>
      <w:r w:rsidRPr="00AD56A9">
        <w:t>); jinnota li l-qafas attwali, madankollu, jiffoka primarjament fuq il-protezzjoni tal-investituri u l-integrità tas-suq aktar milli fuq it-tnaqqis tar-riskji sistemiċi</w:t>
      </w:r>
      <w:r w:rsidRPr="00AD56A9">
        <w:rPr>
          <w:rStyle w:val="FootnoteReference"/>
        </w:rPr>
        <w:footnoteReference w:customMarkFollows="1" w:id="7"/>
        <w:t>7</w:t>
      </w:r>
      <w:r w:rsidRPr="00AD56A9">
        <w:t>; jitlob rieżami bir-reqqa tal-lakuni regolatorji rigward l-</w:t>
      </w:r>
      <w:proofErr w:type="spellStart"/>
      <w:r w:rsidRPr="00AD56A9">
        <w:t>NBFIs</w:t>
      </w:r>
      <w:proofErr w:type="spellEnd"/>
      <w:r w:rsidRPr="00AD56A9">
        <w:t>, inkluż f’oqsma anqas regolati bħall-</w:t>
      </w:r>
      <w:proofErr w:type="spellStart"/>
      <w:r w:rsidRPr="00AD56A9">
        <w:t>family</w:t>
      </w:r>
      <w:proofErr w:type="spellEnd"/>
      <w:r w:rsidRPr="00AD56A9">
        <w:t xml:space="preserve"> </w:t>
      </w:r>
      <w:proofErr w:type="spellStart"/>
      <w:r w:rsidRPr="00AD56A9">
        <w:t>offices</w:t>
      </w:r>
      <w:proofErr w:type="spellEnd"/>
      <w:r w:rsidRPr="00AD56A9">
        <w:t xml:space="preserve"> u l-kumpaniji tal-finanzjament tal-katina tal-provvista;</w:t>
      </w:r>
    </w:p>
    <w:p w14:paraId="08454658" w14:textId="77777777" w:rsidR="00FF4DFE" w:rsidRPr="00AD56A9" w:rsidRDefault="00FF4DFE" w:rsidP="00FF4DFE">
      <w:pPr>
        <w:pStyle w:val="NormalHanging12a"/>
      </w:pPr>
      <w:r w:rsidRPr="00AD56A9">
        <w:t>27.</w:t>
      </w:r>
      <w:r w:rsidRPr="00AD56A9">
        <w:tab/>
        <w:t>Jieħu nota tar-rapport tal-Kummissjoni tal-2023 dwar il-funzjonament tal-fondi tas-suq monetarju u l-emendi reċenti għall-qafas tal-Fondi tas-Suq Monetarju; jistieden lill-</w:t>
      </w:r>
      <w:r w:rsidRPr="00AD56A9">
        <w:lastRenderedPageBreak/>
        <w:t>Kummissjoni biex tipproponi riforma tar-Regolament dwar il-Fondi tas-Suq Monetarju</w:t>
      </w:r>
      <w:r w:rsidRPr="00AD56A9">
        <w:rPr>
          <w:rStyle w:val="FootnoteReference"/>
        </w:rPr>
        <w:footnoteReference w:customMarkFollows="1" w:id="8"/>
        <w:t>8</w:t>
      </w:r>
      <w:r w:rsidRPr="00AD56A9">
        <w:t xml:space="preserve"> f’konformità mal-istandards internazzjonali, il-progress regolatorju li sar f’ġuriżdizzjonijiet oħra u r-rakkomandazzjonijiet tal-BERS u l-ESMA;</w:t>
      </w:r>
    </w:p>
    <w:p w14:paraId="64A85138" w14:textId="77777777" w:rsidR="00FF4DFE" w:rsidRPr="00AD56A9" w:rsidRDefault="00FF4DFE" w:rsidP="00FF4DFE">
      <w:pPr>
        <w:pStyle w:val="Normal12a"/>
      </w:pPr>
      <w:r w:rsidRPr="00AD56A9">
        <w:rPr>
          <w:b/>
          <w:i/>
        </w:rPr>
        <w:t>Il-likwidità, il-proviżjonament ta’ marġni u r-riskji diġitali</w:t>
      </w:r>
    </w:p>
    <w:p w14:paraId="2840B47A" w14:textId="77777777" w:rsidR="00FF4DFE" w:rsidRPr="00AD56A9" w:rsidRDefault="00FF4DFE" w:rsidP="00FF4DFE">
      <w:pPr>
        <w:pStyle w:val="NormalHanging12a"/>
      </w:pPr>
      <w:r w:rsidRPr="00AD56A9">
        <w:t>28.</w:t>
      </w:r>
      <w:r w:rsidRPr="00AD56A9">
        <w:tab/>
        <w:t>Jenfasizza l-fatt li l-appelli proċikliċi għall-marġni matul kriżijiet bħall-COVID-19 u t-taqlib fl-enerġija tal-2022 wasslu għal stress sinifikanti ta’ likwidità; jinnota l-importanza tat-tħejjija għal-likwidità, u b’mod ġenerali tal-ingranaġġ u l-</w:t>
      </w:r>
      <w:proofErr w:type="spellStart"/>
      <w:r w:rsidRPr="00AD56A9">
        <w:t>bafers</w:t>
      </w:r>
      <w:proofErr w:type="spellEnd"/>
      <w:r w:rsidRPr="00AD56A9">
        <w:t xml:space="preserve"> kapitali f’dan ir-rigward;</w:t>
      </w:r>
    </w:p>
    <w:p w14:paraId="55586BB5" w14:textId="77777777" w:rsidR="00FF4DFE" w:rsidRPr="00AD56A9" w:rsidRDefault="00FF4DFE" w:rsidP="00FF4DFE">
      <w:pPr>
        <w:pStyle w:val="NormalHanging12a"/>
      </w:pPr>
      <w:r w:rsidRPr="00AD56A9">
        <w:t>29.</w:t>
      </w:r>
      <w:r w:rsidRPr="00AD56A9">
        <w:tab/>
        <w:t xml:space="preserve">Jappella għal għodod li permezz tagħhom ikunu jistgħu jiġu </w:t>
      </w:r>
      <w:proofErr w:type="spellStart"/>
      <w:r w:rsidRPr="00AD56A9">
        <w:t>ddeċifrati</w:t>
      </w:r>
      <w:proofErr w:type="spellEnd"/>
      <w:r w:rsidRPr="00AD56A9">
        <w:t xml:space="preserve"> aħjar l-iskala u l-ħeffa tal-flussi ta’ ħruġ tal-likwidità li jirriżultaw minn appelli għall-marġni matul avvenimenti sistemiċi, speċjalment għall-utilitajiet tal-enerġija u l-</w:t>
      </w:r>
      <w:proofErr w:type="spellStart"/>
      <w:r w:rsidRPr="00AD56A9">
        <w:t>NBFIs</w:t>
      </w:r>
      <w:proofErr w:type="spellEnd"/>
      <w:r w:rsidRPr="00AD56A9">
        <w:t>;</w:t>
      </w:r>
    </w:p>
    <w:p w14:paraId="3C28F238" w14:textId="77777777" w:rsidR="00FF4DFE" w:rsidRPr="00AD56A9" w:rsidRDefault="00FF4DFE" w:rsidP="00FF4DFE">
      <w:pPr>
        <w:pStyle w:val="NormalHanging12a"/>
      </w:pPr>
      <w:r w:rsidRPr="00AD56A9">
        <w:t>30.</w:t>
      </w:r>
      <w:r w:rsidRPr="00AD56A9">
        <w:tab/>
        <w:t>Jisħaq fuq il-ħtieġa ta’ infrastruttura tal-ikklerjar reżiljenti, oqfsa kollaterali robusti u superviżjoni koordinata tal-kontropartijiet ċentrali; jinnota d-deċiżjoni tal-Kummissjoni li testendi r-reġim ta’ ekwivalenza għall-kontropartijiet ċentrali ibbażati fir-Renju Unit u jinnota t-tħassib kontinwu dwar id-dipendenza Ewropea fuq il-kontropartijiet ċentrali mhux tal-UE;</w:t>
      </w:r>
    </w:p>
    <w:p w14:paraId="09E124AA" w14:textId="77777777" w:rsidR="00FF4DFE" w:rsidRPr="00AD56A9" w:rsidRDefault="00FF4DFE" w:rsidP="00FF4DFE">
      <w:pPr>
        <w:pStyle w:val="NormalHanging12a"/>
      </w:pPr>
      <w:r w:rsidRPr="00AD56A9">
        <w:t>31.</w:t>
      </w:r>
      <w:r w:rsidRPr="00AD56A9">
        <w:tab/>
        <w:t>Jappoġġja trasparenza akbar u sorveljanza makroprudenzjali fil-prattiki ta’ proviżjonament ta’ marġni, inklużi s-simulazzjoni ta’ kriżi u l-analiżi tax-xenarji, abbażi tal-ħidma reċenti tal-FSB dwar it-tħejjija għal-likwidità għal sejħiet ta’ marġni u kollaterali;</w:t>
      </w:r>
    </w:p>
    <w:p w14:paraId="1D484AD4" w14:textId="77777777" w:rsidR="00FF4DFE" w:rsidRPr="00AD56A9" w:rsidRDefault="00FF4DFE" w:rsidP="00FF4DFE">
      <w:pPr>
        <w:pStyle w:val="NormalHanging12a"/>
      </w:pPr>
      <w:r w:rsidRPr="00AD56A9">
        <w:t>32.</w:t>
      </w:r>
      <w:r w:rsidRPr="00AD56A9">
        <w:tab/>
        <w:t>Jesprimi t-tħassib tiegħu dwar l-interkonnessjonijiet dejjem akbar bejn is-swieq tal-kriptoassi u dawk finanzjarji deċentralizzati u s-sistema finanzjarja tradizzjonali; jappoġġja l-FSB, il-korpi li jistabbilixxu l-istandards u l-BERS fl-isforzi tagħhom biex jistabbilixxu qafas regolatorju u jarmonizzaw il-klassifikazzjoni tiegħu;</w:t>
      </w:r>
    </w:p>
    <w:p w14:paraId="796B5BE9" w14:textId="77777777" w:rsidR="00FF4DFE" w:rsidRPr="00AD56A9" w:rsidRDefault="00FF4DFE" w:rsidP="00FF4DFE">
      <w:pPr>
        <w:pStyle w:val="NormalHanging12a"/>
      </w:pPr>
      <w:r w:rsidRPr="00AD56A9">
        <w:t>33.</w:t>
      </w:r>
      <w:r w:rsidRPr="00AD56A9">
        <w:tab/>
        <w:t>Jieħu nota tal-analiżi tal-FSB li għalissa ir-riskji għall-istabbiltà finanzjarja li jirriżultaw mis-swieq tal-kriptoassi jidhru limitati</w:t>
      </w:r>
      <w:r w:rsidRPr="00AD56A9">
        <w:rPr>
          <w:rStyle w:val="FootnoteReference"/>
        </w:rPr>
        <w:footnoteReference w:customMarkFollows="1" w:id="9"/>
        <w:t>9</w:t>
      </w:r>
      <w:r w:rsidRPr="00AD56A9">
        <w:t>; jindika, madankollu, ir-rilevanza potenzjalment sistemika tal-iżviluppi fis-swieq tal-kriptoassi; jinnota n-natura fil-biċċa l-kbira spekulattiva tal-kriptoassi u r-rwol importanti tagħhom fit-tranżazzjonijiet illeċiti; iħeġġeġ lill-Kummissjoni u lill-BERS isegwu mill-qrib l-evoluzzjonijiet f’dan il-qasam;</w:t>
      </w:r>
    </w:p>
    <w:p w14:paraId="26B202FD" w14:textId="77777777" w:rsidR="00FF4DFE" w:rsidRPr="00AD56A9" w:rsidRDefault="00FF4DFE" w:rsidP="00FF4DFE">
      <w:pPr>
        <w:pStyle w:val="NormalHanging12a"/>
      </w:pPr>
      <w:r w:rsidRPr="00AD56A9">
        <w:t>34.</w:t>
      </w:r>
      <w:r w:rsidRPr="00AD56A9">
        <w:tab/>
        <w:t xml:space="preserve">Jilqa’ l-fatt li l-Unjoni Ewropea stabbiliet qafas prudenzjali għall-kriptoassi (ir-Regolament </w:t>
      </w:r>
      <w:proofErr w:type="spellStart"/>
      <w:r w:rsidRPr="00AD56A9">
        <w:t>MiCA</w:t>
      </w:r>
      <w:proofErr w:type="spellEnd"/>
      <w:r w:rsidRPr="00AD56A9">
        <w:t>); jisħaq fuq l-importanza ta’ implimentazzjoni f’waqtha u konsistenti u jistieden lill-Kummissjoni timmonitorja l-lakuni regolatorji li fadal;</w:t>
      </w:r>
    </w:p>
    <w:p w14:paraId="16297BCE" w14:textId="77777777" w:rsidR="00FF4DFE" w:rsidRPr="00AD56A9" w:rsidRDefault="00FF4DFE" w:rsidP="00FF4DFE">
      <w:pPr>
        <w:pStyle w:val="NormalHanging12a"/>
      </w:pPr>
      <w:r w:rsidRPr="00AD56A9">
        <w:t>35.</w:t>
      </w:r>
      <w:r w:rsidRPr="00AD56A9">
        <w:tab/>
        <w:t>Jenfasizza t-tkabbir rapidu tas-suq tal-</w:t>
      </w:r>
      <w:proofErr w:type="spellStart"/>
      <w:r w:rsidRPr="00AD56A9">
        <w:t>istablecoin</w:t>
      </w:r>
      <w:proofErr w:type="spellEnd"/>
      <w:r w:rsidRPr="00AD56A9">
        <w:t>, li s’issa għadu fil-biċċa l-kbira ristrett għall-ekosistema tal-</w:t>
      </w:r>
      <w:proofErr w:type="spellStart"/>
      <w:r w:rsidRPr="00AD56A9">
        <w:t>kripto</w:t>
      </w:r>
      <w:proofErr w:type="spellEnd"/>
      <w:r w:rsidRPr="00AD56A9">
        <w:t>; jinnota li x-xenarju regolatorju fir-rigward tal-</w:t>
      </w:r>
      <w:proofErr w:type="spellStart"/>
      <w:r w:rsidRPr="00AD56A9">
        <w:t>istablecoins</w:t>
      </w:r>
      <w:proofErr w:type="spellEnd"/>
      <w:r w:rsidRPr="00AD56A9">
        <w:t xml:space="preserve"> f’ġuriżdizzjonijiet ewlenin ta’ pajjiżi mhux tal-UE qed jinbidel malajr; iħeġġeġ lill-</w:t>
      </w:r>
      <w:r w:rsidRPr="00AD56A9">
        <w:lastRenderedPageBreak/>
        <w:t>Kummissjoni tivvaluta jekk hemmx kanali potenzjali ta’ kontaġju, bħal fil-każ ta’ ħruġ multiplu;</w:t>
      </w:r>
    </w:p>
    <w:p w14:paraId="507F43C9" w14:textId="77777777" w:rsidR="00FF4DFE" w:rsidRPr="00AD56A9" w:rsidRDefault="00FF4DFE" w:rsidP="00FF4DFE">
      <w:pPr>
        <w:pStyle w:val="NormalHanging12a"/>
      </w:pPr>
      <w:r w:rsidRPr="00AD56A9">
        <w:t>36.</w:t>
      </w:r>
      <w:r w:rsidRPr="00AD56A9">
        <w:tab/>
        <w:t>Jenfasizza li l-Unjoni adottat miżuri biex issaħħaħ ir-reżiljenza diġitali tal-entitajiet finanzjarji, b’mod partikolari permezz tal-Att dwar ir-Reżiljenza Operazzjonali Diġitali</w:t>
      </w:r>
      <w:r w:rsidRPr="00AD56A9">
        <w:rPr>
          <w:rStyle w:val="FootnoteReference"/>
        </w:rPr>
        <w:footnoteReference w:customMarkFollows="1" w:id="10"/>
        <w:t>10</w:t>
      </w:r>
      <w:r w:rsidRPr="00AD56A9">
        <w:t>; iħeġġeġ l-innovazzjoni fil-qasam tal-finanzi diġitali u investiment estensiv fir-reżiljenza ċibernetika biex l-infrastruttura finanzjarja tkun protetta minn theddid estern; jistieden lill-Kummissjoni u lill-BĊE jimmappjaw u jindirizzaw id-dipendenzi tas-sistema finanzjarja Ewropea fuq fornituri mhux tal-UE ta’ servizzi diġitali, punti uniċi ta’ falliment u r-riskju ta’ attakki ibridi;</w:t>
      </w:r>
    </w:p>
    <w:p w14:paraId="3D584778" w14:textId="77777777" w:rsidR="00FF4DFE" w:rsidRPr="00AD56A9" w:rsidRDefault="00FF4DFE" w:rsidP="00FF4DFE">
      <w:pPr>
        <w:pStyle w:val="NormalHanging12a"/>
      </w:pPr>
      <w:r w:rsidRPr="00AD56A9">
        <w:t>37.</w:t>
      </w:r>
      <w:r w:rsidRPr="00AD56A9">
        <w:tab/>
        <w:t>Jissottolinja li t-titjib fil-litteriżmu finanzjarju jista’ jikkontribwixxi għar-reżiljenza individwali, swieq finanzjarji aktar stabbli, u parteċipazzjoni akbar fis-CMU;</w:t>
      </w:r>
    </w:p>
    <w:p w14:paraId="7EBA8B13" w14:textId="77777777" w:rsidR="00FF4DFE" w:rsidRPr="00AD56A9" w:rsidRDefault="00FF4DFE" w:rsidP="00FF4DFE">
      <w:pPr>
        <w:pStyle w:val="NormalHanging12a"/>
      </w:pPr>
      <w:r w:rsidRPr="00AD56A9">
        <w:t>38.</w:t>
      </w:r>
      <w:r w:rsidRPr="00AD56A9">
        <w:tab/>
        <w:t>Jinnota li ż-żamma ta’ loġistika u infrastruttura raġonevoli u affidabbli għad-disponibbiltà tal-flus kontanti tibqa’ element essenzjali tal-istabbiltà finanzjarja u l-fiduċja pubblika;</w:t>
      </w:r>
    </w:p>
    <w:p w14:paraId="557658DA" w14:textId="77777777" w:rsidR="00FF4DFE" w:rsidRPr="00AD56A9" w:rsidRDefault="00FF4DFE" w:rsidP="00FF4DFE">
      <w:pPr>
        <w:pStyle w:val="Normal12a"/>
      </w:pPr>
      <w:r w:rsidRPr="00AD56A9">
        <w:rPr>
          <w:i/>
        </w:rPr>
        <w:t>It-tisħiħ tal-koerenza superviżorja, tal-kapaċitajiet tad-data u tat-tħejjija għall-kriżijiet</w:t>
      </w:r>
    </w:p>
    <w:p w14:paraId="383B9443" w14:textId="77777777" w:rsidR="00FF4DFE" w:rsidRPr="00AD56A9" w:rsidRDefault="00FF4DFE" w:rsidP="00FF4DFE">
      <w:pPr>
        <w:pStyle w:val="NormalHanging12a"/>
      </w:pPr>
      <w:r w:rsidRPr="00AD56A9">
        <w:t>39.</w:t>
      </w:r>
      <w:r w:rsidRPr="00AD56A9">
        <w:tab/>
        <w:t>Jappoġġja approċċ superviżorju olistiku, aktar koerenti, mifrux mas-sistema kollha u bbażat fuq l-attività biex jiġu identifikati u indirizzati r-riskji u l-vulnerabbiltajiet assoċjati ma’ tipi differenti ta’ attività fis-settur finanzjarju kollu, bħas-self, it-tranżazzjonijiet u l-immaniġġjar tal-assi;</w:t>
      </w:r>
    </w:p>
    <w:p w14:paraId="60B3ABD9" w14:textId="77777777" w:rsidR="00FF4DFE" w:rsidRPr="00AD56A9" w:rsidRDefault="00FF4DFE" w:rsidP="00FF4DFE">
      <w:pPr>
        <w:pStyle w:val="NormalHanging12a"/>
      </w:pPr>
      <w:r w:rsidRPr="00AD56A9">
        <w:t>40.</w:t>
      </w:r>
      <w:r w:rsidRPr="00AD56A9">
        <w:tab/>
        <w:t>Jenfasizza l-importanza ta’ qafas robust u kredibbli għall-ġestjoni tal-kriżijiet; jenfasizza r-rwol tal-Mekkaniżmu Uniku ta’ Riżoluzzjoni biex tiġi żgurata riżoluzzjoni effettiva għall-istituzzjonijiet li jkunu qed ifallu u jappoġġja l-funzjoni tal-BĊE bħala mutwanti tal-aħħar istanza biex jiġu ssalvagwardjati l-likwidità u l-fiduċja matul il-kriżijiet; jinnota li għadha nieqsa garanzija ta’ kontinġenza għall-Fond Uniku ta’ Riżoluzzjoni;</w:t>
      </w:r>
    </w:p>
    <w:p w14:paraId="67D4980B" w14:textId="77777777" w:rsidR="00FF4DFE" w:rsidRPr="00AD56A9" w:rsidRDefault="00FF4DFE" w:rsidP="00FF4DFE">
      <w:pPr>
        <w:pStyle w:val="NormalHanging12a"/>
      </w:pPr>
      <w:r w:rsidRPr="00AD56A9">
        <w:t>41.</w:t>
      </w:r>
      <w:r w:rsidRPr="00AD56A9">
        <w:tab/>
        <w:t xml:space="preserve">Jappoġġja lill-BĊE, lill-BERS, lill-awtoritajiet superviżorji Ewropej u nazzjonali kif ukoll lill-Awtorità għall-Ġlieda Kontra l-Ħasil tal-Flus u l-Finanzjament tat-Terroriżmu fis-salvagwardja tal-istabbiltà finanzjarja tal-UE u fl-indirizzar tar-riskji finanzjarji globali emerġenti, inkluża s-superviżjoni koerenti mill-ESMA għal </w:t>
      </w:r>
      <w:proofErr w:type="spellStart"/>
      <w:r w:rsidRPr="00AD56A9">
        <w:t>NBFIs</w:t>
      </w:r>
      <w:proofErr w:type="spellEnd"/>
      <w:r w:rsidRPr="00AD56A9">
        <w:t xml:space="preserve"> transfruntiera sistemiċi;</w:t>
      </w:r>
    </w:p>
    <w:p w14:paraId="61D9D3A2" w14:textId="77777777" w:rsidR="00FF4DFE" w:rsidRPr="00AD56A9" w:rsidRDefault="00FF4DFE" w:rsidP="00FF4DFE">
      <w:pPr>
        <w:pStyle w:val="NormalHanging12a"/>
      </w:pPr>
      <w:r w:rsidRPr="00AD56A9">
        <w:t>42.</w:t>
      </w:r>
      <w:r w:rsidRPr="00AD56A9">
        <w:tab/>
        <w:t>Iwissi kontra l-arbitraġġ regolatorju u jissottolinja l-ħtieġa li jiġu indirizzati l-vulnerabbiltajiet tal-ingranaġġ moħbija li ġew żvelati waqt tfixkil tal-passat;</w:t>
      </w:r>
    </w:p>
    <w:p w14:paraId="7C98CE6E" w14:textId="77777777" w:rsidR="00FF4DFE" w:rsidRPr="00AD56A9" w:rsidRDefault="00FF4DFE" w:rsidP="00FF4DFE">
      <w:pPr>
        <w:pStyle w:val="NormalHanging12a"/>
      </w:pPr>
      <w:r w:rsidRPr="00AD56A9">
        <w:t>43.</w:t>
      </w:r>
      <w:r w:rsidRPr="00AD56A9">
        <w:tab/>
        <w:t>Jistieden lill-Kummissjoni żżomm livell għoli ta’ ambizzjoni fl-implimentazzjoni tar-rakkomandazzjonijiet tal-FSB dwar l-ingranaġġ fl-UE;</w:t>
      </w:r>
    </w:p>
    <w:p w14:paraId="0D345756" w14:textId="77777777" w:rsidR="00FF4DFE" w:rsidRPr="00AD56A9" w:rsidRDefault="00FF4DFE" w:rsidP="00FF4DFE">
      <w:pPr>
        <w:pStyle w:val="NormalHanging12a"/>
      </w:pPr>
      <w:r w:rsidRPr="00AD56A9">
        <w:lastRenderedPageBreak/>
        <w:t>44.</w:t>
      </w:r>
      <w:r w:rsidRPr="00AD56A9">
        <w:tab/>
        <w:t>Jissottolinja li l-awtoritajiet, kemm fil-livell nazzjonali kif ukoll f’dak tal-UE, għandu jkollhom data kwalitattiva, faċilment aċċessibbli u riżorsi adegwati biex janalizzaw id-data;</w:t>
      </w:r>
    </w:p>
    <w:p w14:paraId="2C073E02" w14:textId="77777777" w:rsidR="00FF4DFE" w:rsidRPr="00AD56A9" w:rsidRDefault="00FF4DFE" w:rsidP="00FF4DFE">
      <w:pPr>
        <w:pStyle w:val="NormalHanging12a"/>
      </w:pPr>
      <w:r w:rsidRPr="00AD56A9">
        <w:t>45.</w:t>
      </w:r>
      <w:r w:rsidRPr="00AD56A9">
        <w:tab/>
        <w:t>Jappella għal trasparenza msaħħa, kapaċitajiet ta’ analitika tad-data u mekkaniżmi simplifikati ta’ kondiviżjoni tad-data bejn l-awtoritajiet nazzjonali u tal-UE, fir-rigward tas-salvagwardji tal-protezzjoni tad-data, sabiex jiġu appoġġjati qafas ta’ monitoraġġ tar-riskju aktar komprensiv u kapaċitajiet ta’ ttestjar tal-istress fis-sistema kollha, inkluż dwar ir-reżiljenza ċibernetika, il-qtugħ tal-enerġija u l-qafas kollaterali; jinnota li xi awtoritajiet nazzjonali diġà kkomunikaw l-intenzjoni tagħhom li jwettqu testijiet tal-istress fuq l-interkonnessjonijiet bejn is-settur bankarju u s-settur tal-NBFI;</w:t>
      </w:r>
    </w:p>
    <w:p w14:paraId="2CE29C4F" w14:textId="77777777" w:rsidR="00FF4DFE" w:rsidRPr="00AD56A9" w:rsidRDefault="00FF4DFE" w:rsidP="00FF4DFE">
      <w:pPr>
        <w:pStyle w:val="NormalHanging12a"/>
      </w:pPr>
      <w:r w:rsidRPr="00AD56A9">
        <w:t>46.</w:t>
      </w:r>
      <w:r w:rsidRPr="00AD56A9">
        <w:tab/>
        <w:t>Jappella għal kooperazzjoni msaħħa mal-istituzzjonijiet finanzjarji internazzjonali, inklużi l-FMI, il-Kumitat ta’ Basel dwar is-Superviżjoni Bankarja, il-BĦI u l-FSB, biex jiġu indirizzati r-riskji għall-istabbiltà transfruntiera;</w:t>
      </w:r>
    </w:p>
    <w:p w14:paraId="0C93446A" w14:textId="77777777" w:rsidR="00FF4DFE" w:rsidRPr="00AD56A9" w:rsidRDefault="00FF4DFE" w:rsidP="00FF4DFE">
      <w:pPr>
        <w:pStyle w:val="NormalCenter12a"/>
      </w:pPr>
      <w:r w:rsidRPr="00AD56A9">
        <w:t>°</w:t>
      </w:r>
    </w:p>
    <w:p w14:paraId="08B45574" w14:textId="77777777" w:rsidR="00FF4DFE" w:rsidRPr="00AD56A9" w:rsidRDefault="00FF4DFE" w:rsidP="00FF4DFE">
      <w:pPr>
        <w:pStyle w:val="NormalCenter12a"/>
      </w:pPr>
      <w:r w:rsidRPr="00AD56A9">
        <w:t>°</w:t>
      </w:r>
      <w:r w:rsidRPr="00AD56A9">
        <w:tab/>
        <w:t>°</w:t>
      </w:r>
    </w:p>
    <w:p w14:paraId="093EE66F" w14:textId="6007472A" w:rsidR="00AD56A9" w:rsidRPr="00AD56A9" w:rsidRDefault="00FF4DFE" w:rsidP="00AD56A9">
      <w:pPr>
        <w:pStyle w:val="NormalHanging12a"/>
      </w:pPr>
      <w:r w:rsidRPr="00AD56A9">
        <w:t>47.</w:t>
      </w:r>
      <w:r w:rsidRPr="00AD56A9">
        <w:tab/>
        <w:t>Jagħti struzzjonijiet lill-President tiegħu biex tgħaddi din ir-riżoluzzjoni lill-Kunsill u lill-Kummissjoni.</w:t>
      </w:r>
    </w:p>
    <w:p w14:paraId="7FD6EC47" w14:textId="1B5BFDAD" w:rsidR="00E365E1" w:rsidRPr="00AD56A9" w:rsidRDefault="00E365E1" w:rsidP="00B23AF0"/>
    <w:sectPr w:rsidR="00E365E1" w:rsidRPr="00AD56A9" w:rsidSect="00AD56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164BF" w14:textId="77777777" w:rsidR="00B23AF0" w:rsidRPr="00AD56A9" w:rsidRDefault="00B23AF0">
      <w:r w:rsidRPr="00AD56A9">
        <w:separator/>
      </w:r>
    </w:p>
  </w:endnote>
  <w:endnote w:type="continuationSeparator" w:id="0">
    <w:p w14:paraId="283888AD" w14:textId="77777777" w:rsidR="00B23AF0" w:rsidRPr="00AD56A9" w:rsidRDefault="00B23AF0">
      <w:r w:rsidRPr="00AD56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9991D" w14:textId="77777777" w:rsidR="00064002" w:rsidRPr="00AD56A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4D06A" w14:textId="77777777" w:rsidR="00064002" w:rsidRPr="00AD56A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29CEF" w14:textId="77777777" w:rsidR="00064002" w:rsidRPr="00AD56A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A1147" w14:textId="77777777" w:rsidR="00B23AF0" w:rsidRPr="00AD56A9" w:rsidRDefault="00B23AF0">
      <w:r w:rsidRPr="00AD56A9">
        <w:separator/>
      </w:r>
    </w:p>
  </w:footnote>
  <w:footnote w:type="continuationSeparator" w:id="0">
    <w:p w14:paraId="4C8D00CE" w14:textId="77777777" w:rsidR="00B23AF0" w:rsidRPr="00AD56A9" w:rsidRDefault="00B23AF0">
      <w:r w:rsidRPr="00AD56A9">
        <w:continuationSeparator/>
      </w:r>
    </w:p>
  </w:footnote>
  <w:footnote w:id="1">
    <w:p w14:paraId="1ECF7C8C" w14:textId="15FD22AD" w:rsidR="00FF4DFE" w:rsidRPr="00AD56A9" w:rsidRDefault="00FF4DFE" w:rsidP="00AD56A9">
      <w:pPr>
        <w:pStyle w:val="FootnoteText"/>
        <w:ind w:left="567" w:hanging="567"/>
        <w:rPr>
          <w:sz w:val="24"/>
          <w:lang w:val="mt-MT"/>
        </w:rPr>
      </w:pPr>
      <w:r w:rsidRPr="00AD56A9">
        <w:rPr>
          <w:sz w:val="24"/>
          <w:vertAlign w:val="superscript"/>
          <w:lang w:val="mt-MT"/>
        </w:rPr>
        <w:t>1</w:t>
      </w:r>
      <w:r w:rsidR="00AD56A9" w:rsidRPr="00AD56A9">
        <w:rPr>
          <w:sz w:val="24"/>
          <w:vertAlign w:val="superscript"/>
          <w:lang w:val="mt-MT"/>
        </w:rPr>
        <w:t xml:space="preserve"> </w:t>
      </w:r>
      <w:r w:rsidR="00AD56A9" w:rsidRPr="00AD56A9">
        <w:rPr>
          <w:sz w:val="24"/>
          <w:vertAlign w:val="superscript"/>
          <w:lang w:val="mt-MT"/>
        </w:rPr>
        <w:tab/>
      </w:r>
      <w:r w:rsidRPr="00AD56A9">
        <w:rPr>
          <w:sz w:val="24"/>
          <w:lang w:val="mt-MT"/>
        </w:rPr>
        <w:t>ĠU C 33</w:t>
      </w:r>
      <w:r w:rsidR="005B4B7D">
        <w:rPr>
          <w:sz w:val="24"/>
          <w:lang w:val="mt-MT"/>
        </w:rPr>
        <w:t xml:space="preserve"> </w:t>
      </w:r>
      <w:r w:rsidRPr="00AD56A9">
        <w:rPr>
          <w:sz w:val="24"/>
          <w:lang w:val="mt-MT"/>
        </w:rPr>
        <w:t>E, 5.2.2013, p. 140.</w:t>
      </w:r>
    </w:p>
  </w:footnote>
  <w:footnote w:id="2">
    <w:p w14:paraId="18E9D0E4" w14:textId="7A4AB07D" w:rsidR="00FF4DFE" w:rsidRPr="00AD56A9" w:rsidRDefault="00FF4DFE" w:rsidP="00AD56A9">
      <w:pPr>
        <w:pStyle w:val="FootnoteText"/>
        <w:ind w:left="567" w:hanging="567"/>
        <w:rPr>
          <w:sz w:val="24"/>
          <w:lang w:val="mt-MT"/>
        </w:rPr>
      </w:pPr>
      <w:r w:rsidRPr="00AD56A9">
        <w:rPr>
          <w:sz w:val="24"/>
          <w:vertAlign w:val="superscript"/>
          <w:lang w:val="mt-MT"/>
        </w:rPr>
        <w:t>2</w:t>
      </w:r>
      <w:r w:rsidR="00AD56A9" w:rsidRPr="00AD56A9">
        <w:rPr>
          <w:sz w:val="24"/>
          <w:vertAlign w:val="superscript"/>
          <w:lang w:val="mt-MT"/>
        </w:rPr>
        <w:t xml:space="preserve"> </w:t>
      </w:r>
      <w:r w:rsidR="00AD56A9" w:rsidRPr="00AD56A9">
        <w:rPr>
          <w:sz w:val="24"/>
          <w:vertAlign w:val="superscript"/>
          <w:lang w:val="mt-MT"/>
        </w:rPr>
        <w:tab/>
      </w:r>
      <w:r w:rsidRPr="00AD56A9">
        <w:rPr>
          <w:sz w:val="24"/>
          <w:lang w:val="mt-MT"/>
        </w:rPr>
        <w:t xml:space="preserve">Id-Direttiva 2011/61/UE tal-Parlament Ewropew u tal-Kunsill tat- 8 ta’ Ġunju 2011 dwar Maniġers ta’ Fondi ta’ Investiment Alternattivi u li temenda d-Direttivi 2003/41/KE u 2009/65/KE u r-Regolamenti (KE) Nru 1060/2009 u (UE) Nru 1095/2010 (ĠU L 174, 1.7.2011, p. 1, ELI: </w:t>
      </w:r>
      <w:hyperlink r:id="rId1" w:tgtFrame="http://data.europa.eu/eli/dir/2011/61/oj" w:history="1">
        <w:r w:rsidRPr="00AD56A9">
          <w:rPr>
            <w:rStyle w:val="Hyperlink"/>
            <w:sz w:val="24"/>
            <w:lang w:val="mt-MT"/>
          </w:rPr>
          <w:t>http://data.europa.eu/eli/dir/2011/61/oj</w:t>
        </w:r>
      </w:hyperlink>
      <w:r w:rsidRPr="00AD56A9">
        <w:rPr>
          <w:sz w:val="24"/>
          <w:lang w:val="mt-MT"/>
        </w:rPr>
        <w:t>).</w:t>
      </w:r>
    </w:p>
  </w:footnote>
  <w:footnote w:id="3">
    <w:p w14:paraId="5CFF7FFC" w14:textId="25CD6317" w:rsidR="00FF4DFE" w:rsidRPr="00AD56A9" w:rsidRDefault="00FF4DFE" w:rsidP="00AD56A9">
      <w:pPr>
        <w:pStyle w:val="FootnoteText"/>
        <w:ind w:left="567" w:hanging="567"/>
        <w:rPr>
          <w:sz w:val="24"/>
          <w:lang w:val="mt-MT"/>
        </w:rPr>
      </w:pPr>
      <w:r w:rsidRPr="00AD56A9">
        <w:rPr>
          <w:sz w:val="24"/>
          <w:vertAlign w:val="superscript"/>
          <w:lang w:val="mt-MT"/>
        </w:rPr>
        <w:t>3</w:t>
      </w:r>
      <w:r w:rsidR="00AD56A9" w:rsidRPr="00AD56A9">
        <w:rPr>
          <w:sz w:val="24"/>
          <w:vertAlign w:val="superscript"/>
          <w:lang w:val="mt-MT"/>
        </w:rPr>
        <w:t xml:space="preserve"> </w:t>
      </w:r>
      <w:r w:rsidR="00AD56A9" w:rsidRPr="00AD56A9">
        <w:rPr>
          <w:sz w:val="24"/>
          <w:vertAlign w:val="superscript"/>
          <w:lang w:val="mt-MT"/>
        </w:rPr>
        <w:tab/>
      </w:r>
      <w:r w:rsidRPr="00AD56A9">
        <w:rPr>
          <w:sz w:val="24"/>
          <w:lang w:val="mt-MT"/>
        </w:rPr>
        <w:t xml:space="preserve">Ir-Regolament (UE) 2017/1131 tal-Parlament Ewropew u tal-Kunsill tal-14 ta’ Ġunju 2017 dwar il-fondi tas-suq monetarju (ĠU L 169, 30.6.2017, p. 8, ELI: </w:t>
      </w:r>
      <w:hyperlink r:id="rId2" w:tgtFrame="http://data.europa.eu/eli/reg/2017/1131/oj" w:history="1">
        <w:r w:rsidRPr="00AD56A9">
          <w:rPr>
            <w:rStyle w:val="Hyperlink"/>
            <w:sz w:val="24"/>
            <w:lang w:val="mt-MT"/>
          </w:rPr>
          <w:t>http://data.europa.eu/eli/reg/2017/1131/oj</w:t>
        </w:r>
      </w:hyperlink>
      <w:r w:rsidRPr="00AD56A9">
        <w:rPr>
          <w:sz w:val="24"/>
          <w:lang w:val="mt-MT"/>
        </w:rPr>
        <w:t>).</w:t>
      </w:r>
    </w:p>
  </w:footnote>
  <w:footnote w:id="4">
    <w:p w14:paraId="50DDD97C" w14:textId="0887C801" w:rsidR="00FF4DFE" w:rsidRPr="00AD56A9" w:rsidRDefault="00FF4DFE" w:rsidP="00AD56A9">
      <w:pPr>
        <w:pStyle w:val="FootnoteText"/>
        <w:ind w:left="567" w:hanging="567"/>
        <w:rPr>
          <w:sz w:val="24"/>
          <w:lang w:val="mt-MT"/>
        </w:rPr>
      </w:pPr>
      <w:r w:rsidRPr="00AD56A9">
        <w:rPr>
          <w:sz w:val="24"/>
          <w:vertAlign w:val="superscript"/>
          <w:lang w:val="mt-MT"/>
        </w:rPr>
        <w:t>4</w:t>
      </w:r>
      <w:r w:rsidR="00AD56A9" w:rsidRPr="00AD56A9">
        <w:rPr>
          <w:sz w:val="24"/>
          <w:vertAlign w:val="superscript"/>
          <w:lang w:val="mt-MT"/>
        </w:rPr>
        <w:t xml:space="preserve"> </w:t>
      </w:r>
      <w:r w:rsidR="00AD56A9" w:rsidRPr="00AD56A9">
        <w:rPr>
          <w:sz w:val="24"/>
          <w:vertAlign w:val="superscript"/>
          <w:lang w:val="mt-MT"/>
        </w:rPr>
        <w:tab/>
      </w:r>
      <w:r w:rsidRPr="00AD56A9">
        <w:rPr>
          <w:sz w:val="24"/>
          <w:lang w:val="mt-MT"/>
        </w:rPr>
        <w:t xml:space="preserve">Id-Direttiva (UE) 2019/2034 tal-Parlament Ewropew u tal-Kunsill tas-27 ta’ Novembru 2019 dwar is-superviżjoni prudenzjali tad-ditti tal-investiment u li temenda d-Direttivi 2002/87/KE, 2009/65/KE, 2011/61/UE, 2013/36/UE 2014/59/UE u 2014/65/UE (ĠU L 314, 5.12.2019, p. 64, ELI: </w:t>
      </w:r>
      <w:hyperlink r:id="rId3" w:tgtFrame="http://data.europa.eu/eli/dir/2019/2034/oj" w:history="1">
        <w:r w:rsidRPr="00AD56A9">
          <w:rPr>
            <w:rStyle w:val="Hyperlink"/>
            <w:sz w:val="24"/>
            <w:lang w:val="mt-MT"/>
          </w:rPr>
          <w:t>http://data.europa.eu/eli/dir/2019/2034/oj</w:t>
        </w:r>
      </w:hyperlink>
      <w:r w:rsidRPr="00AD56A9">
        <w:rPr>
          <w:sz w:val="24"/>
          <w:lang w:val="mt-MT"/>
        </w:rPr>
        <w:t>).</w:t>
      </w:r>
    </w:p>
  </w:footnote>
  <w:footnote w:id="5">
    <w:p w14:paraId="69ED5C4F" w14:textId="000FC9C2" w:rsidR="00FF4DFE" w:rsidRPr="00AD56A9" w:rsidRDefault="00FF4DFE" w:rsidP="00AD56A9">
      <w:pPr>
        <w:pStyle w:val="FootnoteText"/>
        <w:ind w:left="567" w:hanging="567"/>
        <w:rPr>
          <w:sz w:val="24"/>
          <w:lang w:val="mt-MT"/>
        </w:rPr>
      </w:pPr>
      <w:r w:rsidRPr="00AD56A9">
        <w:rPr>
          <w:sz w:val="24"/>
          <w:vertAlign w:val="superscript"/>
          <w:lang w:val="mt-MT"/>
        </w:rPr>
        <w:t>5</w:t>
      </w:r>
      <w:r w:rsidR="00AD56A9" w:rsidRPr="00AD56A9">
        <w:rPr>
          <w:sz w:val="24"/>
          <w:vertAlign w:val="superscript"/>
          <w:lang w:val="mt-MT"/>
        </w:rPr>
        <w:t xml:space="preserve"> </w:t>
      </w:r>
      <w:r w:rsidR="00AD56A9" w:rsidRPr="00AD56A9">
        <w:rPr>
          <w:sz w:val="24"/>
          <w:vertAlign w:val="superscript"/>
          <w:lang w:val="mt-MT"/>
        </w:rPr>
        <w:tab/>
      </w:r>
      <w:r w:rsidRPr="00AD56A9">
        <w:rPr>
          <w:sz w:val="24"/>
          <w:lang w:val="mt-MT"/>
        </w:rPr>
        <w:t xml:space="preserve">Ir-Regolament (UE) 2019/2033 tal-Parlament Ewropew u tal-Kunsill tas-27 ta’ Novembru 2019 dwar ir-rekwiżiti prudenzjali tad-ditti tal-investiment u li jemenda r-Regolamenti (UE) Nru 1093/2010, (UE) Nru 575/2013, (UE) Nru 600/2014 u (UE) Nru 806/2014 (ĠU L 314, 5.12.2019, p. 1, ELI: </w:t>
      </w:r>
      <w:hyperlink r:id="rId4" w:tgtFrame="http://data.europa.eu/eli/reg/2019/2033/oj" w:history="1">
        <w:r w:rsidRPr="00AD56A9">
          <w:rPr>
            <w:rStyle w:val="Hyperlink"/>
            <w:sz w:val="24"/>
            <w:lang w:val="mt-MT"/>
          </w:rPr>
          <w:t>http://data.europa.eu/eli/reg/2019/2033/oj</w:t>
        </w:r>
      </w:hyperlink>
      <w:r w:rsidRPr="00AD56A9">
        <w:rPr>
          <w:sz w:val="24"/>
          <w:lang w:val="mt-MT"/>
        </w:rPr>
        <w:t>).</w:t>
      </w:r>
    </w:p>
  </w:footnote>
  <w:footnote w:id="6">
    <w:p w14:paraId="51FB42FA" w14:textId="54498823" w:rsidR="00FF4DFE" w:rsidRPr="00AD56A9" w:rsidRDefault="00FF4DFE" w:rsidP="00AD56A9">
      <w:pPr>
        <w:pStyle w:val="FootnoteText"/>
        <w:ind w:left="567" w:hanging="567"/>
        <w:rPr>
          <w:sz w:val="24"/>
          <w:lang w:val="mt-MT"/>
        </w:rPr>
      </w:pPr>
      <w:r w:rsidRPr="00AD56A9">
        <w:rPr>
          <w:sz w:val="24"/>
          <w:vertAlign w:val="superscript"/>
          <w:lang w:val="mt-MT"/>
        </w:rPr>
        <w:t>6</w:t>
      </w:r>
      <w:r w:rsidR="00AD56A9" w:rsidRPr="00AD56A9">
        <w:rPr>
          <w:sz w:val="24"/>
          <w:vertAlign w:val="superscript"/>
          <w:lang w:val="mt-MT"/>
        </w:rPr>
        <w:t xml:space="preserve"> </w:t>
      </w:r>
      <w:r w:rsidR="00AD56A9" w:rsidRPr="00AD56A9">
        <w:rPr>
          <w:sz w:val="24"/>
          <w:vertAlign w:val="superscript"/>
          <w:lang w:val="mt-MT"/>
        </w:rPr>
        <w:tab/>
      </w:r>
      <w:r w:rsidRPr="00AD56A9">
        <w:rPr>
          <w:sz w:val="24"/>
          <w:lang w:val="mt-MT"/>
        </w:rPr>
        <w:t>Id-Direttiva (UE) 2016/2341 tal-Parlament Ewropew u tal-Kunsill tal-14 ta’ Diċembru 2016 dwar l-attivitajiet u s-superviżjoni ta’ istituzzjonijiet għall-provvista ta’ rtirar okkupazzjonali (</w:t>
      </w:r>
      <w:proofErr w:type="spellStart"/>
      <w:r w:rsidRPr="00AD56A9">
        <w:rPr>
          <w:sz w:val="24"/>
          <w:lang w:val="mt-MT"/>
        </w:rPr>
        <w:t>IORPs</w:t>
      </w:r>
      <w:proofErr w:type="spellEnd"/>
      <w:r w:rsidRPr="00AD56A9">
        <w:rPr>
          <w:sz w:val="24"/>
          <w:lang w:val="mt-MT"/>
        </w:rPr>
        <w:t xml:space="preserve">) (ĠU L 354, 23.12.2016, p. 37, ELI: </w:t>
      </w:r>
      <w:hyperlink r:id="rId5" w:tgtFrame="http://data.europa.eu/eli/dir/2016/2341/oj" w:history="1">
        <w:r w:rsidRPr="00AD56A9">
          <w:rPr>
            <w:rStyle w:val="Hyperlink"/>
            <w:sz w:val="24"/>
            <w:lang w:val="mt-MT"/>
          </w:rPr>
          <w:t>http://data.europa.eu/eli/dir/2016/2341/oj</w:t>
        </w:r>
      </w:hyperlink>
      <w:r w:rsidRPr="00AD56A9">
        <w:rPr>
          <w:sz w:val="24"/>
          <w:lang w:val="mt-MT"/>
        </w:rPr>
        <w:t>).</w:t>
      </w:r>
    </w:p>
  </w:footnote>
  <w:footnote w:id="7">
    <w:p w14:paraId="2F454976" w14:textId="4F61F70D" w:rsidR="00FF4DFE" w:rsidRPr="00AD56A9" w:rsidRDefault="00FF4DFE" w:rsidP="00AD56A9">
      <w:pPr>
        <w:pStyle w:val="FootnoteText"/>
        <w:ind w:left="567" w:hanging="567"/>
        <w:rPr>
          <w:sz w:val="24"/>
          <w:lang w:val="mt-MT"/>
        </w:rPr>
      </w:pPr>
      <w:r w:rsidRPr="00AD56A9">
        <w:rPr>
          <w:sz w:val="24"/>
          <w:vertAlign w:val="superscript"/>
          <w:lang w:val="mt-MT"/>
        </w:rPr>
        <w:t>7</w:t>
      </w:r>
      <w:r w:rsidR="00AD56A9" w:rsidRPr="00AD56A9">
        <w:rPr>
          <w:sz w:val="24"/>
          <w:vertAlign w:val="superscript"/>
          <w:lang w:val="mt-MT"/>
        </w:rPr>
        <w:t xml:space="preserve"> </w:t>
      </w:r>
      <w:r w:rsidR="00AD56A9" w:rsidRPr="00AD56A9">
        <w:rPr>
          <w:sz w:val="24"/>
          <w:vertAlign w:val="superscript"/>
          <w:lang w:val="mt-MT"/>
        </w:rPr>
        <w:tab/>
      </w:r>
      <w:r w:rsidR="00E02F51" w:rsidRPr="00550DD3">
        <w:t xml:space="preserve">BĊE, Financial </w:t>
      </w:r>
      <w:proofErr w:type="spellStart"/>
      <w:r w:rsidR="00E02F51" w:rsidRPr="00550DD3">
        <w:t>Stability</w:t>
      </w:r>
      <w:proofErr w:type="spellEnd"/>
      <w:r w:rsidR="00E02F51" w:rsidRPr="00550DD3">
        <w:t xml:space="preserve"> </w:t>
      </w:r>
      <w:proofErr w:type="spellStart"/>
      <w:r w:rsidR="00E02F51" w:rsidRPr="00550DD3">
        <w:t>Review</w:t>
      </w:r>
      <w:proofErr w:type="spellEnd"/>
      <w:r w:rsidR="00E02F51" w:rsidRPr="00550DD3">
        <w:t xml:space="preserve"> (</w:t>
      </w:r>
      <w:proofErr w:type="spellStart"/>
      <w:r w:rsidR="00E02F51" w:rsidRPr="00550DD3">
        <w:t>Rieżami</w:t>
      </w:r>
      <w:proofErr w:type="spellEnd"/>
      <w:r w:rsidR="00E02F51" w:rsidRPr="00550DD3">
        <w:t xml:space="preserve"> </w:t>
      </w:r>
      <w:proofErr w:type="spellStart"/>
      <w:r w:rsidR="00E02F51" w:rsidRPr="00550DD3">
        <w:t>tal-istabbiltà</w:t>
      </w:r>
      <w:proofErr w:type="spellEnd"/>
      <w:r w:rsidR="00E02F51" w:rsidRPr="00550DD3">
        <w:t xml:space="preserve"> finanzjarja)</w:t>
      </w:r>
      <w:r w:rsidRPr="00AD56A9">
        <w:rPr>
          <w:sz w:val="24"/>
          <w:lang w:val="mt-MT"/>
        </w:rPr>
        <w:t>, Mejju 2025, p 78.</w:t>
      </w:r>
    </w:p>
  </w:footnote>
  <w:footnote w:id="8">
    <w:p w14:paraId="10200924" w14:textId="7700F8EA" w:rsidR="00FF4DFE" w:rsidRPr="00AD56A9" w:rsidRDefault="00FF4DFE" w:rsidP="00AD56A9">
      <w:pPr>
        <w:pStyle w:val="FootnoteText"/>
        <w:ind w:left="567" w:hanging="567"/>
        <w:rPr>
          <w:sz w:val="24"/>
          <w:lang w:val="mt-MT"/>
        </w:rPr>
      </w:pPr>
      <w:r w:rsidRPr="00AD56A9">
        <w:rPr>
          <w:sz w:val="24"/>
          <w:vertAlign w:val="superscript"/>
          <w:lang w:val="mt-MT"/>
        </w:rPr>
        <w:t>8</w:t>
      </w:r>
      <w:r w:rsidR="00AD56A9" w:rsidRPr="00AD56A9">
        <w:rPr>
          <w:sz w:val="24"/>
          <w:vertAlign w:val="superscript"/>
          <w:lang w:val="mt-MT"/>
        </w:rPr>
        <w:t xml:space="preserve"> </w:t>
      </w:r>
      <w:r w:rsidR="00AD56A9" w:rsidRPr="00AD56A9">
        <w:rPr>
          <w:sz w:val="24"/>
          <w:vertAlign w:val="superscript"/>
          <w:lang w:val="mt-MT"/>
        </w:rPr>
        <w:tab/>
      </w:r>
      <w:r w:rsidRPr="00AD56A9">
        <w:rPr>
          <w:sz w:val="24"/>
          <w:lang w:val="mt-MT"/>
        </w:rPr>
        <w:t xml:space="preserve">Ir-Regolament (UE) 2017/1131 tal-Parlament Ewropew u tal-Kunsill tal-14 ta’ Ġunju 2017 dwar il-fondi tas-suq monetarju (ĠU L 169, 30.6.2017, p. 8, ELI: </w:t>
      </w:r>
      <w:hyperlink r:id="rId6" w:tgtFrame="http://data.europa.eu/eli/reg/2017/1131/oj" w:history="1">
        <w:r w:rsidRPr="00AD56A9">
          <w:rPr>
            <w:rStyle w:val="Hyperlink"/>
            <w:sz w:val="24"/>
            <w:lang w:val="mt-MT"/>
          </w:rPr>
          <w:t>http://data.europa.eu/eli/reg/2017/1131/oj</w:t>
        </w:r>
      </w:hyperlink>
      <w:r w:rsidRPr="00AD56A9">
        <w:rPr>
          <w:sz w:val="24"/>
          <w:lang w:val="mt-MT"/>
        </w:rPr>
        <w:t>).</w:t>
      </w:r>
    </w:p>
  </w:footnote>
  <w:footnote w:id="9">
    <w:p w14:paraId="380B5251" w14:textId="7C4F974B" w:rsidR="00FF4DFE" w:rsidRPr="00AD56A9" w:rsidRDefault="00FF4DFE" w:rsidP="00AD56A9">
      <w:pPr>
        <w:pStyle w:val="FootnoteText"/>
        <w:ind w:left="567" w:hanging="567"/>
        <w:rPr>
          <w:sz w:val="24"/>
          <w:lang w:val="mt-MT"/>
        </w:rPr>
      </w:pPr>
      <w:r w:rsidRPr="00AD56A9">
        <w:rPr>
          <w:sz w:val="24"/>
          <w:vertAlign w:val="superscript"/>
          <w:lang w:val="mt-MT"/>
        </w:rPr>
        <w:t>9</w:t>
      </w:r>
      <w:r w:rsidR="00AD56A9" w:rsidRPr="00AD56A9">
        <w:rPr>
          <w:sz w:val="24"/>
          <w:vertAlign w:val="superscript"/>
          <w:lang w:val="mt-MT"/>
        </w:rPr>
        <w:t xml:space="preserve"> </w:t>
      </w:r>
      <w:r w:rsidR="00AD56A9" w:rsidRPr="00AD56A9">
        <w:rPr>
          <w:sz w:val="24"/>
          <w:vertAlign w:val="superscript"/>
          <w:lang w:val="mt-MT"/>
        </w:rPr>
        <w:tab/>
      </w:r>
      <w:r w:rsidR="00E02F51" w:rsidRPr="00550DD3">
        <w:t xml:space="preserve">G20 Crypto-asset Policy </w:t>
      </w:r>
      <w:proofErr w:type="spellStart"/>
      <w:r w:rsidR="00E02F51" w:rsidRPr="00550DD3">
        <w:t>Implementation</w:t>
      </w:r>
      <w:proofErr w:type="spellEnd"/>
      <w:r w:rsidR="00E02F51" w:rsidRPr="00550DD3">
        <w:t xml:space="preserve"> </w:t>
      </w:r>
      <w:proofErr w:type="spellStart"/>
      <w:r w:rsidR="00E02F51" w:rsidRPr="00550DD3">
        <w:t>Status</w:t>
      </w:r>
      <w:proofErr w:type="spellEnd"/>
      <w:r w:rsidR="00E02F51" w:rsidRPr="00550DD3">
        <w:t xml:space="preserve"> report (Rapport </w:t>
      </w:r>
      <w:proofErr w:type="spellStart"/>
      <w:r w:rsidR="00E02F51" w:rsidRPr="00550DD3">
        <w:t>dwar</w:t>
      </w:r>
      <w:proofErr w:type="spellEnd"/>
      <w:r w:rsidR="00E02F51" w:rsidRPr="00550DD3">
        <w:t xml:space="preserve"> l-</w:t>
      </w:r>
      <w:proofErr w:type="spellStart"/>
      <w:r w:rsidR="00E02F51" w:rsidRPr="00550DD3">
        <w:t>Istatus</w:t>
      </w:r>
      <w:proofErr w:type="spellEnd"/>
      <w:r w:rsidR="00E02F51" w:rsidRPr="00550DD3">
        <w:t xml:space="preserve"> </w:t>
      </w:r>
      <w:proofErr w:type="spellStart"/>
      <w:r w:rsidR="00E02F51" w:rsidRPr="00550DD3">
        <w:t>tal-Implimentazzjoni</w:t>
      </w:r>
      <w:proofErr w:type="spellEnd"/>
      <w:r w:rsidR="00E02F51" w:rsidRPr="00550DD3">
        <w:t xml:space="preserve"> </w:t>
      </w:r>
      <w:proofErr w:type="spellStart"/>
      <w:r w:rsidR="00E02F51" w:rsidRPr="00550DD3">
        <w:t>tal-Politika</w:t>
      </w:r>
      <w:proofErr w:type="spellEnd"/>
      <w:r w:rsidR="00E02F51" w:rsidRPr="00550DD3">
        <w:t xml:space="preserve"> </w:t>
      </w:r>
      <w:proofErr w:type="spellStart"/>
      <w:r w:rsidR="00E02F51" w:rsidRPr="00550DD3">
        <w:t>dwar</w:t>
      </w:r>
      <w:proofErr w:type="spellEnd"/>
      <w:r w:rsidR="00E02F51" w:rsidRPr="00550DD3">
        <w:t xml:space="preserve"> il-Kriptoassi tal-G20)</w:t>
      </w:r>
      <w:r w:rsidRPr="00AD56A9">
        <w:rPr>
          <w:sz w:val="24"/>
          <w:lang w:val="mt-MT"/>
        </w:rPr>
        <w:t>. It-22 ta’ Ottubru 2024.</w:t>
      </w:r>
    </w:p>
  </w:footnote>
  <w:footnote w:id="10">
    <w:p w14:paraId="2561B5A9" w14:textId="2F76F4D1" w:rsidR="00FF4DFE" w:rsidRPr="00AD56A9" w:rsidRDefault="00FF4DFE" w:rsidP="00AD56A9">
      <w:pPr>
        <w:pStyle w:val="FootnoteText"/>
        <w:ind w:left="567" w:hanging="567"/>
        <w:rPr>
          <w:sz w:val="24"/>
          <w:lang w:val="mt-MT"/>
        </w:rPr>
      </w:pPr>
      <w:r w:rsidRPr="00AD56A9">
        <w:rPr>
          <w:sz w:val="24"/>
          <w:vertAlign w:val="superscript"/>
          <w:lang w:val="mt-MT"/>
        </w:rPr>
        <w:t>10</w:t>
      </w:r>
      <w:r w:rsidR="00AD56A9" w:rsidRPr="00AD56A9">
        <w:rPr>
          <w:sz w:val="24"/>
          <w:vertAlign w:val="superscript"/>
          <w:lang w:val="mt-MT"/>
        </w:rPr>
        <w:t xml:space="preserve"> </w:t>
      </w:r>
      <w:r w:rsidR="00AD56A9" w:rsidRPr="00AD56A9">
        <w:rPr>
          <w:sz w:val="24"/>
          <w:vertAlign w:val="superscript"/>
          <w:lang w:val="mt-MT"/>
        </w:rPr>
        <w:tab/>
      </w:r>
      <w:r w:rsidRPr="00AD56A9">
        <w:rPr>
          <w:sz w:val="24"/>
          <w:lang w:val="mt-MT"/>
        </w:rPr>
        <w:t xml:space="preserve">Ir-Regolament (UE) 2022/2554 tal-Parlament Ewropew u tal-Kunsill tal-14 ta’ Diċembru 2022 dwar ir-reżiljenza operazzjonali diġitali għas-settur finanzjarju u li jemenda r-Regolamenti (KE) Nru 1060/2009, (UE) Nru 648/2012, (UE) Nru 600/2014, (UE) Nru 909/2014 u (UE) 2016/1011, (ĠU L 333, 27.12.2022, p. 1, ELI: </w:t>
      </w:r>
      <w:hyperlink r:id="rId7" w:tgtFrame="http://data.europa.eu/eli/reg/2022/2554/oj" w:history="1">
        <w:r w:rsidRPr="00AD56A9">
          <w:rPr>
            <w:rStyle w:val="Hyperlink"/>
            <w:sz w:val="24"/>
            <w:lang w:val="mt-MT"/>
          </w:rPr>
          <w:t>http://data.europa.eu/eli/reg/2022/2554/oj</w:t>
        </w:r>
      </w:hyperlink>
      <w:r w:rsidRPr="00AD56A9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F3976" w14:textId="77777777" w:rsidR="00064002" w:rsidRPr="00AD56A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4690E" w14:textId="77777777" w:rsidR="00064002" w:rsidRPr="00AD56A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3C833" w14:textId="77777777" w:rsidR="00064002" w:rsidRPr="00AD56A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03877457">
    <w:abstractNumId w:val="9"/>
  </w:num>
  <w:num w:numId="2" w16cid:durableId="954217514">
    <w:abstractNumId w:val="9"/>
  </w:num>
  <w:num w:numId="3" w16cid:durableId="666715796">
    <w:abstractNumId w:val="7"/>
  </w:num>
  <w:num w:numId="4" w16cid:durableId="1580141322">
    <w:abstractNumId w:val="7"/>
  </w:num>
  <w:num w:numId="5" w16cid:durableId="288441131">
    <w:abstractNumId w:val="6"/>
  </w:num>
  <w:num w:numId="6" w16cid:durableId="4749477">
    <w:abstractNumId w:val="6"/>
  </w:num>
  <w:num w:numId="7" w16cid:durableId="620304876">
    <w:abstractNumId w:val="5"/>
  </w:num>
  <w:num w:numId="8" w16cid:durableId="1468861302">
    <w:abstractNumId w:val="5"/>
  </w:num>
  <w:num w:numId="9" w16cid:durableId="132866985">
    <w:abstractNumId w:val="4"/>
  </w:num>
  <w:num w:numId="10" w16cid:durableId="227418448">
    <w:abstractNumId w:val="4"/>
  </w:num>
  <w:num w:numId="11" w16cid:durableId="1779522842">
    <w:abstractNumId w:val="8"/>
  </w:num>
  <w:num w:numId="12" w16cid:durableId="1162356106">
    <w:abstractNumId w:val="8"/>
  </w:num>
  <w:num w:numId="13" w16cid:durableId="1789278575">
    <w:abstractNumId w:val="3"/>
  </w:num>
  <w:num w:numId="14" w16cid:durableId="1466315196">
    <w:abstractNumId w:val="3"/>
  </w:num>
  <w:num w:numId="15" w16cid:durableId="639505637">
    <w:abstractNumId w:val="2"/>
  </w:num>
  <w:num w:numId="16" w16cid:durableId="448860564">
    <w:abstractNumId w:val="2"/>
  </w:num>
  <w:num w:numId="17" w16cid:durableId="1419055834">
    <w:abstractNumId w:val="1"/>
  </w:num>
  <w:num w:numId="18" w16cid:durableId="2051562730">
    <w:abstractNumId w:val="1"/>
  </w:num>
  <w:num w:numId="19" w16cid:durableId="488714562">
    <w:abstractNumId w:val="0"/>
  </w:num>
  <w:num w:numId="20" w16cid:durableId="962006585">
    <w:abstractNumId w:val="0"/>
  </w:num>
  <w:num w:numId="21" w16cid:durableId="932934430">
    <w:abstractNumId w:val="9"/>
  </w:num>
  <w:num w:numId="22" w16cid:durableId="1052389718">
    <w:abstractNumId w:val="7"/>
  </w:num>
  <w:num w:numId="23" w16cid:durableId="1442802577">
    <w:abstractNumId w:val="6"/>
  </w:num>
  <w:num w:numId="24" w16cid:durableId="215825056">
    <w:abstractNumId w:val="5"/>
  </w:num>
  <w:num w:numId="25" w16cid:durableId="498498073">
    <w:abstractNumId w:val="4"/>
  </w:num>
  <w:num w:numId="26" w16cid:durableId="1832214470">
    <w:abstractNumId w:val="8"/>
  </w:num>
  <w:num w:numId="27" w16cid:durableId="1657758051">
    <w:abstractNumId w:val="3"/>
  </w:num>
  <w:num w:numId="28" w16cid:durableId="141050210">
    <w:abstractNumId w:val="2"/>
  </w:num>
  <w:num w:numId="29" w16cid:durableId="804393568">
    <w:abstractNumId w:val="1"/>
  </w:num>
  <w:num w:numId="30" w16cid:durableId="228079425">
    <w:abstractNumId w:val="0"/>
  </w:num>
  <w:num w:numId="31" w16cid:durableId="1325430290">
    <w:abstractNumId w:val="9"/>
  </w:num>
  <w:num w:numId="32" w16cid:durableId="715013454">
    <w:abstractNumId w:val="7"/>
  </w:num>
  <w:num w:numId="33" w16cid:durableId="1690448400">
    <w:abstractNumId w:val="6"/>
  </w:num>
  <w:num w:numId="34" w16cid:durableId="149367563">
    <w:abstractNumId w:val="5"/>
  </w:num>
  <w:num w:numId="35" w16cid:durableId="760565223">
    <w:abstractNumId w:val="4"/>
  </w:num>
  <w:num w:numId="36" w16cid:durableId="296878789">
    <w:abstractNumId w:val="8"/>
  </w:num>
  <w:num w:numId="37" w16cid:durableId="1537350159">
    <w:abstractNumId w:val="3"/>
  </w:num>
  <w:num w:numId="38" w16cid:durableId="554197962">
    <w:abstractNumId w:val="2"/>
  </w:num>
  <w:num w:numId="39" w16cid:durableId="2097940900">
    <w:abstractNumId w:val="1"/>
  </w:num>
  <w:num w:numId="40" w16cid:durableId="1730372883">
    <w:abstractNumId w:val="0"/>
  </w:num>
  <w:num w:numId="41" w16cid:durableId="190384727">
    <w:abstractNumId w:val="10"/>
  </w:num>
  <w:num w:numId="42" w16cid:durableId="1047485323">
    <w:abstractNumId w:val="10"/>
  </w:num>
  <w:num w:numId="43" w16cid:durableId="1129669917">
    <w:abstractNumId w:val="10"/>
  </w:num>
  <w:num w:numId="44" w16cid:durableId="5022115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2/2025"/>
    <w:docVar w:name="dvlangue" w:val="MT"/>
    <w:docVar w:name="dvnumam" w:val="0"/>
    <w:docVar w:name="dvpe" w:val="771.960"/>
    <w:docVar w:name="dvrapporteur" w:val="Rapporteur: "/>
    <w:docVar w:name="dvtitre" w:val="Riżoluzzjoni leġiżlattiva tal-Parlament Ewropew dwar is-salvagwardja u l-promozzjoni tal-istabbiltà finanzjarja fost l-inċertezzi ekonomiċi(2025/2051(INI))"/>
  </w:docVars>
  <w:rsids>
    <w:rsidRoot w:val="00B23AF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0DD3"/>
    <w:rsid w:val="00560270"/>
    <w:rsid w:val="005B4B7D"/>
    <w:rsid w:val="005C2568"/>
    <w:rsid w:val="005F1B17"/>
    <w:rsid w:val="006037C0"/>
    <w:rsid w:val="00642C6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5A20"/>
    <w:rsid w:val="008315BD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56A9"/>
    <w:rsid w:val="00AE0928"/>
    <w:rsid w:val="00AF3B82"/>
    <w:rsid w:val="00B12E95"/>
    <w:rsid w:val="00B1782D"/>
    <w:rsid w:val="00B22876"/>
    <w:rsid w:val="00B23AF0"/>
    <w:rsid w:val="00B558F0"/>
    <w:rsid w:val="00B72D1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2F51"/>
    <w:rsid w:val="00E263C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4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07DEED"/>
  <w15:chartTrackingRefBased/>
  <w15:docId w15:val="{79F1CA18-A83A-414A-BAEE-47167C155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FF4DFE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FF4DFE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FF4DFE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FF4DFE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Bold12a">
    <w:name w:val="NormalBold12a"/>
    <w:basedOn w:val="Normal"/>
    <w:rsid w:val="00FF4DFE"/>
    <w:pPr>
      <w:widowControl/>
      <w:spacing w:after="240"/>
    </w:pPr>
    <w:rPr>
      <w:b/>
      <w:szCs w:val="24"/>
      <w:lang w:eastAsia="en-US"/>
    </w:rPr>
  </w:style>
  <w:style w:type="paragraph" w:customStyle="1" w:styleId="NormalCenter12a">
    <w:name w:val="NormalCenter12a"/>
    <w:basedOn w:val="Normal"/>
    <w:rsid w:val="00FF4DFE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FF4DFE"/>
    <w:rPr>
      <w:color w:val="0000FF"/>
      <w:u w:val="single"/>
    </w:rPr>
  </w:style>
  <w:style w:type="paragraph" w:styleId="Revision">
    <w:name w:val="Revision"/>
    <w:hidden/>
    <w:uiPriority w:val="99"/>
    <w:semiHidden/>
    <w:rsid w:val="00E02F5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19/2034/oj" TargetMode="External"/><Relationship Id="rId7" Type="http://schemas.openxmlformats.org/officeDocument/2006/relationships/hyperlink" Target="http://data.europa.eu/eli/reg/2022/2554/oj" TargetMode="External"/><Relationship Id="rId2" Type="http://schemas.openxmlformats.org/officeDocument/2006/relationships/hyperlink" Target="http://data.europa.eu/eli/reg/2017/1131/oj" TargetMode="External"/><Relationship Id="rId1" Type="http://schemas.openxmlformats.org/officeDocument/2006/relationships/hyperlink" Target="http://data.europa.eu/eli/dir/2011/61/oj" TargetMode="External"/><Relationship Id="rId6" Type="http://schemas.openxmlformats.org/officeDocument/2006/relationships/hyperlink" Target="http://data.europa.eu/eli/reg/2017/1131/oj" TargetMode="External"/><Relationship Id="rId5" Type="http://schemas.openxmlformats.org/officeDocument/2006/relationships/hyperlink" Target="http://data.europa.eu/eli/dir/2016/2341/oj" TargetMode="External"/><Relationship Id="rId4" Type="http://schemas.openxmlformats.org/officeDocument/2006/relationships/hyperlink" Target="http://data.europa.eu/eli/reg/2019/203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2477</Words>
  <Characters>19594</Characters>
  <Application>Microsoft Office Word</Application>
  <DocSecurity>0</DocSecurity>
  <Lines>311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2026-02-27T08:10:00Z</dcterms:created>
  <dcterms:modified xsi:type="dcterms:W3CDTF">2026-02-27T08:10:00Z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A10-0232/2025</vt:lpwstr>
  </property>
  <property fmtid="{D5CDD505-2E9C-101B-9397-08002B2CF9AE}" pid="4" name="&lt;Type&gt;">
    <vt:lpwstr>RR</vt:lpwstr>
  </property>
</Properties>
</file>