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3D2E" w14:paraId="575E4E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943E14" w14:textId="77777777" w:rsidR="00751A4A" w:rsidRPr="00D83D2E" w:rsidRDefault="00095A00" w:rsidP="0010095E">
            <w:pPr>
              <w:pStyle w:val="EPName"/>
            </w:pPr>
            <w:r w:rsidRPr="00D83D2E">
              <w:t>Parlamento Europeu</w:t>
            </w:r>
          </w:p>
          <w:p w14:paraId="281E69D2" w14:textId="77777777" w:rsidR="00751A4A" w:rsidRPr="00D83D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3D2E">
              <w:t>2024</w:t>
            </w:r>
            <w:r w:rsidR="00817416" w:rsidRPr="00D83D2E">
              <w:t>-202</w:t>
            </w:r>
            <w:r w:rsidRPr="00D83D2E">
              <w:t>9</w:t>
            </w:r>
          </w:p>
        </w:tc>
        <w:tc>
          <w:tcPr>
            <w:tcW w:w="2268" w:type="dxa"/>
            <w:shd w:val="clear" w:color="auto" w:fill="auto"/>
          </w:tcPr>
          <w:p w14:paraId="31CE6DFD" w14:textId="77777777" w:rsidR="00751A4A" w:rsidRPr="00D83D2E" w:rsidRDefault="00187494" w:rsidP="0010095E">
            <w:pPr>
              <w:pStyle w:val="EPLogo"/>
            </w:pPr>
            <w:r w:rsidRPr="00D83D2E">
              <w:rPr>
                <w:noProof/>
                <w:lang w:eastAsia="ja-JP"/>
              </w:rPr>
              <w:drawing>
                <wp:inline distT="0" distB="0" distL="0" distR="0" wp14:anchorId="22A79DA9" wp14:editId="13581C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3FC1F" w14:textId="77777777" w:rsidR="00D058B8" w:rsidRPr="00D83D2E" w:rsidRDefault="00D058B8" w:rsidP="004C5D52">
      <w:pPr>
        <w:pStyle w:val="LineTop"/>
      </w:pPr>
    </w:p>
    <w:p w14:paraId="461C1E82" w14:textId="77777777" w:rsidR="00680577" w:rsidRPr="00D83D2E" w:rsidRDefault="00095A00" w:rsidP="00680577">
      <w:pPr>
        <w:pStyle w:val="EPBodyTA1"/>
      </w:pPr>
      <w:r w:rsidRPr="00D83D2E">
        <w:t>TEXTOS APROVADOS</w:t>
      </w:r>
    </w:p>
    <w:p w14:paraId="3FCB349F" w14:textId="77777777" w:rsidR="00D058B8" w:rsidRPr="00D83D2E" w:rsidRDefault="00D058B8" w:rsidP="00D058B8">
      <w:pPr>
        <w:pStyle w:val="LineBottom"/>
      </w:pPr>
    </w:p>
    <w:p w14:paraId="71AE97F8" w14:textId="7BD09D92" w:rsidR="00095A00" w:rsidRPr="00D83D2E" w:rsidRDefault="00095A00" w:rsidP="00095A00">
      <w:pPr>
        <w:pStyle w:val="ATHeading1"/>
      </w:pPr>
      <w:bookmarkStart w:id="0" w:name="TANumber"/>
      <w:r w:rsidRPr="00D83D2E">
        <w:t>P10_TA(2026)000</w:t>
      </w:r>
      <w:r w:rsidR="004C5EFB">
        <w:t>4</w:t>
      </w:r>
      <w:bookmarkEnd w:id="0"/>
    </w:p>
    <w:p w14:paraId="5208E7A0" w14:textId="77777777" w:rsidR="00095A00" w:rsidRPr="00D83D2E" w:rsidRDefault="00095A00" w:rsidP="00095A00">
      <w:pPr>
        <w:pStyle w:val="ATHeading2"/>
      </w:pPr>
      <w:bookmarkStart w:id="1" w:name="title"/>
      <w:r w:rsidRPr="00D83D2E">
        <w:t>Preservar e promover a estabilidade financeira num contexto de incerteza económica</w:t>
      </w:r>
      <w:bookmarkEnd w:id="1"/>
    </w:p>
    <w:p w14:paraId="3AAAB992" w14:textId="77777777" w:rsidR="00095A00" w:rsidRPr="00D83D2E" w:rsidRDefault="00095A00" w:rsidP="00095A00">
      <w:pPr>
        <w:rPr>
          <w:i/>
          <w:vanish/>
        </w:rPr>
      </w:pPr>
      <w:r w:rsidRPr="00D83D2E">
        <w:rPr>
          <w:i/>
        </w:rPr>
        <w:fldChar w:fldCharType="begin"/>
      </w:r>
      <w:r w:rsidRPr="00D83D2E">
        <w:rPr>
          <w:i/>
        </w:rPr>
        <w:instrText xml:space="preserve"> TC"(</w:instrText>
      </w:r>
      <w:bookmarkStart w:id="2" w:name="DocNumber"/>
      <w:r w:rsidRPr="00D83D2E">
        <w:rPr>
          <w:i/>
        </w:rPr>
        <w:instrText>A10-0232/2025</w:instrText>
      </w:r>
      <w:bookmarkEnd w:id="2"/>
      <w:r w:rsidRPr="00D83D2E">
        <w:rPr>
          <w:i/>
        </w:rPr>
        <w:instrText xml:space="preserve"> - Relator: Johan Van Overtveldt)"\l3 \n&gt; \* MERGEFORMAT </w:instrText>
      </w:r>
      <w:r w:rsidRPr="00D83D2E">
        <w:rPr>
          <w:i/>
        </w:rPr>
        <w:fldChar w:fldCharType="end"/>
      </w:r>
    </w:p>
    <w:p w14:paraId="429DE4B7" w14:textId="77777777" w:rsidR="00095A00" w:rsidRPr="00D83D2E" w:rsidRDefault="00095A00" w:rsidP="00095A00">
      <w:pPr>
        <w:rPr>
          <w:vanish/>
        </w:rPr>
      </w:pPr>
      <w:bookmarkStart w:id="3" w:name="Commission"/>
      <w:r w:rsidRPr="00D83D2E">
        <w:rPr>
          <w:vanish/>
        </w:rPr>
        <w:t>Comissão dos Assuntos Económicos e Monetários</w:t>
      </w:r>
      <w:bookmarkEnd w:id="3"/>
    </w:p>
    <w:p w14:paraId="3E5C0FAE" w14:textId="77777777" w:rsidR="00095A00" w:rsidRPr="00D83D2E" w:rsidRDefault="00095A00" w:rsidP="00095A00">
      <w:pPr>
        <w:rPr>
          <w:vanish/>
        </w:rPr>
      </w:pPr>
      <w:bookmarkStart w:id="4" w:name="PE"/>
      <w:r w:rsidRPr="00D83D2E">
        <w:rPr>
          <w:vanish/>
        </w:rPr>
        <w:t>PE771.960</w:t>
      </w:r>
      <w:bookmarkEnd w:id="4"/>
    </w:p>
    <w:p w14:paraId="5DB304C8" w14:textId="5A54DFAF" w:rsidR="00095A00" w:rsidRPr="00D83D2E" w:rsidRDefault="00095A00" w:rsidP="00095A00">
      <w:pPr>
        <w:pStyle w:val="ATHeading3"/>
      </w:pPr>
      <w:bookmarkStart w:id="5" w:name="Sujet"/>
      <w:r w:rsidRPr="00D83D2E">
        <w:t xml:space="preserve">Resolução do Parlamento Europeu, de </w:t>
      </w:r>
      <w:r w:rsidR="00D83D2E">
        <w:t>20</w:t>
      </w:r>
      <w:r w:rsidRPr="00D83D2E">
        <w:t xml:space="preserve"> de </w:t>
      </w:r>
      <w:r w:rsidR="00D83D2E">
        <w:t>janeiro</w:t>
      </w:r>
      <w:r w:rsidR="00D83D2E" w:rsidRPr="00D83D2E">
        <w:t xml:space="preserve"> </w:t>
      </w:r>
      <w:r w:rsidRPr="00D83D2E">
        <w:t xml:space="preserve">de 2026, </w:t>
      </w:r>
      <w:r w:rsidR="00D83D2E">
        <w:t>sobre p</w:t>
      </w:r>
      <w:r w:rsidRPr="00D83D2E">
        <w:t>reservar e promover a estabilidade financeira num contexto de incerteza económica</w:t>
      </w:r>
      <w:bookmarkEnd w:id="5"/>
      <w:r w:rsidRPr="00D83D2E">
        <w:t xml:space="preserve"> </w:t>
      </w:r>
      <w:bookmarkStart w:id="6" w:name="References"/>
      <w:r w:rsidRPr="00D83D2E">
        <w:t>(2025/2051(INI))</w:t>
      </w:r>
      <w:bookmarkEnd w:id="6"/>
    </w:p>
    <w:p w14:paraId="2F54A89E" w14:textId="77777777" w:rsidR="008A6747" w:rsidRPr="00D83D2E" w:rsidRDefault="008A6747" w:rsidP="00163DE7">
      <w:pPr>
        <w:pStyle w:val="Normal12"/>
        <w:spacing w:before="240"/>
      </w:pPr>
      <w:r w:rsidRPr="00D83D2E">
        <w:rPr>
          <w:i/>
        </w:rPr>
        <w:t>O Parlamento Europeu</w:t>
      </w:r>
      <w:r w:rsidRPr="00D83D2E">
        <w:t>,</w:t>
      </w:r>
    </w:p>
    <w:p w14:paraId="5DD58293" w14:textId="75472704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 xml:space="preserve">Tendo em conta o Relatório da Comissão, de 24 de janeiro de 2024, sobre o exame </w:t>
      </w:r>
      <w:proofErr w:type="spellStart"/>
      <w:r w:rsidRPr="00D83D2E">
        <w:t>macroprudencial</w:t>
      </w:r>
      <w:proofErr w:type="spellEnd"/>
      <w:r w:rsidRPr="00D83D2E">
        <w:t xml:space="preserve"> para as instituições de crédito, os riscos sistémicos relacionados com os intermediários financeiros não bancários e a sua interligação com as instituições de crédito, nos termos do artigo 513.º do Regulamento (UE) n.º 575/2013 do Parlamento Europeu e do Conselho, de 26 de junho de 2013, relativo aos requisitos prudenciais das instituições de crédito e que altera o Regulamento (UE) n.º 648/2012 (</w:t>
      </w:r>
      <w:r w:rsidR="00D83D2E" w:rsidRPr="00163DE7">
        <w:t>COM(2024)0021</w:t>
      </w:r>
      <w:r w:rsidRPr="00D83D2E">
        <w:t>),</w:t>
      </w:r>
    </w:p>
    <w:p w14:paraId="62FF1EB0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a Análise da Estabilidade Financeira do Banco Central Europeu (BCE), de novembro de 2024,</w:t>
      </w:r>
    </w:p>
    <w:p w14:paraId="7049253E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a Análise da Estabilidade Financeira do BCE, de maio de 2025,</w:t>
      </w:r>
    </w:p>
    <w:p w14:paraId="4126BD86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a Análise Trimestral do Banco de Pagamentos Internacionais, de março de 2025, sobre a evolução do mercado bancário e financeiro internacional,</w:t>
      </w:r>
    </w:p>
    <w:p w14:paraId="06419D38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a carta do presidente do Conselho de Estabilidade Financeira (CEF), de 21 de fevereiro de 2025, dirigida aos ministros das Finanças e aos governadores dos bancos centrais do G20,</w:t>
      </w:r>
    </w:p>
    <w:p w14:paraId="1E391129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 xml:space="preserve">Tendo em conta o Relatório de Situação do CEF, de 22 de outubro de 2024, intitulado «G20 </w:t>
      </w:r>
      <w:proofErr w:type="spellStart"/>
      <w:r w:rsidRPr="00D83D2E">
        <w:t>Crypto-asset</w:t>
      </w:r>
      <w:proofErr w:type="spellEnd"/>
      <w:r w:rsidRPr="00D83D2E">
        <w:t xml:space="preserve"> </w:t>
      </w:r>
      <w:proofErr w:type="spellStart"/>
      <w:r w:rsidRPr="00D83D2E">
        <w:t>Policy</w:t>
      </w:r>
      <w:proofErr w:type="spellEnd"/>
      <w:r w:rsidRPr="00D83D2E">
        <w:t xml:space="preserve"> </w:t>
      </w:r>
      <w:proofErr w:type="spellStart"/>
      <w:r w:rsidRPr="00D83D2E">
        <w:t>Implementation</w:t>
      </w:r>
      <w:proofErr w:type="spellEnd"/>
      <w:r w:rsidRPr="00D83D2E">
        <w:t xml:space="preserve"> </w:t>
      </w:r>
      <w:proofErr w:type="spellStart"/>
      <w:r w:rsidRPr="00D83D2E">
        <w:t>Roadmap</w:t>
      </w:r>
      <w:proofErr w:type="spellEnd"/>
      <w:r w:rsidRPr="00D83D2E">
        <w:t xml:space="preserve">» [Roteiro do G20 para a execução da política relativa aos </w:t>
      </w:r>
      <w:proofErr w:type="spellStart"/>
      <w:r w:rsidRPr="00D83D2E">
        <w:t>criptoativos</w:t>
      </w:r>
      <w:proofErr w:type="spellEnd"/>
      <w:r w:rsidRPr="00D83D2E">
        <w:t>],</w:t>
      </w:r>
    </w:p>
    <w:p w14:paraId="0E5424FE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Relatório do CEF, de outubro de 2021, intitulado «</w:t>
      </w:r>
      <w:proofErr w:type="spellStart"/>
      <w:r w:rsidRPr="00D83D2E">
        <w:t>Policy</w:t>
      </w:r>
      <w:proofErr w:type="spellEnd"/>
      <w:r w:rsidRPr="00D83D2E">
        <w:t xml:space="preserve"> </w:t>
      </w:r>
      <w:proofErr w:type="spellStart"/>
      <w:r w:rsidRPr="00D83D2E">
        <w:t>proposals</w:t>
      </w:r>
      <w:proofErr w:type="spellEnd"/>
      <w:r w:rsidRPr="00D83D2E">
        <w:t xml:space="preserve"> to </w:t>
      </w:r>
      <w:proofErr w:type="spellStart"/>
      <w:r w:rsidRPr="00D83D2E">
        <w:t>enhance</w:t>
      </w:r>
      <w:proofErr w:type="spellEnd"/>
      <w:r w:rsidRPr="00D83D2E">
        <w:t xml:space="preserve"> </w:t>
      </w:r>
      <w:proofErr w:type="spellStart"/>
      <w:r w:rsidRPr="00D83D2E">
        <w:t>money</w:t>
      </w:r>
      <w:proofErr w:type="spellEnd"/>
      <w:r w:rsidRPr="00D83D2E">
        <w:t xml:space="preserve"> </w:t>
      </w:r>
      <w:proofErr w:type="spellStart"/>
      <w:r w:rsidRPr="00D83D2E">
        <w:t>market</w:t>
      </w:r>
      <w:proofErr w:type="spellEnd"/>
      <w:r w:rsidRPr="00D83D2E">
        <w:t xml:space="preserve"> </w:t>
      </w:r>
      <w:proofErr w:type="spellStart"/>
      <w:r w:rsidRPr="00D83D2E">
        <w:t>fund</w:t>
      </w:r>
      <w:proofErr w:type="spellEnd"/>
      <w:r w:rsidRPr="00D83D2E">
        <w:t xml:space="preserve"> </w:t>
      </w:r>
      <w:proofErr w:type="spellStart"/>
      <w:r w:rsidRPr="00D83D2E">
        <w:t>resilience</w:t>
      </w:r>
      <w:proofErr w:type="spellEnd"/>
      <w:r w:rsidRPr="00D83D2E">
        <w:t xml:space="preserve">: Final </w:t>
      </w:r>
      <w:proofErr w:type="spellStart"/>
      <w:r w:rsidRPr="00D83D2E">
        <w:t>report</w:t>
      </w:r>
      <w:proofErr w:type="spellEnd"/>
      <w:r w:rsidRPr="00D83D2E">
        <w:t>» [Propostas políticas para melhorar a resiliência do fundo do mercado monetário: relatório final],</w:t>
      </w:r>
    </w:p>
    <w:p w14:paraId="4D1BE89C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 xml:space="preserve">Tendo em conta o Relatório do Comité Europeu do Risco Sistémico (CERS), de novembro de 2024, em resposta à consulta da Comissão que avalia a adequação das políticas </w:t>
      </w:r>
      <w:proofErr w:type="spellStart"/>
      <w:r w:rsidRPr="00D83D2E">
        <w:t>macroprudenciais</w:t>
      </w:r>
      <w:proofErr w:type="spellEnd"/>
      <w:r w:rsidRPr="00D83D2E">
        <w:t xml:space="preserve"> para a intermediação financeira não bancária, intitulado «A </w:t>
      </w:r>
      <w:proofErr w:type="spellStart"/>
      <w:r w:rsidRPr="00D83D2E">
        <w:lastRenderedPageBreak/>
        <w:t>system-wide</w:t>
      </w:r>
      <w:proofErr w:type="spellEnd"/>
      <w:r w:rsidRPr="00D83D2E">
        <w:t xml:space="preserve"> </w:t>
      </w:r>
      <w:proofErr w:type="spellStart"/>
      <w:r w:rsidRPr="00D83D2E">
        <w:t>approach</w:t>
      </w:r>
      <w:proofErr w:type="spellEnd"/>
      <w:r w:rsidRPr="00D83D2E">
        <w:t xml:space="preserve"> to </w:t>
      </w:r>
      <w:proofErr w:type="spellStart"/>
      <w:r w:rsidRPr="00D83D2E">
        <w:t>macroprudential</w:t>
      </w:r>
      <w:proofErr w:type="spellEnd"/>
      <w:r w:rsidRPr="00D83D2E">
        <w:t xml:space="preserve"> </w:t>
      </w:r>
      <w:proofErr w:type="spellStart"/>
      <w:r w:rsidRPr="00D83D2E">
        <w:t>policy</w:t>
      </w:r>
      <w:proofErr w:type="spellEnd"/>
      <w:r w:rsidRPr="00D83D2E">
        <w:t xml:space="preserve">» [Uma abordagem a nível do conjunto do sistema para a política </w:t>
      </w:r>
      <w:proofErr w:type="spellStart"/>
      <w:r w:rsidRPr="00D83D2E">
        <w:t>macroprudencial</w:t>
      </w:r>
      <w:proofErr w:type="spellEnd"/>
      <w:r w:rsidRPr="00D83D2E">
        <w:t>],</w:t>
      </w:r>
    </w:p>
    <w:p w14:paraId="42B77553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Relatório de conformidade do CERS, de fevereiro de 2025, sobre a recomendação do CERS, de 2 de dezembro de 2021, relativa à reforma do fundo do mercado monetário (ESRB/2021/9),</w:t>
      </w:r>
    </w:p>
    <w:p w14:paraId="131CC407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a atualização efetuada pelo Comité Conjunto das Autoridades Europeias de Supervisão, em 31 de março de 2025, sobre os riscos e as vulnerabilidades do sistema financeiro da UE – primavera de 2025,</w:t>
      </w:r>
    </w:p>
    <w:p w14:paraId="5198EFF9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parecer da Autoridade Europeia dos Valores Mobiliários e dos Mercados (ESMA), de 14 de fevereiro de 2022, sobre a revisão do Regulamento Fundos do Mercado Monetário,</w:t>
      </w:r>
    </w:p>
    <w:p w14:paraId="733AFC78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Relatório sobre a estabilidade financeira mundial do Fundo Monetário Internacional (FMI), de 22 de abril de 2025,</w:t>
      </w:r>
    </w:p>
    <w:p w14:paraId="38F47FB4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 xml:space="preserve">Tendo em conta o Relatório de Mario </w:t>
      </w:r>
      <w:proofErr w:type="spellStart"/>
      <w:r w:rsidRPr="00D83D2E">
        <w:t>Draghi</w:t>
      </w:r>
      <w:proofErr w:type="spellEnd"/>
      <w:r w:rsidRPr="00D83D2E">
        <w:t>, de 9 de setembro de 2024, intitulado «</w:t>
      </w:r>
      <w:proofErr w:type="spellStart"/>
      <w:r w:rsidRPr="00D83D2E">
        <w:t>The</w:t>
      </w:r>
      <w:proofErr w:type="spellEnd"/>
      <w:r w:rsidRPr="00D83D2E">
        <w:t xml:space="preserve"> future </w:t>
      </w:r>
      <w:proofErr w:type="spellStart"/>
      <w:r w:rsidRPr="00D83D2E">
        <w:t>of</w:t>
      </w:r>
      <w:proofErr w:type="spellEnd"/>
      <w:r w:rsidRPr="00D83D2E">
        <w:t xml:space="preserve"> </w:t>
      </w:r>
      <w:proofErr w:type="spellStart"/>
      <w:r w:rsidRPr="00D83D2E">
        <w:t>European</w:t>
      </w:r>
      <w:proofErr w:type="spellEnd"/>
      <w:r w:rsidRPr="00D83D2E">
        <w:t xml:space="preserve"> </w:t>
      </w:r>
      <w:proofErr w:type="spellStart"/>
      <w:r w:rsidRPr="00D83D2E">
        <w:t>competitiveness</w:t>
      </w:r>
      <w:proofErr w:type="spellEnd"/>
      <w:r w:rsidRPr="00D83D2E">
        <w:t>» [O futuro da competitividade europeia],</w:t>
      </w:r>
    </w:p>
    <w:p w14:paraId="16D3FCD4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 xml:space="preserve">Tendo em conta o Relatório de Enrico </w:t>
      </w:r>
      <w:proofErr w:type="spellStart"/>
      <w:r w:rsidRPr="00D83D2E">
        <w:t>Letta</w:t>
      </w:r>
      <w:proofErr w:type="spellEnd"/>
      <w:r w:rsidRPr="00D83D2E">
        <w:t>, de 17 de abril de 2024, intitulado «</w:t>
      </w:r>
      <w:proofErr w:type="spellStart"/>
      <w:r w:rsidRPr="00D83D2E">
        <w:t>Much</w:t>
      </w:r>
      <w:proofErr w:type="spellEnd"/>
      <w:r w:rsidRPr="00D83D2E">
        <w:t xml:space="preserve"> more </w:t>
      </w:r>
      <w:proofErr w:type="spellStart"/>
      <w:r w:rsidRPr="00D83D2E">
        <w:t>than</w:t>
      </w:r>
      <w:proofErr w:type="spellEnd"/>
      <w:r w:rsidRPr="00D83D2E">
        <w:t xml:space="preserve"> a </w:t>
      </w:r>
      <w:proofErr w:type="spellStart"/>
      <w:r w:rsidRPr="00D83D2E">
        <w:t>market</w:t>
      </w:r>
      <w:proofErr w:type="spellEnd"/>
      <w:r w:rsidRPr="00D83D2E">
        <w:t>» [Muito mais do que um mercado],</w:t>
      </w:r>
    </w:p>
    <w:p w14:paraId="5D96FBB9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a sua Resolução, de 6 de julho de 2011, sobre a crise financeira, económica e social: recomendações referentes às medidas e iniciativas a tomar</w:t>
      </w:r>
      <w:r w:rsidRPr="00D83D2E">
        <w:rPr>
          <w:rStyle w:val="FootnoteReference"/>
        </w:rPr>
        <w:footnoteReference w:customMarkFollows="1" w:id="1"/>
        <w:t>1</w:t>
      </w:r>
      <w:r w:rsidRPr="00D83D2E">
        <w:t>,</w:t>
      </w:r>
    </w:p>
    <w:p w14:paraId="0443D695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Relatório da Comissão dos Assuntos Económicos e Monetários, de 26 de março de 2025, sobre a União Bancária – relatório anual de 2024,</w:t>
      </w:r>
    </w:p>
    <w:p w14:paraId="398BB499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 xml:space="preserve">Tendo em conta a audição realizada pela Comissão dos Assuntos Económicos e Monetários, em 19 de março de 2025, sobre a avaliação da adequação do quadro </w:t>
      </w:r>
      <w:proofErr w:type="spellStart"/>
      <w:r w:rsidRPr="00D83D2E">
        <w:t>macroprudencial</w:t>
      </w:r>
      <w:proofErr w:type="spellEnd"/>
      <w:r w:rsidRPr="00D83D2E">
        <w:t xml:space="preserve"> para as instituições financeiras não bancárias na UE,</w:t>
      </w:r>
    </w:p>
    <w:p w14:paraId="3F9C1A56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artigo 55.º do seu Regimento,</w:t>
      </w:r>
    </w:p>
    <w:p w14:paraId="62AB3D64" w14:textId="77777777" w:rsidR="008A6747" w:rsidRPr="00D83D2E" w:rsidRDefault="008A6747" w:rsidP="008A6747">
      <w:pPr>
        <w:pStyle w:val="NormalHanging"/>
      </w:pPr>
      <w:r w:rsidRPr="00D83D2E">
        <w:t>–</w:t>
      </w:r>
      <w:r w:rsidRPr="00D83D2E">
        <w:tab/>
        <w:t>Tendo em conta o relatório da Comissão dos Assuntos Económicos e Monetários (A10-0232/2025),</w:t>
      </w:r>
    </w:p>
    <w:p w14:paraId="5E5F1199" w14:textId="77777777" w:rsidR="008A6747" w:rsidRPr="00D83D2E" w:rsidRDefault="008A6747" w:rsidP="008A6747">
      <w:pPr>
        <w:pStyle w:val="NormalHanging"/>
      </w:pPr>
      <w:r w:rsidRPr="00D83D2E">
        <w:t>A.</w:t>
      </w:r>
      <w:r w:rsidRPr="00D83D2E">
        <w:tab/>
        <w:t>Considerando que a estabilidade financeira continua a ser a pedra angular da resiliência económica e do crescimento, e requer vigilância atendendo às grandes contingências económicas, aos choques externos e aos riscos sistémicos;</w:t>
      </w:r>
    </w:p>
    <w:p w14:paraId="0033067C" w14:textId="77777777" w:rsidR="008A6747" w:rsidRPr="00D83D2E" w:rsidRDefault="008A6747" w:rsidP="008A6747">
      <w:pPr>
        <w:pStyle w:val="NormalHanging"/>
      </w:pPr>
      <w:r w:rsidRPr="00D83D2E">
        <w:t>B.</w:t>
      </w:r>
      <w:r w:rsidRPr="00D83D2E">
        <w:tab/>
        <w:t>Considerando que a crise financeira mundial evidenciou os riscos da instabilidade financeira –– que assumem proporções globais –– para as economias avançadas;</w:t>
      </w:r>
    </w:p>
    <w:p w14:paraId="408C65BD" w14:textId="77777777" w:rsidR="008A6747" w:rsidRPr="00D83D2E" w:rsidRDefault="008A6747" w:rsidP="008A6747">
      <w:pPr>
        <w:pStyle w:val="NormalHanging"/>
      </w:pPr>
      <w:r w:rsidRPr="00D83D2E">
        <w:t>C.</w:t>
      </w:r>
      <w:r w:rsidRPr="00D83D2E">
        <w:tab/>
        <w:t>Considerando que a agressão continuada da Rússia contra a Ucrânia e as suas consequências económicas deram lugar a pressões inflacionistas, à volatilidade dos mercados da energia e a uma incerteza financeira;</w:t>
      </w:r>
    </w:p>
    <w:p w14:paraId="6527E152" w14:textId="77777777" w:rsidR="008A6747" w:rsidRPr="00D83D2E" w:rsidRDefault="008A6747" w:rsidP="008A6747">
      <w:pPr>
        <w:pStyle w:val="NormalHanging"/>
      </w:pPr>
      <w:r w:rsidRPr="00D83D2E">
        <w:lastRenderedPageBreak/>
        <w:t>D.</w:t>
      </w:r>
      <w:r w:rsidRPr="00D83D2E">
        <w:tab/>
        <w:t>Considerando que a imposição de direitos aduaneiros contribui para a fragmentação do comércio mundial, agrava as perturbações da cadeia de abastecimento e acarreta riscos adicionais para os mercados financeiros e para a economia em geral;</w:t>
      </w:r>
    </w:p>
    <w:p w14:paraId="45FBF0F6" w14:textId="77777777" w:rsidR="008A6747" w:rsidRPr="00D83D2E" w:rsidRDefault="008A6747" w:rsidP="008A6747">
      <w:pPr>
        <w:pStyle w:val="NormalHanging"/>
      </w:pPr>
      <w:r w:rsidRPr="00D83D2E">
        <w:t>E.</w:t>
      </w:r>
      <w:r w:rsidRPr="00D83D2E">
        <w:tab/>
        <w:t>Considerando que uma União dos Mercados de Capitais (UMC) bem integrada é fundamental para absorver os choques, promover o investimento na UE e aprofundar a integração do mercado único;</w:t>
      </w:r>
    </w:p>
    <w:p w14:paraId="6D57F5F7" w14:textId="77777777" w:rsidR="008A6747" w:rsidRPr="00D83D2E" w:rsidRDefault="008A6747" w:rsidP="008A6747">
      <w:pPr>
        <w:pStyle w:val="NormalHanging"/>
      </w:pPr>
      <w:r w:rsidRPr="00D83D2E">
        <w:t>F.</w:t>
      </w:r>
      <w:r w:rsidRPr="00D83D2E">
        <w:tab/>
        <w:t>Considerando que a estabilidade dos intermediários financeiros não bancários será ainda mais importante se a União Europeia satisfizer uma maior parte das suas necessidades de financiamento nos mercados de capitais;</w:t>
      </w:r>
    </w:p>
    <w:p w14:paraId="6283F472" w14:textId="77777777" w:rsidR="008A6747" w:rsidRPr="00D83D2E" w:rsidRDefault="008A6747" w:rsidP="008A6747">
      <w:pPr>
        <w:pStyle w:val="NormalHanging"/>
      </w:pPr>
      <w:r w:rsidRPr="00D83D2E">
        <w:t>G.</w:t>
      </w:r>
      <w:r w:rsidRPr="00D83D2E">
        <w:tab/>
        <w:t>Considerando que os intermediários financeiros não bancários operam numa grande diversidade de setores;</w:t>
      </w:r>
    </w:p>
    <w:p w14:paraId="7B45B305" w14:textId="77777777" w:rsidR="008A6747" w:rsidRPr="00D83D2E" w:rsidRDefault="008A6747" w:rsidP="008A6747">
      <w:pPr>
        <w:pStyle w:val="NormalHanging"/>
      </w:pPr>
      <w:r w:rsidRPr="00D83D2E">
        <w:t>H.</w:t>
      </w:r>
      <w:r w:rsidRPr="00D83D2E">
        <w:tab/>
        <w:t>Considerando que a estagnação do crescimento económico, agravado pelas tensões comerciais, tem efeitos adversos nas entidades alavancadas e aumentará o risco de crédito para as instituições financeiras;</w:t>
      </w:r>
    </w:p>
    <w:p w14:paraId="3BF1BF74" w14:textId="77777777" w:rsidR="008A6747" w:rsidRPr="00D83D2E" w:rsidRDefault="008A6747" w:rsidP="008A6747">
      <w:pPr>
        <w:pStyle w:val="NormalHanging"/>
      </w:pPr>
      <w:r w:rsidRPr="00D83D2E">
        <w:t>I.</w:t>
      </w:r>
      <w:r w:rsidRPr="00D83D2E">
        <w:tab/>
        <w:t>Considerando que a sobrevalorização dos ativos nos mercados de capitais próprios e nos mercados de dívida das empresas suscita preocupações quanto à possibilidade de uma correção do mercado com consequências sistémicas;</w:t>
      </w:r>
    </w:p>
    <w:p w14:paraId="444A89B3" w14:textId="77777777" w:rsidR="008A6747" w:rsidRPr="00D83D2E" w:rsidRDefault="008A6747" w:rsidP="008A6747">
      <w:pPr>
        <w:pStyle w:val="NormalHanging"/>
      </w:pPr>
      <w:r w:rsidRPr="00D83D2E">
        <w:t>J.</w:t>
      </w:r>
      <w:r w:rsidRPr="00D83D2E">
        <w:tab/>
        <w:t>Considerando que o setor imobiliário residencial, que beneficiou do contexto de taxas de juro baixas, desempenha um papel decisivo na estabilidade financeira devido à sua posição central na economia, à parte significativa da riqueza das famílias concentrada em ativos imobiliários, à participação fundamental do setor financeiro no financiamento dos investimentos imobiliários e à função fulcral do imobiliário como garantia nos mercados de crédito;</w:t>
      </w:r>
    </w:p>
    <w:p w14:paraId="7A917995" w14:textId="77777777" w:rsidR="008A6747" w:rsidRPr="00D83D2E" w:rsidRDefault="008A6747" w:rsidP="008A6747">
      <w:pPr>
        <w:pStyle w:val="NormalHanging"/>
      </w:pPr>
      <w:r w:rsidRPr="00D83D2E">
        <w:t>K.</w:t>
      </w:r>
      <w:r w:rsidRPr="00D83D2E">
        <w:tab/>
        <w:t>Considerando que a complexidade e a interligação dos setores financeiros adquiriram importância, pois os intermediários financeiros não bancários são credores líquidos dos bancos e da economia em geral;</w:t>
      </w:r>
    </w:p>
    <w:p w14:paraId="39F23600" w14:textId="77777777" w:rsidR="008A6747" w:rsidRPr="00D83D2E" w:rsidRDefault="008A6747" w:rsidP="008A6747">
      <w:pPr>
        <w:pStyle w:val="NormalHanging"/>
      </w:pPr>
      <w:r w:rsidRPr="00D83D2E">
        <w:t>L.</w:t>
      </w:r>
      <w:r w:rsidRPr="00D83D2E">
        <w:tab/>
        <w:t>Considerando que a pegada dos intermediários financeiros não bancários nos mercados financeiros estratégicos, como os mercados de obrigações soberanas, aumentou, tal como o comprova a liquidação dos contratos de futuros em numerário pelos fundos de cobertura no mercado do Tesouro norte-americano durante a crise dos direitos aduaneiros de abril de 2025;</w:t>
      </w:r>
    </w:p>
    <w:p w14:paraId="1C0E74FF" w14:textId="77777777" w:rsidR="008A6747" w:rsidRPr="00D83D2E" w:rsidRDefault="008A6747" w:rsidP="008A6747">
      <w:pPr>
        <w:pStyle w:val="NormalHanging"/>
      </w:pPr>
      <w:r w:rsidRPr="00D83D2E">
        <w:t>M.</w:t>
      </w:r>
      <w:r w:rsidRPr="00D83D2E">
        <w:tab/>
        <w:t>Considerando que é possível reforçar a resiliência dos fundos do mercado monetário da União, em conformidade com as normas internacionais, mediante reformas direcionadas;</w:t>
      </w:r>
    </w:p>
    <w:p w14:paraId="71AB09B0" w14:textId="77777777" w:rsidR="008A6747" w:rsidRPr="00D83D2E" w:rsidRDefault="008A6747" w:rsidP="008A6747">
      <w:pPr>
        <w:pStyle w:val="NormalHanging"/>
      </w:pPr>
      <w:r w:rsidRPr="00D83D2E">
        <w:t>N.</w:t>
      </w:r>
      <w:r w:rsidRPr="00D83D2E">
        <w:tab/>
        <w:t xml:space="preserve">Considerando que o setor financeiro continua vulnerável às </w:t>
      </w:r>
      <w:proofErr w:type="spellStart"/>
      <w:r w:rsidRPr="00D83D2E">
        <w:t>ciberameaças</w:t>
      </w:r>
      <w:proofErr w:type="spellEnd"/>
      <w:r w:rsidRPr="00D83D2E">
        <w:t>, às táticas de guerra híbrida e à alavancagem financeira dissimulada, as quais poderiam desestabilizar as infraestruturas financeiras críticas;</w:t>
      </w:r>
    </w:p>
    <w:p w14:paraId="499FA7D6" w14:textId="77777777" w:rsidR="008A6747" w:rsidRPr="00D83D2E" w:rsidRDefault="008A6747" w:rsidP="008A6747">
      <w:pPr>
        <w:pStyle w:val="Normal12a"/>
      </w:pPr>
      <w:r w:rsidRPr="00D83D2E">
        <w:rPr>
          <w:b/>
          <w:i/>
        </w:rPr>
        <w:t>União Bancária e UMC: absorção de choques e resiliência</w:t>
      </w:r>
    </w:p>
    <w:p w14:paraId="0CF6A32C" w14:textId="77777777" w:rsidR="008A6747" w:rsidRPr="00D83D2E" w:rsidRDefault="008A6747" w:rsidP="008A6747">
      <w:pPr>
        <w:pStyle w:val="NormalHanging12a"/>
      </w:pPr>
      <w:r w:rsidRPr="00D83D2E">
        <w:t>1.</w:t>
      </w:r>
      <w:r w:rsidRPr="00D83D2E">
        <w:tab/>
        <w:t xml:space="preserve">Acolhe com satisfação o debate reavivado sobre a necessidade de impulsionar a produtividade e a competitividade da UE, nomeadamente através de mercados de </w:t>
      </w:r>
      <w:r w:rsidRPr="00D83D2E">
        <w:lastRenderedPageBreak/>
        <w:t xml:space="preserve">capitais mais bem integrados e de uma economia eficiente na utilização de recursos, tal como destacado nos relatórios </w:t>
      </w:r>
      <w:proofErr w:type="spellStart"/>
      <w:r w:rsidRPr="00D83D2E">
        <w:t>Draghi</w:t>
      </w:r>
      <w:proofErr w:type="spellEnd"/>
      <w:r w:rsidRPr="00D83D2E">
        <w:t xml:space="preserve"> e </w:t>
      </w:r>
      <w:proofErr w:type="spellStart"/>
      <w:r w:rsidRPr="00D83D2E">
        <w:t>Letta</w:t>
      </w:r>
      <w:proofErr w:type="spellEnd"/>
      <w:r w:rsidRPr="00D83D2E">
        <w:t>;</w:t>
      </w:r>
    </w:p>
    <w:p w14:paraId="6CDE8E12" w14:textId="77777777" w:rsidR="008A6747" w:rsidRPr="00D83D2E" w:rsidRDefault="008A6747" w:rsidP="008A6747">
      <w:pPr>
        <w:pStyle w:val="NormalHanging12a"/>
      </w:pPr>
      <w:r w:rsidRPr="00D83D2E">
        <w:t>2.</w:t>
      </w:r>
      <w:r w:rsidRPr="00D83D2E">
        <w:tab/>
        <w:t>Apela à Comissão para que privilegie uma agenda da União dos Mercados de Capitais que permita apoiar a competitividade da UE sem prejudicar a estabilidade financeira;</w:t>
      </w:r>
    </w:p>
    <w:p w14:paraId="30FD467F" w14:textId="77777777" w:rsidR="008A6747" w:rsidRPr="00D83D2E" w:rsidRDefault="008A6747" w:rsidP="008A6747">
      <w:pPr>
        <w:pStyle w:val="NormalHanging12a"/>
      </w:pPr>
      <w:r w:rsidRPr="00D83D2E">
        <w:t>3.</w:t>
      </w:r>
      <w:r w:rsidRPr="00D83D2E">
        <w:tab/>
        <w:t>Enfatiza o objetivo da UMC de mobilizar o capital privado de forma mais eficaz para colmatar o défice de investimento da UE, e sublinha o papel que pode desempenhar na absorção dos choques; realça que a agenda da UMC deverá também contribuir para corrigir os desequilíbrios estruturais no sistema financeiro da UE; lamenta a persistência de uma distorção dívida-capitais próprios induzida pelos impostos;</w:t>
      </w:r>
    </w:p>
    <w:p w14:paraId="7F8636A5" w14:textId="77777777" w:rsidR="008A6747" w:rsidRPr="00D83D2E" w:rsidRDefault="008A6747" w:rsidP="008A6747">
      <w:pPr>
        <w:pStyle w:val="NormalHanging12a"/>
      </w:pPr>
      <w:r w:rsidRPr="00D83D2E">
        <w:t>4.</w:t>
      </w:r>
      <w:r w:rsidRPr="00D83D2E">
        <w:tab/>
        <w:t>Reconhece que a conclusão da União Bancária deve ser uma prioridade estratégica no aprofundamento da União Económica e Monetária;</w:t>
      </w:r>
    </w:p>
    <w:p w14:paraId="5AEB6734" w14:textId="77777777" w:rsidR="008A6747" w:rsidRPr="00D83D2E" w:rsidRDefault="008A6747" w:rsidP="008A6747">
      <w:pPr>
        <w:pStyle w:val="NormalHanging12a"/>
      </w:pPr>
      <w:r w:rsidRPr="00D83D2E">
        <w:t>5.</w:t>
      </w:r>
      <w:r w:rsidRPr="00D83D2E">
        <w:tab/>
        <w:t>Toma nota dos obstáculos que podem emergir de mercados financeiros mais bem integrados na ausência de uma supervisão mais coerente, notadamente o compromisso entre, por um lado, a partilha e a diversificação eficientes dos riscos e, por outro, os riscos de contágio, repercussão e amplificação;</w:t>
      </w:r>
    </w:p>
    <w:p w14:paraId="13E31B1F" w14:textId="77777777" w:rsidR="008A6747" w:rsidRPr="00D83D2E" w:rsidRDefault="008A6747" w:rsidP="008A6747">
      <w:pPr>
        <w:pStyle w:val="NormalHanging12a"/>
      </w:pPr>
      <w:r w:rsidRPr="00D83D2E">
        <w:t>6.</w:t>
      </w:r>
      <w:r w:rsidRPr="00D83D2E">
        <w:tab/>
        <w:t>Reconhece, no que concerne à consolidação bancária transfronteiras, o compromisso entre, por um lado, a diversificação geográfica, os serviços financeiros transfronteiras, as economias de escala e o potencial enfraquecimento da relação entre os bancos e a dívida soberana, e, por outro lado, o problema de ser «demasiado grande para falir», o potencial enfraquecimento dos centros financeiros de menor dimensão e as ligações com as pequenas e médias empresas (PME) e as economias locais;</w:t>
      </w:r>
    </w:p>
    <w:p w14:paraId="0A9436F4" w14:textId="77777777" w:rsidR="008A6747" w:rsidRPr="00D83D2E" w:rsidRDefault="008A6747" w:rsidP="008A6747">
      <w:pPr>
        <w:pStyle w:val="NormalHanging12a"/>
      </w:pPr>
      <w:r w:rsidRPr="00D83D2E">
        <w:t>7.</w:t>
      </w:r>
      <w:r w:rsidRPr="00D83D2E">
        <w:tab/>
        <w:t>Sublinha que o risco sistémico também pode provir de instituições de menor dimensão, uma vez que os seus balanços podem apresentar uma correlação elevada;</w:t>
      </w:r>
    </w:p>
    <w:p w14:paraId="730CD513" w14:textId="77777777" w:rsidR="008A6747" w:rsidRPr="00D83D2E" w:rsidRDefault="008A6747" w:rsidP="008A6747">
      <w:pPr>
        <w:pStyle w:val="NormalHanging12a"/>
      </w:pPr>
      <w:r w:rsidRPr="00D83D2E">
        <w:t>8.</w:t>
      </w:r>
      <w:r w:rsidRPr="00D83D2E">
        <w:tab/>
        <w:t>Insiste na importância do acesso ao capital, sobretudo para as PME –– como o financiamento das empresas em crescimento com capital de risco ––, velando ao mesmo tempo pela estabilidade financeira e pela harmonia entre o crescimento e a resiliência;</w:t>
      </w:r>
    </w:p>
    <w:p w14:paraId="4E574113" w14:textId="77777777" w:rsidR="008A6747" w:rsidRPr="00D83D2E" w:rsidRDefault="008A6747" w:rsidP="008A6747">
      <w:pPr>
        <w:pStyle w:val="Normal12a"/>
      </w:pPr>
      <w:r w:rsidRPr="00D83D2E">
        <w:rPr>
          <w:b/>
          <w:i/>
        </w:rPr>
        <w:t>Riscos macrofinanceiros e fragilidade geopolítica</w:t>
      </w:r>
    </w:p>
    <w:p w14:paraId="04684375" w14:textId="77777777" w:rsidR="008A6747" w:rsidRPr="00D83D2E" w:rsidRDefault="008A6747" w:rsidP="008A6747">
      <w:pPr>
        <w:pStyle w:val="NormalHanging12a"/>
      </w:pPr>
      <w:r w:rsidRPr="00D83D2E">
        <w:t>9.</w:t>
      </w:r>
      <w:r w:rsidRPr="00D83D2E">
        <w:tab/>
        <w:t>Congratula-se com o objetivo primordial do BCE de manter a estabilidade dos preços e com o contributo fundamental do CERS, das autoridades de supervisão europeias e dos bancos centrais para a estabilidade financeira na União;</w:t>
      </w:r>
    </w:p>
    <w:p w14:paraId="2EF092E8" w14:textId="77777777" w:rsidR="008A6747" w:rsidRPr="00D83D2E" w:rsidRDefault="008A6747" w:rsidP="008A6747">
      <w:pPr>
        <w:pStyle w:val="NormalHanging12a"/>
      </w:pPr>
      <w:r w:rsidRPr="00D83D2E">
        <w:t>10.</w:t>
      </w:r>
      <w:r w:rsidRPr="00D83D2E">
        <w:tab/>
        <w:t xml:space="preserve">Recorda que o </w:t>
      </w:r>
      <w:proofErr w:type="spellStart"/>
      <w:r w:rsidRPr="00D83D2E">
        <w:t>Eurosistema</w:t>
      </w:r>
      <w:proofErr w:type="spellEnd"/>
      <w:r w:rsidRPr="00D83D2E">
        <w:t xml:space="preserve"> foi construído com base no princípio da dominância monetária; pede que se preserve a independência do BCE enquanto sustentáculo da estabilidade financeira;</w:t>
      </w:r>
    </w:p>
    <w:p w14:paraId="5E4098FC" w14:textId="77777777" w:rsidR="008A6747" w:rsidRPr="00D83D2E" w:rsidRDefault="008A6747" w:rsidP="008A6747">
      <w:pPr>
        <w:pStyle w:val="NormalHanging12a"/>
      </w:pPr>
      <w:r w:rsidRPr="00D83D2E">
        <w:t>11.</w:t>
      </w:r>
      <w:r w:rsidRPr="00D83D2E">
        <w:tab/>
        <w:t>Sublinha que determinadas intervenções dos bancos centrais no mercado comportam o risco de distorções do mercado que possam afetar a estabilidade financeira;</w:t>
      </w:r>
    </w:p>
    <w:p w14:paraId="6F39D90E" w14:textId="77777777" w:rsidR="008A6747" w:rsidRPr="00D83D2E" w:rsidRDefault="008A6747" w:rsidP="008A6747">
      <w:pPr>
        <w:pStyle w:val="NormalHanging12a"/>
      </w:pPr>
      <w:r w:rsidRPr="00D83D2E">
        <w:t>12.</w:t>
      </w:r>
      <w:r w:rsidRPr="00D83D2E">
        <w:tab/>
        <w:t>Observa que a União está exposta a choques externos, por estar fortemente interligada com os mercados e entidades financeiras estrangeiros, devido à dependência do setor financeiro da UE relativamente a prestadores de serviços de países terceiros e por estar sujeita à pressão gerada pelas tensões comerciais crescentes num contexto de incerteza geopolítica;</w:t>
      </w:r>
    </w:p>
    <w:p w14:paraId="1948E24D" w14:textId="77777777" w:rsidR="008A6747" w:rsidRPr="00D83D2E" w:rsidRDefault="008A6747" w:rsidP="008A6747">
      <w:pPr>
        <w:pStyle w:val="NormalHanging12a"/>
      </w:pPr>
      <w:r w:rsidRPr="00D83D2E">
        <w:lastRenderedPageBreak/>
        <w:t>13.</w:t>
      </w:r>
      <w:r w:rsidRPr="00D83D2E">
        <w:tab/>
        <w:t>Realça os riscos inerentes a uma dívida soberana elevada e a défices elevados; recorda que as preocupações do mercado quanto à sustentabilidade da dívida soberana, o quadro regulamentar bancário inadequado à época e o contágio através dos sistemas financeiros interligados desencadearam a crise financeira de 2008 e a subsequente crise na área do euro;</w:t>
      </w:r>
    </w:p>
    <w:p w14:paraId="1C1E7353" w14:textId="77777777" w:rsidR="008A6747" w:rsidRPr="00D83D2E" w:rsidRDefault="008A6747" w:rsidP="008A6747">
      <w:pPr>
        <w:pStyle w:val="NormalHanging12a"/>
      </w:pPr>
      <w:r w:rsidRPr="00D83D2E">
        <w:t>14.</w:t>
      </w:r>
      <w:r w:rsidRPr="00D83D2E">
        <w:tab/>
        <w:t>Alerta para os efeitos de repercussão no setor financeiro; regista, neste contexto, os apelos no sentido da atenuação das vulnerabilidades sistémicas; frisa, no entanto, que, independentemente dos acontecimentos futuros, as responsabilidades orçamentais nacionais não devem ser negligenciadas;</w:t>
      </w:r>
    </w:p>
    <w:p w14:paraId="573AF857" w14:textId="77777777" w:rsidR="008A6747" w:rsidRPr="00D83D2E" w:rsidRDefault="008A6747" w:rsidP="008A6747">
      <w:pPr>
        <w:pStyle w:val="NormalHanging12a"/>
      </w:pPr>
      <w:r w:rsidRPr="00D83D2E">
        <w:t>15.</w:t>
      </w:r>
      <w:r w:rsidRPr="00D83D2E">
        <w:tab/>
        <w:t>Solicita à Comissão que garanta o cumprimento do quadro de governação económica da UE e a convergência com as regras orçamentais do Pacto de Estabilidade e Crescimento, a fim de assegurar a solidez e a sustentabilidade das finanças públicas;</w:t>
      </w:r>
    </w:p>
    <w:p w14:paraId="0C55FC7F" w14:textId="77777777" w:rsidR="008A6747" w:rsidRPr="00D83D2E" w:rsidRDefault="008A6747" w:rsidP="008A6747">
      <w:pPr>
        <w:pStyle w:val="NormalHanging12a"/>
      </w:pPr>
      <w:r w:rsidRPr="00D83D2E">
        <w:t>16.</w:t>
      </w:r>
      <w:r w:rsidRPr="00D83D2E">
        <w:tab/>
        <w:t>Admite que as reformas estruturais destinadas a fortalecer a arquitetura financeira e institucional da área do euro e a redução da fragmentação do mercado poderiam elevar o estatuto do euro a nível internacional e favorecer a estabilidade financeira e monetária; regista os debates em curso sobre o euro digital;</w:t>
      </w:r>
    </w:p>
    <w:p w14:paraId="59C45446" w14:textId="77777777" w:rsidR="008A6747" w:rsidRPr="00D83D2E" w:rsidRDefault="008A6747" w:rsidP="008A6747">
      <w:pPr>
        <w:pStyle w:val="NormalHanging12a"/>
      </w:pPr>
      <w:r w:rsidRPr="00D83D2E">
        <w:t>17.</w:t>
      </w:r>
      <w:r w:rsidRPr="00D83D2E">
        <w:tab/>
        <w:t>Chama a atenção para a potencial instabilidade decorrente de um elevado índice de alavancagem das instituições financeiras, registando embora a relevância económica que podem ter, designadamente nas operações de cobertura, na melhoria da liquidez do mercado, na formação dos preços ou na partilha de risco;</w:t>
      </w:r>
    </w:p>
    <w:p w14:paraId="5BE1EDD9" w14:textId="77777777" w:rsidR="008A6747" w:rsidRPr="00D83D2E" w:rsidRDefault="008A6747" w:rsidP="008A6747">
      <w:pPr>
        <w:pStyle w:val="NormalHanging12a"/>
      </w:pPr>
      <w:r w:rsidRPr="00D83D2E">
        <w:t>18.</w:t>
      </w:r>
      <w:r w:rsidRPr="00D83D2E">
        <w:tab/>
        <w:t xml:space="preserve">Insiste na importância de as entidades de supervisão </w:t>
      </w:r>
      <w:proofErr w:type="spellStart"/>
      <w:r w:rsidRPr="00D83D2E">
        <w:t>macroprudencial</w:t>
      </w:r>
      <w:proofErr w:type="spellEnd"/>
      <w:r w:rsidRPr="00D83D2E">
        <w:t xml:space="preserve"> coordenarem a sua ação durante a análise e a supervisão dos riscos sistémicos, bem como do alinhamento com a supervisão </w:t>
      </w:r>
      <w:proofErr w:type="spellStart"/>
      <w:r w:rsidRPr="00D83D2E">
        <w:t>microprudencial</w:t>
      </w:r>
      <w:proofErr w:type="spellEnd"/>
      <w:r w:rsidRPr="00D83D2E">
        <w:t>, a fim de assegurar a compatibilidade;</w:t>
      </w:r>
    </w:p>
    <w:p w14:paraId="056E97AB" w14:textId="77777777" w:rsidR="008A6747" w:rsidRPr="00D83D2E" w:rsidRDefault="008A6747" w:rsidP="008A6747">
      <w:pPr>
        <w:pStyle w:val="NormalHanging12a"/>
      </w:pPr>
      <w:r w:rsidRPr="00D83D2E">
        <w:t>19.</w:t>
      </w:r>
      <w:r w:rsidRPr="00D83D2E">
        <w:tab/>
        <w:t>Regista que a manifestação mais frequente de riscos físicos dos perigos climáticos e naturais e de riscos de transição relacionados com o clima pode ter consequências negativas para a estabilidade financeira;</w:t>
      </w:r>
    </w:p>
    <w:p w14:paraId="7EBD3BEE" w14:textId="77777777" w:rsidR="008A6747" w:rsidRPr="00D83D2E" w:rsidRDefault="008A6747" w:rsidP="008A6747">
      <w:pPr>
        <w:pStyle w:val="Normal12a"/>
      </w:pPr>
      <w:r w:rsidRPr="00D83D2E">
        <w:rPr>
          <w:b/>
          <w:i/>
        </w:rPr>
        <w:t>Tensão no setor bancário e supervisão dos intermediários financeiros não bancários</w:t>
      </w:r>
    </w:p>
    <w:p w14:paraId="3CB11E3C" w14:textId="77777777" w:rsidR="008A6747" w:rsidRPr="00D83D2E" w:rsidRDefault="008A6747" w:rsidP="008A6747">
      <w:pPr>
        <w:pStyle w:val="NormalHanging12a"/>
      </w:pPr>
      <w:r w:rsidRPr="00D83D2E">
        <w:t>20.</w:t>
      </w:r>
      <w:r w:rsidRPr="00D83D2E">
        <w:tab/>
        <w:t>Assinala a necessidade de garantir a execução cabal do quadro Basileia III, a fim de aumentar a resiliência e reforçar a competitividade dos bancos da UE à escala mundial; toma nota da persistente falta de clareza no que concerne à aplicação das normas do quadro Basileia III em algumas das principais jurisdições de países terceiros e da necessidade de o sistema bancário da União se manter competitivo no contexto internacional; realça a importância de manter a integridade do quadro de Basileia, sublinhando que a própria estabilidade financeira pode ser vista como uma vantagem competitiva;</w:t>
      </w:r>
    </w:p>
    <w:p w14:paraId="71E1B88A" w14:textId="77777777" w:rsidR="008A6747" w:rsidRPr="00D83D2E" w:rsidRDefault="008A6747" w:rsidP="008A6747">
      <w:pPr>
        <w:pStyle w:val="NormalHanging12a"/>
      </w:pPr>
      <w:r w:rsidRPr="00D83D2E">
        <w:t>21.</w:t>
      </w:r>
      <w:r w:rsidRPr="00D83D2E">
        <w:tab/>
        <w:t xml:space="preserve">Frisa que importa manter um quadro </w:t>
      </w:r>
      <w:proofErr w:type="spellStart"/>
      <w:r w:rsidRPr="00D83D2E">
        <w:t>macroprudencial</w:t>
      </w:r>
      <w:proofErr w:type="spellEnd"/>
      <w:r w:rsidRPr="00D83D2E">
        <w:t xml:space="preserve"> sólido e, ao mesmo tempo, assegurar a simplificação, a clarificação jurídica e a redução dos encargos, em especial para as entidades de menor dimensão; salienta que há margem para simplificar e harmonizar a conceção e a aplicação das reservas </w:t>
      </w:r>
      <w:proofErr w:type="spellStart"/>
      <w:r w:rsidRPr="00D83D2E">
        <w:t>macroprudenciais</w:t>
      </w:r>
      <w:proofErr w:type="spellEnd"/>
      <w:r w:rsidRPr="00D83D2E">
        <w:t>; insta a Comissão e as autoridades de supervisão a aplicarem de forma sistemática os princípios da proporcionalidade, da relação custo-eficácia e da simplificação digital, sempre que possível e sem comprometer a estabilidade financeira;</w:t>
      </w:r>
    </w:p>
    <w:p w14:paraId="7B7170AD" w14:textId="77777777" w:rsidR="008A6747" w:rsidRPr="00D83D2E" w:rsidRDefault="008A6747" w:rsidP="008A6747">
      <w:pPr>
        <w:pStyle w:val="NormalHanging12a"/>
      </w:pPr>
      <w:r w:rsidRPr="00D83D2E">
        <w:lastRenderedPageBreak/>
        <w:t>22.</w:t>
      </w:r>
      <w:r w:rsidRPr="00D83D2E">
        <w:tab/>
        <w:t>Salienta que é conveniente ponderar uma simplificação das reformas introduzidas após a crise financeira de 2008, se existirem benefícios claros e fundamentados para a economia real e se não houver riscos para a estabilidade financeira; toma nota do debate sobre o pacote Titularização;</w:t>
      </w:r>
    </w:p>
    <w:p w14:paraId="49FCA870" w14:textId="77777777" w:rsidR="008A6747" w:rsidRPr="00D83D2E" w:rsidRDefault="008A6747" w:rsidP="008A6747">
      <w:pPr>
        <w:pStyle w:val="NormalHanging12a"/>
      </w:pPr>
      <w:r w:rsidRPr="00D83D2E">
        <w:t>23.</w:t>
      </w:r>
      <w:r w:rsidRPr="00D83D2E">
        <w:tab/>
        <w:t>Toma nota da análise do BCE sobre as vulnerabilidades persistentes nos mercados do imobiliário comercial, agravadas pela subida das taxas de juro e pelas exposições aos intermediários financeiros não bancários, que carecem de um acompanhamento atento; pede, neste contexto, ao CERS que acompanhe de perto o papel dos intermediários financeiros não bancários ativos nos mercados imobiliários e emita recomendações pertinentes; reconhece, igualmente, os elevados níveis de endividamento das famílias;</w:t>
      </w:r>
    </w:p>
    <w:p w14:paraId="7CD6B9CF" w14:textId="77777777" w:rsidR="008A6747" w:rsidRPr="00D83D2E" w:rsidRDefault="008A6747" w:rsidP="008A6747">
      <w:pPr>
        <w:pStyle w:val="NormalHanging12a"/>
      </w:pPr>
      <w:r w:rsidRPr="00D83D2E">
        <w:t>24.</w:t>
      </w:r>
      <w:r w:rsidRPr="00D83D2E">
        <w:tab/>
        <w:t>Solicita ao BCE que avalie a exposição das instituições financeiras aos riscos geopolíticos, nomeadamente os efeitos indiretos das sanções, dos direitos aduaneiros e da fragmentação da economia, no âmbito do processo de revisão e avaliação pelo supervisor, no contexto da autonomia estratégica;</w:t>
      </w:r>
    </w:p>
    <w:p w14:paraId="54A33455" w14:textId="77777777" w:rsidR="008A6747" w:rsidRPr="00D83D2E" w:rsidRDefault="008A6747" w:rsidP="008A6747">
      <w:pPr>
        <w:pStyle w:val="NormalHanging12a"/>
      </w:pPr>
      <w:r w:rsidRPr="00D83D2E">
        <w:t>25.</w:t>
      </w:r>
      <w:r w:rsidRPr="00D83D2E">
        <w:tab/>
        <w:t>Regista a importância sistémica crescente dos intermediários financeiros não bancários, que representam mais de 40 % dos ativos do setor financeiro da UE; considera que, se não forem suficientemente regulamentadas, tais entidades podem contribuir para o surgimento de riscos para a estabilidade financeira;</w:t>
      </w:r>
    </w:p>
    <w:p w14:paraId="141B7DB8" w14:textId="77777777" w:rsidR="008A6747" w:rsidRPr="00D83D2E" w:rsidRDefault="008A6747" w:rsidP="008A6747">
      <w:pPr>
        <w:pStyle w:val="NormalHanging12a"/>
      </w:pPr>
      <w:r w:rsidRPr="00D83D2E">
        <w:t>26.</w:t>
      </w:r>
      <w:r w:rsidRPr="00D83D2E">
        <w:tab/>
        <w:t>Toma nota da diversidade dos modelos económicos dos intermediários financeiros não bancários e do seu importante papel no tocante ao financiamento; destaca que, para muitos setores, já existe regulamentação setorial europeia, designadamente para os fundos de cobertura (Diretiva Gestores de Fundos de Investimento Alternativos</w:t>
      </w:r>
      <w:r w:rsidRPr="00D83D2E">
        <w:rPr>
          <w:rStyle w:val="FootnoteReference"/>
        </w:rPr>
        <w:footnoteReference w:customMarkFollows="1" w:id="2"/>
        <w:t>2</w:t>
      </w:r>
      <w:r w:rsidRPr="00D83D2E">
        <w:t>), os fundos do mercado monetário (Regulamento relativo aos fundos do mercado monetário</w:t>
      </w:r>
      <w:r w:rsidRPr="00D83D2E">
        <w:rPr>
          <w:rStyle w:val="FootnoteReference"/>
        </w:rPr>
        <w:footnoteReference w:customMarkFollows="1" w:id="3"/>
        <w:t>3</w:t>
      </w:r>
      <w:r w:rsidRPr="00D83D2E">
        <w:t>), as empresas de seguros (Solvência II), as empresas de investimento (Diretiva</w:t>
      </w:r>
      <w:r w:rsidRPr="00D83D2E">
        <w:rPr>
          <w:rStyle w:val="FootnoteReference"/>
        </w:rPr>
        <w:footnoteReference w:customMarkFollows="1" w:id="4"/>
        <w:t>4</w:t>
      </w:r>
      <w:r w:rsidRPr="00D83D2E">
        <w:t xml:space="preserve"> e Regulamento</w:t>
      </w:r>
      <w:r w:rsidRPr="00D83D2E">
        <w:rPr>
          <w:rStyle w:val="FootnoteReference"/>
        </w:rPr>
        <w:footnoteReference w:customMarkFollows="1" w:id="5"/>
        <w:t>5</w:t>
      </w:r>
      <w:r w:rsidRPr="00D83D2E">
        <w:t xml:space="preserve"> relativos às Empresas de Investimento) e os fundos de pensões (Diretiva sobre as instituições de realização de planos de pensões </w:t>
      </w:r>
      <w:r w:rsidRPr="00D83D2E">
        <w:lastRenderedPageBreak/>
        <w:t>profissionais</w:t>
      </w:r>
      <w:r w:rsidRPr="00D83D2E">
        <w:rPr>
          <w:rStyle w:val="FootnoteReference"/>
        </w:rPr>
        <w:footnoteReference w:customMarkFollows="1" w:id="6"/>
        <w:t>6</w:t>
      </w:r>
      <w:r w:rsidRPr="00D83D2E">
        <w:t>); releva, no entanto, que o atual quadro incide essencialmente na proteção dos investidores e na integridade do mercado e não na redução dos riscos sistémicos</w:t>
      </w:r>
      <w:r w:rsidRPr="00D83D2E">
        <w:rPr>
          <w:rStyle w:val="FootnoteReference"/>
        </w:rPr>
        <w:footnoteReference w:customMarkFollows="1" w:id="7"/>
        <w:t>7</w:t>
      </w:r>
      <w:r w:rsidRPr="00D83D2E">
        <w:t>; solicita uma análise aprofundada das lacunas regulamentares no respeitante aos intermediários financeiros não bancários, incluindo nos domínios menos regulamentados, como os gabinetes de gestão patrimonial e as empresas que financiam as cadeias de abastecimento;</w:t>
      </w:r>
    </w:p>
    <w:p w14:paraId="7DB2B157" w14:textId="77777777" w:rsidR="008A6747" w:rsidRPr="00D83D2E" w:rsidRDefault="008A6747" w:rsidP="008A6747">
      <w:pPr>
        <w:pStyle w:val="NormalHanging12a"/>
      </w:pPr>
      <w:r w:rsidRPr="00D83D2E">
        <w:t>27.</w:t>
      </w:r>
      <w:r w:rsidRPr="00D83D2E">
        <w:tab/>
        <w:t>Toma nota do Relatório de 2023 da Comissão sobre o funcionamento dos fundos do mercado monetário e das recentes alterações ao quadro dos fundos do mercado monetário; solicita à Comissão que apresente uma reforma do Regulamento relativo aos fundos do mercado monetário</w:t>
      </w:r>
      <w:r w:rsidRPr="00D83D2E">
        <w:rPr>
          <w:rStyle w:val="FootnoteReference"/>
        </w:rPr>
        <w:footnoteReference w:customMarkFollows="1" w:id="8"/>
        <w:t>8</w:t>
      </w:r>
      <w:r w:rsidRPr="00D83D2E">
        <w:t xml:space="preserve"> em conformidade com as normas internacionais, com os progressos regulamentares alcançados noutras jurisdições e com as recomendações do CERS e da ESMA;</w:t>
      </w:r>
    </w:p>
    <w:p w14:paraId="4B4A4AF8" w14:textId="77777777" w:rsidR="008A6747" w:rsidRPr="00D83D2E" w:rsidRDefault="008A6747" w:rsidP="008A6747">
      <w:pPr>
        <w:pStyle w:val="Normal12a"/>
      </w:pPr>
      <w:r w:rsidRPr="00D83D2E">
        <w:rPr>
          <w:b/>
          <w:i/>
        </w:rPr>
        <w:t>Liquidez, práticas de constituição de margens</w:t>
      </w:r>
      <w:r w:rsidRPr="00D83D2E">
        <w:t xml:space="preserve"> </w:t>
      </w:r>
      <w:r w:rsidRPr="00D83D2E">
        <w:rPr>
          <w:b/>
          <w:i/>
        </w:rPr>
        <w:t>e riscos digitais</w:t>
      </w:r>
    </w:p>
    <w:p w14:paraId="7C2AE960" w14:textId="77777777" w:rsidR="008A6747" w:rsidRPr="00D83D2E" w:rsidRDefault="008A6747" w:rsidP="008A6747">
      <w:pPr>
        <w:pStyle w:val="NormalHanging12a"/>
      </w:pPr>
      <w:r w:rsidRPr="00D83D2E">
        <w:t>28.</w:t>
      </w:r>
      <w:r w:rsidRPr="00D83D2E">
        <w:tab/>
        <w:t>Salienta que os pedidos de reforço de margem pró-cíclicos durante crises como a pandemia de COVID-19 e a turbulência no setor energético em 2022 provocaram uma tensão de liquidez notável; sublinha a importância da preparação em matéria de liquidez e, de maneira geral, da alavancagem financeira e das reservas de fundos próprios;</w:t>
      </w:r>
    </w:p>
    <w:p w14:paraId="15480D8D" w14:textId="77777777" w:rsidR="008A6747" w:rsidRPr="00D83D2E" w:rsidRDefault="008A6747" w:rsidP="008A6747">
      <w:pPr>
        <w:pStyle w:val="NormalHanging12a"/>
      </w:pPr>
      <w:r w:rsidRPr="00D83D2E">
        <w:t>29.</w:t>
      </w:r>
      <w:r w:rsidRPr="00D83D2E">
        <w:tab/>
        <w:t>Apela para a criação de instrumentos que permitam apreender melhor a dimensão e a velocidade da saída de liquidez decorrente dos pedido de reforço de margem durante acontecimentos sistémicos, sobretudo no caso dos serviços de aprovisionamento de energia e dos intermediários financeiros não bancários;</w:t>
      </w:r>
    </w:p>
    <w:p w14:paraId="083C8F80" w14:textId="77777777" w:rsidR="008A6747" w:rsidRPr="00D83D2E" w:rsidRDefault="008A6747" w:rsidP="008A6747">
      <w:pPr>
        <w:pStyle w:val="NormalHanging12a"/>
      </w:pPr>
      <w:r w:rsidRPr="00D83D2E">
        <w:t>30.</w:t>
      </w:r>
      <w:r w:rsidRPr="00D83D2E">
        <w:tab/>
        <w:t>Insiste na necessidade de infraestruturas de compensação resilientes, de quadros de garantias sólidos e de uma supervisão coordenada das contrapartes centrais; toma nota da decisão da Comissão de alargar o regime de equivalência às contrapartes centrais estabelecidas no Reino Unido e regista as preocupações que subsistem quanto à dependência europeia em relação às contrapartes centrais de países terceiros;</w:t>
      </w:r>
    </w:p>
    <w:p w14:paraId="1659DA99" w14:textId="1205987C" w:rsidR="008A6747" w:rsidRPr="00D83D2E" w:rsidRDefault="008A6747" w:rsidP="008A6747">
      <w:pPr>
        <w:pStyle w:val="NormalHanging12a"/>
      </w:pPr>
      <w:r w:rsidRPr="00D83D2E">
        <w:t>31.</w:t>
      </w:r>
      <w:r w:rsidRPr="00D83D2E">
        <w:tab/>
        <w:t xml:space="preserve">Defende uma maior transparência e uma supervisão </w:t>
      </w:r>
      <w:proofErr w:type="spellStart"/>
      <w:r w:rsidRPr="00D83D2E">
        <w:t>macroprudencial</w:t>
      </w:r>
      <w:proofErr w:type="spellEnd"/>
      <w:r w:rsidRPr="00D83D2E">
        <w:t xml:space="preserve"> das práticas de constituição de margens, incluindo a realização de testes de esforço e análises de cenários, com base nos recentes trabalhos do CEF sobre a preparação para a liquidez para pedidos de margens e garantias;</w:t>
      </w:r>
    </w:p>
    <w:p w14:paraId="1023E2CC" w14:textId="77777777" w:rsidR="008A6747" w:rsidRPr="00D83D2E" w:rsidRDefault="008A6747" w:rsidP="008A6747">
      <w:pPr>
        <w:pStyle w:val="NormalHanging12a"/>
      </w:pPr>
      <w:r w:rsidRPr="00D83D2E">
        <w:t>32.</w:t>
      </w:r>
      <w:r w:rsidRPr="00D83D2E">
        <w:tab/>
        <w:t xml:space="preserve">Manifesta-se preocupado com a crescente interligação entre os </w:t>
      </w:r>
      <w:proofErr w:type="spellStart"/>
      <w:r w:rsidRPr="00D83D2E">
        <w:t>criptoativos</w:t>
      </w:r>
      <w:proofErr w:type="spellEnd"/>
      <w:r w:rsidRPr="00D83D2E">
        <w:t xml:space="preserve"> e os mercados financeiros descentralizados e o sistema financeiro tradicional; apoia os esforços do CEF, dos organismos de normalização e do CERS no sentido de estabelecer um quadro regulamentar e harmonizar a classificação;</w:t>
      </w:r>
    </w:p>
    <w:p w14:paraId="4BC05CF6" w14:textId="77777777" w:rsidR="008A6747" w:rsidRPr="00D83D2E" w:rsidRDefault="008A6747" w:rsidP="008A6747">
      <w:pPr>
        <w:pStyle w:val="NormalHanging12a"/>
      </w:pPr>
      <w:r w:rsidRPr="00D83D2E">
        <w:lastRenderedPageBreak/>
        <w:t>33.</w:t>
      </w:r>
      <w:r w:rsidRPr="00D83D2E">
        <w:tab/>
        <w:t xml:space="preserve">Toma nota da análise do CEF segundo a qual, de momento, os riscos para a estabilidade financeira decorrentes dos mercados de </w:t>
      </w:r>
      <w:proofErr w:type="spellStart"/>
      <w:r w:rsidRPr="00D83D2E">
        <w:t>criptoativos</w:t>
      </w:r>
      <w:proofErr w:type="spellEnd"/>
      <w:r w:rsidRPr="00D83D2E">
        <w:t xml:space="preserve"> parecem ser limitados</w:t>
      </w:r>
      <w:r w:rsidRPr="00D83D2E">
        <w:rPr>
          <w:rStyle w:val="FootnoteReference"/>
        </w:rPr>
        <w:footnoteReference w:customMarkFollows="1" w:id="9"/>
        <w:t>9</w:t>
      </w:r>
      <w:r w:rsidRPr="00D83D2E">
        <w:t xml:space="preserve">; destaca, porém, a potencial pertinência sistémica da evolução dos mercados de </w:t>
      </w:r>
      <w:proofErr w:type="spellStart"/>
      <w:r w:rsidRPr="00D83D2E">
        <w:t>criptoativos</w:t>
      </w:r>
      <w:proofErr w:type="spellEnd"/>
      <w:r w:rsidRPr="00D83D2E">
        <w:t xml:space="preserve">; regista o caráter altamente especulativo dos </w:t>
      </w:r>
      <w:proofErr w:type="spellStart"/>
      <w:r w:rsidRPr="00D83D2E">
        <w:t>criptoativos</w:t>
      </w:r>
      <w:proofErr w:type="spellEnd"/>
      <w:r w:rsidRPr="00D83D2E">
        <w:t xml:space="preserve"> e o importante papel que desempenham nas transações ilícitas; exorta a Comissão e o CERS a acompanharem atentamente a evolução neste domínio;</w:t>
      </w:r>
    </w:p>
    <w:p w14:paraId="2DBB33B1" w14:textId="77777777" w:rsidR="008A6747" w:rsidRPr="00D83D2E" w:rsidRDefault="008A6747" w:rsidP="008A6747">
      <w:pPr>
        <w:pStyle w:val="NormalHanging12a"/>
      </w:pPr>
      <w:r w:rsidRPr="00D83D2E">
        <w:t>34.</w:t>
      </w:r>
      <w:r w:rsidRPr="00D83D2E">
        <w:tab/>
        <w:t xml:space="preserve">Congratula-se com o facto de a União Europeia ter criado um quadro prudencial para os </w:t>
      </w:r>
      <w:proofErr w:type="spellStart"/>
      <w:r w:rsidRPr="00D83D2E">
        <w:t>criptoativos</w:t>
      </w:r>
      <w:proofErr w:type="spellEnd"/>
      <w:r w:rsidRPr="00D83D2E">
        <w:t xml:space="preserve"> (</w:t>
      </w:r>
      <w:proofErr w:type="spellStart"/>
      <w:r w:rsidRPr="00D83D2E">
        <w:t>MiCA</w:t>
      </w:r>
      <w:proofErr w:type="spellEnd"/>
      <w:r w:rsidRPr="00D83D2E">
        <w:t>); insiste na importância de uma aplicação atempada e coerente e pede à Comissão que acompanhe de perto as lacunas que subsistem em matéria de regulamentação;</w:t>
      </w:r>
    </w:p>
    <w:p w14:paraId="01BADD7A" w14:textId="77777777" w:rsidR="008A6747" w:rsidRPr="00D83D2E" w:rsidRDefault="008A6747" w:rsidP="008A6747">
      <w:pPr>
        <w:pStyle w:val="NormalHanging12a"/>
      </w:pPr>
      <w:r w:rsidRPr="00D83D2E">
        <w:t>35.</w:t>
      </w:r>
      <w:r w:rsidRPr="00D83D2E">
        <w:tab/>
        <w:t xml:space="preserve">Chama a atenção para o rápido crescimento do mercado de </w:t>
      </w:r>
      <w:proofErr w:type="spellStart"/>
      <w:r w:rsidRPr="00D83D2E">
        <w:t>criptomoedas</w:t>
      </w:r>
      <w:proofErr w:type="spellEnd"/>
      <w:r w:rsidRPr="00D83D2E">
        <w:t xml:space="preserve"> estáveis, que, até à data, continua bastante limitado ao ecossistema criptográfico; observa que o panorama regulamentar no que diz respeito às </w:t>
      </w:r>
      <w:proofErr w:type="spellStart"/>
      <w:r w:rsidRPr="00D83D2E">
        <w:t>criptomoedas</w:t>
      </w:r>
      <w:proofErr w:type="spellEnd"/>
      <w:r w:rsidRPr="00D83D2E">
        <w:t xml:space="preserve"> estáveis nas principais jurisdições de países terceiros está a mudar rapidamente; pede à Comissão que avalie se existem potenciais canais de contágio como, por exemplo, no caso da emissão múltipla;</w:t>
      </w:r>
    </w:p>
    <w:p w14:paraId="78CF526E" w14:textId="77777777" w:rsidR="008A6747" w:rsidRPr="00D83D2E" w:rsidRDefault="008A6747" w:rsidP="008A6747">
      <w:pPr>
        <w:pStyle w:val="NormalHanging12a"/>
      </w:pPr>
      <w:r w:rsidRPr="00D83D2E">
        <w:t>36.</w:t>
      </w:r>
      <w:r w:rsidRPr="00D83D2E">
        <w:tab/>
        <w:t>Salienta que a União adotou medidas para reforçar a resiliência digital das entidades financeiras, nomeadamente através do Regulamento Resiliência Operacional Digital</w:t>
      </w:r>
      <w:r w:rsidRPr="00D83D2E">
        <w:rPr>
          <w:rStyle w:val="FootnoteReference"/>
        </w:rPr>
        <w:footnoteReference w:customMarkFollows="1" w:id="10"/>
        <w:t>10</w:t>
      </w:r>
      <w:r w:rsidRPr="00D83D2E">
        <w:t xml:space="preserve">; incentiva a inovação no domínio das finanças digitais e um investimento massivo na </w:t>
      </w:r>
      <w:proofErr w:type="spellStart"/>
      <w:r w:rsidRPr="00D83D2E">
        <w:t>ciber</w:t>
      </w:r>
      <w:proofErr w:type="spellEnd"/>
      <w:r w:rsidRPr="00D83D2E">
        <w:t>-resiliência para proteger as infraestruturas financeiras contra ameaças externas; insta a Comissão e o BCE a identificarem as dependências do sistema financeiro europeu em relação aos prestadores de serviços digitais de países terceiros, os pontos únicos de falha e o risco de ataques híbridos, e a debruçarem-se sobre estes problemas;</w:t>
      </w:r>
    </w:p>
    <w:p w14:paraId="449A403F" w14:textId="77777777" w:rsidR="008A6747" w:rsidRPr="00D83D2E" w:rsidRDefault="008A6747" w:rsidP="008A6747">
      <w:pPr>
        <w:pStyle w:val="NormalHanging12a"/>
      </w:pPr>
      <w:r w:rsidRPr="00D83D2E">
        <w:t>37.</w:t>
      </w:r>
      <w:r w:rsidRPr="00D83D2E">
        <w:tab/>
        <w:t>Sublinha que a melhoria das competências financeiras pode contribuir para a resiliência individual, para uma maior estabilidade dos mercados financeiros e para uma maior participação na UMC;</w:t>
      </w:r>
    </w:p>
    <w:p w14:paraId="6C9F8C39" w14:textId="77777777" w:rsidR="008A6747" w:rsidRPr="00D83D2E" w:rsidRDefault="008A6747" w:rsidP="008A6747">
      <w:pPr>
        <w:pStyle w:val="NormalHanging12a"/>
      </w:pPr>
      <w:r w:rsidRPr="00D83D2E">
        <w:t>38.</w:t>
      </w:r>
      <w:r w:rsidRPr="00D83D2E">
        <w:tab/>
        <w:t>Observa que a manutenção de uma logística e infraestrutura razoáveis e fiáveis que garantam a disponibilidade de numerário permanece um elemento indispensável para a estabilidade financeira e a confiança do público;</w:t>
      </w:r>
    </w:p>
    <w:p w14:paraId="3FD350A8" w14:textId="77777777" w:rsidR="008A6747" w:rsidRPr="00D83D2E" w:rsidRDefault="008A6747" w:rsidP="008A6747">
      <w:pPr>
        <w:pStyle w:val="Normal12a"/>
      </w:pPr>
      <w:r w:rsidRPr="00D83D2E">
        <w:rPr>
          <w:b/>
          <w:i/>
        </w:rPr>
        <w:t>Melhorar a coerência da supervisão, as capacidades de dados e a preparação para situações de crise</w:t>
      </w:r>
    </w:p>
    <w:p w14:paraId="28CA10E1" w14:textId="77777777" w:rsidR="008A6747" w:rsidRPr="00D83D2E" w:rsidRDefault="008A6747" w:rsidP="008A6747">
      <w:pPr>
        <w:pStyle w:val="NormalHanging12a"/>
      </w:pPr>
      <w:r w:rsidRPr="00D83D2E">
        <w:t>39.</w:t>
      </w:r>
      <w:r w:rsidRPr="00D83D2E">
        <w:tab/>
        <w:t>É a favor de um modelo de supervisão holístico, mais coerente, sistémico e baseado nas atividades para identificar e fazer face aos riscos e às vulnerabilidades associados aos diferentes tipos de atividades no setor financeiro, como sejam os empréstimos, as transações e a gestão de ativos;</w:t>
      </w:r>
    </w:p>
    <w:p w14:paraId="6AF64507" w14:textId="77777777" w:rsidR="008A6747" w:rsidRPr="00D83D2E" w:rsidRDefault="008A6747" w:rsidP="008A6747">
      <w:pPr>
        <w:pStyle w:val="NormalHanging12a"/>
      </w:pPr>
      <w:r w:rsidRPr="00D83D2E">
        <w:t>40.</w:t>
      </w:r>
      <w:r w:rsidRPr="00D83D2E">
        <w:tab/>
        <w:t xml:space="preserve">Sublinha a importância de um quadro de gestão de crises sólido e credível; destaca o papel do Mecanismo Único de Resolução para garantir uma resolução eficaz das </w:t>
      </w:r>
      <w:r w:rsidRPr="00D83D2E">
        <w:lastRenderedPageBreak/>
        <w:t>instituições em situação de insolvência, e apoia a função do BCE de prestamista de última instância para salvaguardar a liquidez e a confiança durante as crises; observa que continua a faltar um mecanismo de apoio para o Fundo Único de Resolução;</w:t>
      </w:r>
    </w:p>
    <w:p w14:paraId="04C30DB7" w14:textId="77777777" w:rsidR="008A6747" w:rsidRPr="00D83D2E" w:rsidRDefault="008A6747" w:rsidP="008A6747">
      <w:pPr>
        <w:pStyle w:val="NormalHanging12a"/>
      </w:pPr>
      <w:r w:rsidRPr="00D83D2E">
        <w:t>41.</w:t>
      </w:r>
      <w:r w:rsidRPr="00D83D2E">
        <w:tab/>
        <w:t>Apoia as ações do BCE, do CERS, das autoridades de supervisão nacionais e europeias e da Autoridade para o Combate ao Branqueamento de Capitais e ao Financiamento do Terrorismo que visam garantir a estabilidade financeira da UE e fazer face aos riscos financeiros globais emergentes, incluindo a supervisão coerente por parte da ESMA dos intermediários financeiros não bancários transfronteiras de importância sistémica;</w:t>
      </w:r>
    </w:p>
    <w:p w14:paraId="49F1D5CF" w14:textId="77777777" w:rsidR="008A6747" w:rsidRPr="00D83D2E" w:rsidRDefault="008A6747" w:rsidP="008A6747">
      <w:pPr>
        <w:pStyle w:val="NormalHanging12a"/>
      </w:pPr>
      <w:r w:rsidRPr="00D83D2E">
        <w:t>42.</w:t>
      </w:r>
      <w:r w:rsidRPr="00D83D2E">
        <w:tab/>
        <w:t>Adverte contra a arbitragem regulamentar e insiste na necessidade de fazer face às vulnerabilidades ocultas associadas à alavancagem reveladas em crises anteriores;</w:t>
      </w:r>
    </w:p>
    <w:p w14:paraId="5DA4461B" w14:textId="77777777" w:rsidR="008A6747" w:rsidRPr="00D83D2E" w:rsidRDefault="008A6747" w:rsidP="008A6747">
      <w:pPr>
        <w:pStyle w:val="NormalHanging12a"/>
      </w:pPr>
      <w:r w:rsidRPr="00D83D2E">
        <w:t>43.</w:t>
      </w:r>
      <w:r w:rsidRPr="00D83D2E">
        <w:tab/>
        <w:t>Insta a Comissão a manter um elevado nível de ambição na execução das recomendações do CEF sobre o efeito de alavanca na UE;</w:t>
      </w:r>
    </w:p>
    <w:p w14:paraId="022266D5" w14:textId="77777777" w:rsidR="008A6747" w:rsidRPr="00D83D2E" w:rsidRDefault="008A6747" w:rsidP="008A6747">
      <w:pPr>
        <w:pStyle w:val="NormalHanging12a"/>
      </w:pPr>
      <w:r w:rsidRPr="00D83D2E">
        <w:t>44.</w:t>
      </w:r>
      <w:r w:rsidRPr="00D83D2E">
        <w:tab/>
        <w:t>Realça que as autoridades, tanto a nível nacional como da UE, devem dispor de dados qualitativos facilmente acessíveis e de recursos adequados para proceder à sua análise;</w:t>
      </w:r>
    </w:p>
    <w:p w14:paraId="7CCFB7DE" w14:textId="77777777" w:rsidR="008A6747" w:rsidRPr="00D83D2E" w:rsidRDefault="008A6747" w:rsidP="008A6747">
      <w:pPr>
        <w:pStyle w:val="NormalHanging12a"/>
      </w:pPr>
      <w:r w:rsidRPr="00D83D2E">
        <w:t>45.</w:t>
      </w:r>
      <w:r w:rsidRPr="00D83D2E">
        <w:tab/>
        <w:t xml:space="preserve">Solicita uma maior transparência, o reforço das capacidades de análise de dados e a harmonização dos mecanismos de partilha de dados entre as autoridades nacionais e as autoridades da UE –– no respeito das garantias em matéria de proteção de dados ––, com vista a criar um quadro mais alargado de acompanhamento dos riscos e capacidades para a realização de testes de esforço à escala do sistema, nomeadamente no que concerne à </w:t>
      </w:r>
      <w:proofErr w:type="spellStart"/>
      <w:r w:rsidRPr="00D83D2E">
        <w:t>ciber</w:t>
      </w:r>
      <w:proofErr w:type="spellEnd"/>
      <w:r w:rsidRPr="00D83D2E">
        <w:t>-resiliência, às falhas de energia e ao quadro de ativos de garantia; observa que algumas autoridades nacionais já comunicaram a sua intenção de realizar testes de esforço às interligações entre o setor bancário e o setor dos intermediários financeiros não bancários;</w:t>
      </w:r>
    </w:p>
    <w:p w14:paraId="47CDAC39" w14:textId="77777777" w:rsidR="008A6747" w:rsidRPr="00D83D2E" w:rsidRDefault="008A6747" w:rsidP="008A6747">
      <w:pPr>
        <w:pStyle w:val="NormalHanging12a"/>
      </w:pPr>
      <w:r w:rsidRPr="00D83D2E">
        <w:t>46.</w:t>
      </w:r>
      <w:r w:rsidRPr="00D83D2E">
        <w:tab/>
        <w:t>Solicita uma cooperação intensificada com as instituições financeiras internacionais, incluindo o FMI e o CEF, para fazer face aos riscos transfronteiras para a estabilidade;</w:t>
      </w:r>
    </w:p>
    <w:p w14:paraId="3854D8C1" w14:textId="77777777" w:rsidR="008A6747" w:rsidRPr="00D83D2E" w:rsidRDefault="008A6747" w:rsidP="008A6747">
      <w:pPr>
        <w:pStyle w:val="NormalCenter12a"/>
      </w:pPr>
      <w:r w:rsidRPr="00D83D2E">
        <w:t>°</w:t>
      </w:r>
    </w:p>
    <w:p w14:paraId="2A0C39FC" w14:textId="77777777" w:rsidR="008A6747" w:rsidRPr="00D83D2E" w:rsidRDefault="008A6747" w:rsidP="008A6747">
      <w:pPr>
        <w:pStyle w:val="NormalCenter12a"/>
      </w:pPr>
      <w:r w:rsidRPr="00D83D2E">
        <w:t>°</w:t>
      </w:r>
      <w:r w:rsidRPr="00D83D2E">
        <w:tab/>
        <w:t>°</w:t>
      </w:r>
    </w:p>
    <w:p w14:paraId="373DD818" w14:textId="269BC801" w:rsidR="00E365E1" w:rsidRPr="00D83D2E" w:rsidRDefault="008A6747" w:rsidP="00D83D2E">
      <w:pPr>
        <w:pStyle w:val="NormalHanging12a"/>
      </w:pPr>
      <w:r w:rsidRPr="00D83D2E">
        <w:t>47.</w:t>
      </w:r>
      <w:r w:rsidRPr="00D83D2E">
        <w:tab/>
        <w:t>Encarrega a sua Presidente de transmitir a presente resolução ao Conselho e à Comissão.</w:t>
      </w:r>
    </w:p>
    <w:sectPr w:rsidR="00E365E1" w:rsidRPr="00D83D2E" w:rsidSect="006C70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61EE4" w14:textId="77777777" w:rsidR="00095A00" w:rsidRPr="006C709B" w:rsidRDefault="00095A00">
      <w:r w:rsidRPr="006C709B">
        <w:separator/>
      </w:r>
    </w:p>
  </w:endnote>
  <w:endnote w:type="continuationSeparator" w:id="0">
    <w:p w14:paraId="3E3839CD" w14:textId="77777777" w:rsidR="00095A00" w:rsidRPr="006C709B" w:rsidRDefault="00095A00">
      <w:r w:rsidRPr="006C70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3F7FA" w14:textId="77777777" w:rsidR="00064002" w:rsidRPr="006C70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FDBB" w14:textId="77777777" w:rsidR="00064002" w:rsidRPr="006C70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AAE1" w14:textId="77777777" w:rsidR="00064002" w:rsidRPr="006C70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B9B5" w14:textId="77777777" w:rsidR="00095A00" w:rsidRPr="006C709B" w:rsidRDefault="00095A00">
      <w:r w:rsidRPr="006C709B">
        <w:separator/>
      </w:r>
    </w:p>
  </w:footnote>
  <w:footnote w:type="continuationSeparator" w:id="0">
    <w:p w14:paraId="7FE87B60" w14:textId="77777777" w:rsidR="00095A00" w:rsidRPr="006C709B" w:rsidRDefault="00095A00">
      <w:r w:rsidRPr="006C709B">
        <w:continuationSeparator/>
      </w:r>
    </w:p>
  </w:footnote>
  <w:footnote w:id="1">
    <w:p w14:paraId="0A20769F" w14:textId="6FB09CF7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1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>JO C 33</w:t>
      </w:r>
      <w:r w:rsidR="00BB6F2E">
        <w:rPr>
          <w:sz w:val="24"/>
          <w:lang w:val="pt-PT"/>
        </w:rPr>
        <w:t xml:space="preserve"> </w:t>
      </w:r>
      <w:r w:rsidRPr="006C709B">
        <w:rPr>
          <w:sz w:val="24"/>
          <w:lang w:val="pt-PT"/>
        </w:rPr>
        <w:t>E de 5.2.2013, p. 140.</w:t>
      </w:r>
    </w:p>
  </w:footnote>
  <w:footnote w:id="2">
    <w:p w14:paraId="1A737859" w14:textId="494E12D6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2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Diretiva 2011/61/UE do Parlamento Europeu e do Conselho, de 8 de junho de 2011, relativa aos gestores de fundos de investimento alternativos e que altera as Diretivas 2003/41/CE e 2009/65/CE e os Regulamentos (CE) n.º 1060/2009 e (UE) n.º 1095/2010 (JO L 174 de 1.7.2011, p. 1, ELI: </w:t>
      </w:r>
      <w:hyperlink r:id="rId1" w:tgtFrame="http://data.europa.eu/eli/dir/2011/61/oj" w:history="1">
        <w:r w:rsidRPr="006C709B">
          <w:rPr>
            <w:rStyle w:val="Hyperlink"/>
            <w:sz w:val="24"/>
            <w:lang w:val="pt-PT"/>
          </w:rPr>
          <w:t>http://data.europa.eu/eli/dir/2011/61/oj</w:t>
        </w:r>
      </w:hyperlink>
      <w:r w:rsidRPr="006C709B">
        <w:rPr>
          <w:sz w:val="24"/>
          <w:lang w:val="pt-PT"/>
        </w:rPr>
        <w:t>).</w:t>
      </w:r>
    </w:p>
  </w:footnote>
  <w:footnote w:id="3">
    <w:p w14:paraId="5ADCA5DA" w14:textId="45CFBC95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3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Regulamento (UE) 2017/1131 do Parlamento Europeu e do Conselho, de 14 de junho de 2017, relativo aos fundos do mercado monetário (JO L 169 de 30.6.2017, p. 8, ELI: </w:t>
      </w:r>
      <w:hyperlink r:id="rId2" w:tgtFrame="http://data.europa.eu/eli/reg/2017/1131/oj" w:history="1">
        <w:r w:rsidRPr="006C709B">
          <w:rPr>
            <w:rStyle w:val="Hyperlink"/>
            <w:sz w:val="24"/>
            <w:lang w:val="pt-PT"/>
          </w:rPr>
          <w:t>http://data.europa.eu/eli/reg/2017/1131/oj</w:t>
        </w:r>
      </w:hyperlink>
      <w:r w:rsidRPr="006C709B">
        <w:rPr>
          <w:sz w:val="24"/>
          <w:lang w:val="pt-PT"/>
        </w:rPr>
        <w:t>).</w:t>
      </w:r>
    </w:p>
  </w:footnote>
  <w:footnote w:id="4">
    <w:p w14:paraId="5DD38CE3" w14:textId="2470AF88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4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Diretiva (UE) 2019/2034 do Parlamento Europeu e do Conselho, de 27 de novembro de 2019, relativa à supervisão prudencial das empresas de investimento e que altera as Diretivas 2002/87/CE, 2009/65/CE, 2011/61/UE, 2013/36/UE, 2014/59/UE e 2014/65/UE (JO L 314 de 5.12.2019, p. 64, ELI: </w:t>
      </w:r>
      <w:hyperlink r:id="rId3" w:tgtFrame="http://data.europa.eu/eli/dir/2019/2034/oj" w:history="1">
        <w:r w:rsidRPr="006C709B">
          <w:rPr>
            <w:rStyle w:val="Hyperlink"/>
            <w:sz w:val="24"/>
            <w:lang w:val="pt-PT"/>
          </w:rPr>
          <w:t>http://data.europa.eu/eli/dir/2019/2034/oj</w:t>
        </w:r>
      </w:hyperlink>
      <w:r w:rsidRPr="006C709B">
        <w:rPr>
          <w:sz w:val="24"/>
          <w:lang w:val="pt-PT"/>
        </w:rPr>
        <w:t>).</w:t>
      </w:r>
    </w:p>
  </w:footnote>
  <w:footnote w:id="5">
    <w:p w14:paraId="17D0C180" w14:textId="4007E18E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5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Regulamento (UE) 2019/2033 do Parlamento Europeu e do Conselho, de 27 de novembro de 2019, relativo aos requisitos prudenciais aplicáveis às empresas de investimento e que altera os Regulamentos (UE) n.º 1093/2010, (UE) n.º 575/2013, (UE) n.º 600/2014 e (UE) n.º 806/2014 (JO L 314 de 5.12.2019, p. 1, ELI: </w:t>
      </w:r>
      <w:hyperlink r:id="rId4" w:tgtFrame="http://data.europa.eu/eli/reg/2019/2033/oj" w:history="1">
        <w:r w:rsidRPr="006C709B">
          <w:rPr>
            <w:rStyle w:val="Hyperlink"/>
            <w:sz w:val="24"/>
            <w:lang w:val="pt-PT"/>
          </w:rPr>
          <w:t>http://data.europa.eu/eli/reg/2019/2033/oj</w:t>
        </w:r>
      </w:hyperlink>
      <w:r w:rsidRPr="006C709B">
        <w:rPr>
          <w:sz w:val="24"/>
          <w:lang w:val="pt-PT"/>
        </w:rPr>
        <w:t>).</w:t>
      </w:r>
    </w:p>
  </w:footnote>
  <w:footnote w:id="6">
    <w:p w14:paraId="3E9C0798" w14:textId="7DF22A8D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6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Diretiva (UE) 2016/2341 do Parlamento Europeu e do Conselho, de 14 de dezembro de 2016, relativa às atividades e à supervisão das instituições de realização de planos de pensões profissionais (IRPPP) (JO L 354 de 23.12.2016, p. 37, ELI: </w:t>
      </w:r>
      <w:hyperlink r:id="rId5" w:tgtFrame="http://data.europa.eu/eli/dir/2016/2341/oj" w:history="1">
        <w:r w:rsidRPr="006C709B">
          <w:rPr>
            <w:rStyle w:val="Hyperlink"/>
            <w:sz w:val="24"/>
            <w:lang w:val="pt-PT"/>
          </w:rPr>
          <w:t>http://data.europa.eu/eli/dir/2016/2341/oj</w:t>
        </w:r>
      </w:hyperlink>
      <w:r w:rsidRPr="006C709B">
        <w:rPr>
          <w:sz w:val="24"/>
          <w:lang w:val="pt-PT"/>
        </w:rPr>
        <w:t>).</w:t>
      </w:r>
    </w:p>
  </w:footnote>
  <w:footnote w:id="7">
    <w:p w14:paraId="02DC1FA0" w14:textId="08045024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7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hyperlink r:id="rId6" w:tgtFrame="https://www.ecb.europa.eu/pub/pdf/fsr/ecb.fsr202505~0cde5244f6.en.pdf" w:history="1">
        <w:r w:rsidRPr="006C709B">
          <w:rPr>
            <w:rStyle w:val="Hyperlink"/>
            <w:sz w:val="24"/>
            <w:lang w:val="pt-PT"/>
          </w:rPr>
          <w:t>ECB Análise da Estabilidade Financeira</w:t>
        </w:r>
      </w:hyperlink>
      <w:r w:rsidRPr="006C709B">
        <w:rPr>
          <w:sz w:val="24"/>
          <w:lang w:val="pt-PT"/>
        </w:rPr>
        <w:t>, maio de 2025, p 78.</w:t>
      </w:r>
    </w:p>
  </w:footnote>
  <w:footnote w:id="8">
    <w:p w14:paraId="51B5E297" w14:textId="4B1C3CBB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8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Regulamento (UE) 2017/1131 do Parlamento Europeu e do Conselho, de 14 de junho de 2017, relativo aos fundos do mercado monetário (JO L 169 de 30.6.2017, p. 8, ELI: </w:t>
      </w:r>
      <w:hyperlink r:id="rId7" w:tgtFrame="http://data.europa.eu/eli/reg/2017/1131/oj" w:history="1">
        <w:r w:rsidRPr="006C709B">
          <w:rPr>
            <w:rStyle w:val="Hyperlink"/>
            <w:sz w:val="24"/>
            <w:lang w:val="pt-PT"/>
          </w:rPr>
          <w:t>http://data.europa.eu/eli/reg/2017/1131/oj</w:t>
        </w:r>
      </w:hyperlink>
      <w:r w:rsidRPr="006C709B">
        <w:rPr>
          <w:sz w:val="24"/>
          <w:lang w:val="pt-PT"/>
        </w:rPr>
        <w:t>).</w:t>
      </w:r>
    </w:p>
  </w:footnote>
  <w:footnote w:id="9">
    <w:p w14:paraId="49C28DCE" w14:textId="20E4ED79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9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hyperlink r:id="rId8" w:tgtFrame="https://www.fsb.org/uploads/P221024-3.pdf" w:history="1">
        <w:r w:rsidRPr="006C709B">
          <w:rPr>
            <w:rStyle w:val="Hyperlink"/>
            <w:sz w:val="24"/>
            <w:lang w:val="pt-PT"/>
          </w:rPr>
          <w:t xml:space="preserve">Relatório sobre o estado de execução da política de </w:t>
        </w:r>
        <w:proofErr w:type="spellStart"/>
        <w:r w:rsidRPr="006C709B">
          <w:rPr>
            <w:rStyle w:val="Hyperlink"/>
            <w:sz w:val="24"/>
            <w:lang w:val="pt-PT"/>
          </w:rPr>
          <w:t>criptoativos</w:t>
        </w:r>
        <w:proofErr w:type="spellEnd"/>
        <w:r w:rsidRPr="006C709B">
          <w:rPr>
            <w:rStyle w:val="Hyperlink"/>
            <w:sz w:val="24"/>
            <w:lang w:val="pt-PT"/>
          </w:rPr>
          <w:t xml:space="preserve"> do G20</w:t>
        </w:r>
      </w:hyperlink>
      <w:r w:rsidRPr="006C709B">
        <w:rPr>
          <w:sz w:val="24"/>
          <w:lang w:val="pt-PT"/>
        </w:rPr>
        <w:t>. 22 de outubro de 2024.</w:t>
      </w:r>
    </w:p>
  </w:footnote>
  <w:footnote w:id="10">
    <w:p w14:paraId="47C6E53D" w14:textId="350FEE31" w:rsidR="008A6747" w:rsidRPr="006C709B" w:rsidRDefault="008A6747" w:rsidP="006C709B">
      <w:pPr>
        <w:pStyle w:val="FootnoteText"/>
        <w:ind w:left="567" w:hanging="567"/>
        <w:rPr>
          <w:sz w:val="24"/>
          <w:lang w:val="pt-PT"/>
        </w:rPr>
      </w:pPr>
      <w:r w:rsidRPr="006C709B">
        <w:rPr>
          <w:sz w:val="24"/>
          <w:vertAlign w:val="superscript"/>
          <w:lang w:val="pt-PT"/>
        </w:rPr>
        <w:t>10</w:t>
      </w:r>
      <w:r w:rsidR="006C709B" w:rsidRPr="006C709B">
        <w:rPr>
          <w:sz w:val="24"/>
          <w:vertAlign w:val="superscript"/>
          <w:lang w:val="pt-PT"/>
        </w:rPr>
        <w:t xml:space="preserve"> </w:t>
      </w:r>
      <w:r w:rsidR="006C709B" w:rsidRPr="006C709B">
        <w:rPr>
          <w:sz w:val="24"/>
          <w:vertAlign w:val="superscript"/>
          <w:lang w:val="pt-PT"/>
        </w:rPr>
        <w:tab/>
      </w:r>
      <w:r w:rsidRPr="006C709B">
        <w:rPr>
          <w:sz w:val="24"/>
          <w:lang w:val="pt-PT"/>
        </w:rPr>
        <w:t xml:space="preserve">Regulamento (UE) 2022/2554 do Parlamento Europeu e do Conselho, de 14 de dezembro de 2022, relativo à resiliência operacional digital do setor financeiro e que altera os Regulamentos (CE) n.º 1060/2009, (UE) n.º 648/2012, (UE) n.º 600/2014, (UE) n.º 909/2014 e (UE) 2016/1011 (JO L 333 de 27.12.2022, p. 1, ELI: </w:t>
      </w:r>
      <w:hyperlink r:id="rId9" w:tgtFrame="http://data.europa.eu/eli/reg/2022/2554/oj" w:history="1">
        <w:r w:rsidRPr="006C709B">
          <w:rPr>
            <w:rStyle w:val="Hyperlink"/>
            <w:sz w:val="24"/>
            <w:lang w:val="pt-PT"/>
          </w:rPr>
          <w:t>http://data.europa.eu/eli/reg/2022/2554/oj</w:t>
        </w:r>
      </w:hyperlink>
      <w:r w:rsidRPr="006C709B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61B2" w14:textId="77777777" w:rsidR="00064002" w:rsidRPr="006C70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5182" w14:textId="77777777" w:rsidR="00064002" w:rsidRPr="006C70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0D7D7" w14:textId="77777777" w:rsidR="00064002" w:rsidRPr="006C70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8819914">
    <w:abstractNumId w:val="9"/>
  </w:num>
  <w:num w:numId="2" w16cid:durableId="1195848724">
    <w:abstractNumId w:val="9"/>
  </w:num>
  <w:num w:numId="3" w16cid:durableId="1027563097">
    <w:abstractNumId w:val="7"/>
  </w:num>
  <w:num w:numId="4" w16cid:durableId="1664813709">
    <w:abstractNumId w:val="7"/>
  </w:num>
  <w:num w:numId="5" w16cid:durableId="1786074207">
    <w:abstractNumId w:val="6"/>
  </w:num>
  <w:num w:numId="6" w16cid:durableId="237982693">
    <w:abstractNumId w:val="6"/>
  </w:num>
  <w:num w:numId="7" w16cid:durableId="1619139171">
    <w:abstractNumId w:val="5"/>
  </w:num>
  <w:num w:numId="8" w16cid:durableId="1043792535">
    <w:abstractNumId w:val="5"/>
  </w:num>
  <w:num w:numId="9" w16cid:durableId="828398236">
    <w:abstractNumId w:val="4"/>
  </w:num>
  <w:num w:numId="10" w16cid:durableId="1996835050">
    <w:abstractNumId w:val="4"/>
  </w:num>
  <w:num w:numId="11" w16cid:durableId="1305044221">
    <w:abstractNumId w:val="8"/>
  </w:num>
  <w:num w:numId="12" w16cid:durableId="1175346353">
    <w:abstractNumId w:val="8"/>
  </w:num>
  <w:num w:numId="13" w16cid:durableId="249579558">
    <w:abstractNumId w:val="3"/>
  </w:num>
  <w:num w:numId="14" w16cid:durableId="1811626053">
    <w:abstractNumId w:val="3"/>
  </w:num>
  <w:num w:numId="15" w16cid:durableId="43607356">
    <w:abstractNumId w:val="2"/>
  </w:num>
  <w:num w:numId="16" w16cid:durableId="884370650">
    <w:abstractNumId w:val="2"/>
  </w:num>
  <w:num w:numId="17" w16cid:durableId="194467415">
    <w:abstractNumId w:val="1"/>
  </w:num>
  <w:num w:numId="18" w16cid:durableId="2091152520">
    <w:abstractNumId w:val="1"/>
  </w:num>
  <w:num w:numId="19" w16cid:durableId="830408855">
    <w:abstractNumId w:val="0"/>
  </w:num>
  <w:num w:numId="20" w16cid:durableId="993801970">
    <w:abstractNumId w:val="0"/>
  </w:num>
  <w:num w:numId="21" w16cid:durableId="1298998227">
    <w:abstractNumId w:val="9"/>
  </w:num>
  <w:num w:numId="22" w16cid:durableId="1221483662">
    <w:abstractNumId w:val="7"/>
  </w:num>
  <w:num w:numId="23" w16cid:durableId="649944866">
    <w:abstractNumId w:val="6"/>
  </w:num>
  <w:num w:numId="24" w16cid:durableId="20716330">
    <w:abstractNumId w:val="5"/>
  </w:num>
  <w:num w:numId="25" w16cid:durableId="1291086727">
    <w:abstractNumId w:val="4"/>
  </w:num>
  <w:num w:numId="26" w16cid:durableId="301279658">
    <w:abstractNumId w:val="8"/>
  </w:num>
  <w:num w:numId="27" w16cid:durableId="2027901164">
    <w:abstractNumId w:val="3"/>
  </w:num>
  <w:num w:numId="28" w16cid:durableId="1022322211">
    <w:abstractNumId w:val="2"/>
  </w:num>
  <w:num w:numId="29" w16cid:durableId="882329808">
    <w:abstractNumId w:val="1"/>
  </w:num>
  <w:num w:numId="30" w16cid:durableId="916942383">
    <w:abstractNumId w:val="0"/>
  </w:num>
  <w:num w:numId="31" w16cid:durableId="1940064430">
    <w:abstractNumId w:val="9"/>
  </w:num>
  <w:num w:numId="32" w16cid:durableId="181095485">
    <w:abstractNumId w:val="7"/>
  </w:num>
  <w:num w:numId="33" w16cid:durableId="867451708">
    <w:abstractNumId w:val="6"/>
  </w:num>
  <w:num w:numId="34" w16cid:durableId="1848255258">
    <w:abstractNumId w:val="5"/>
  </w:num>
  <w:num w:numId="35" w16cid:durableId="1135485426">
    <w:abstractNumId w:val="4"/>
  </w:num>
  <w:num w:numId="36" w16cid:durableId="937248800">
    <w:abstractNumId w:val="8"/>
  </w:num>
  <w:num w:numId="37" w16cid:durableId="1692104830">
    <w:abstractNumId w:val="3"/>
  </w:num>
  <w:num w:numId="38" w16cid:durableId="1311835480">
    <w:abstractNumId w:val="2"/>
  </w:num>
  <w:num w:numId="39" w16cid:durableId="1223561070">
    <w:abstractNumId w:val="1"/>
  </w:num>
  <w:num w:numId="40" w16cid:durableId="301689748">
    <w:abstractNumId w:val="0"/>
  </w:num>
  <w:num w:numId="41" w16cid:durableId="440800166">
    <w:abstractNumId w:val="10"/>
  </w:num>
  <w:num w:numId="42" w16cid:durableId="1391225908">
    <w:abstractNumId w:val="10"/>
  </w:num>
  <w:num w:numId="43" w16cid:durableId="1500733400">
    <w:abstractNumId w:val="10"/>
  </w:num>
  <w:num w:numId="44" w16cid:durableId="2181356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2/2025"/>
    <w:docVar w:name="dvlangue" w:val="PT"/>
    <w:docVar w:name="dvnumam" w:val="0"/>
    <w:docVar w:name="dvpe" w:val="771.960"/>
    <w:docVar w:name="dvrapporteur" w:val="Relator: "/>
    <w:docVar w:name="dvtitre" w:val="Resolução do Parlamento Europeu, de ... de ... de 2026,_x000d__x000a_ «Preservar e promover a estabilidade financeira num contexto de incerteza económica»(2025/2051(INI))"/>
  </w:docVars>
  <w:rsids>
    <w:rsidRoot w:val="00095A00"/>
    <w:rsid w:val="00002272"/>
    <w:rsid w:val="00064002"/>
    <w:rsid w:val="000677B9"/>
    <w:rsid w:val="000831BA"/>
    <w:rsid w:val="00095A00"/>
    <w:rsid w:val="000A42CC"/>
    <w:rsid w:val="000E7DD9"/>
    <w:rsid w:val="0010095E"/>
    <w:rsid w:val="00125B37"/>
    <w:rsid w:val="00163DE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5EF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709B"/>
    <w:rsid w:val="006F74FA"/>
    <w:rsid w:val="00731ADD"/>
    <w:rsid w:val="00734777"/>
    <w:rsid w:val="0074578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747"/>
    <w:rsid w:val="008C2AC6"/>
    <w:rsid w:val="008C5FF7"/>
    <w:rsid w:val="00930C23"/>
    <w:rsid w:val="0093193B"/>
    <w:rsid w:val="009509D8"/>
    <w:rsid w:val="00950B64"/>
    <w:rsid w:val="00981893"/>
    <w:rsid w:val="00A0615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F2E"/>
    <w:rsid w:val="00BD48FE"/>
    <w:rsid w:val="00BD7900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D2E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A8774"/>
  <w15:chartTrackingRefBased/>
  <w15:docId w15:val="{E954380F-533F-4DAC-8701-86BB2178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A674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A674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A674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A674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A674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A6747"/>
    <w:rPr>
      <w:color w:val="0000FF"/>
      <w:u w:val="single"/>
    </w:rPr>
  </w:style>
  <w:style w:type="paragraph" w:styleId="Revision">
    <w:name w:val="Revision"/>
    <w:hidden/>
    <w:uiPriority w:val="99"/>
    <w:semiHidden/>
    <w:rsid w:val="00D83D2E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sb.org/uploads/P221024-3.pdf" TargetMode="External"/><Relationship Id="rId3" Type="http://schemas.openxmlformats.org/officeDocument/2006/relationships/hyperlink" Target="http://data.europa.eu/eli/dir/2019/2034/oj" TargetMode="External"/><Relationship Id="rId7" Type="http://schemas.openxmlformats.org/officeDocument/2006/relationships/hyperlink" Target="http://data.europa.eu/eli/reg/2017/1131/oj" TargetMode="External"/><Relationship Id="rId2" Type="http://schemas.openxmlformats.org/officeDocument/2006/relationships/hyperlink" Target="http://data.europa.eu/eli/reg/2017/1131/oj" TargetMode="External"/><Relationship Id="rId1" Type="http://schemas.openxmlformats.org/officeDocument/2006/relationships/hyperlink" Target="http://data.europa.eu/eli/dir/2011/61/oj" TargetMode="External"/><Relationship Id="rId6" Type="http://schemas.openxmlformats.org/officeDocument/2006/relationships/hyperlink" Target="https://www.ecb.europa.eu/pub/pdf/fsr/ecb.fsr202505~0cde5244f6.en.pdf" TargetMode="External"/><Relationship Id="rId5" Type="http://schemas.openxmlformats.org/officeDocument/2006/relationships/hyperlink" Target="http://data.europa.eu/eli/dir/2016/2341/oj" TargetMode="External"/><Relationship Id="rId4" Type="http://schemas.openxmlformats.org/officeDocument/2006/relationships/hyperlink" Target="http://data.europa.eu/eli/reg/2019/2033/oj" TargetMode="External"/><Relationship Id="rId9" Type="http://schemas.openxmlformats.org/officeDocument/2006/relationships/hyperlink" Target="http://data.europa.eu/eli/reg/2022/25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3458</Words>
  <Characters>19752</Characters>
  <Application>Microsoft Office Word</Application>
  <DocSecurity>0</DocSecurity>
  <Lines>506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PEREIRA Dulce</cp:lastModifiedBy>
  <cp:revision>2</cp:revision>
  <cp:lastPrinted>2004-11-19T15:42:00Z</cp:lastPrinted>
  <dcterms:created xsi:type="dcterms:W3CDTF">2026-02-26T09:06:00Z</dcterms:created>
  <dcterms:modified xsi:type="dcterms:W3CDTF">2026-02-26T09:06:00Z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A10-0232/2025</vt:lpwstr>
  </property>
  <property fmtid="{D5CDD505-2E9C-101B-9397-08002B2CF9AE}" pid="4" name="&lt;Type&gt;">
    <vt:lpwstr>RR</vt:lpwstr>
  </property>
</Properties>
</file>