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65F14" w14:paraId="1F05C81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3F4236" w14:textId="67FE9D9A" w:rsidR="00751A4A" w:rsidRPr="00065F14" w:rsidRDefault="005171D8" w:rsidP="0010095E">
            <w:pPr>
              <w:pStyle w:val="EPName"/>
            </w:pPr>
            <w:r w:rsidRPr="00065F14">
              <w:t>Európsky parlament</w:t>
            </w:r>
          </w:p>
          <w:p w14:paraId="5FDBE3A9" w14:textId="77777777" w:rsidR="00751A4A" w:rsidRPr="00065F1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65F14">
              <w:t>2024</w:t>
            </w:r>
            <w:r w:rsidR="00817416" w:rsidRPr="00065F14">
              <w:t>-202</w:t>
            </w:r>
            <w:r w:rsidRPr="00065F14">
              <w:t>9</w:t>
            </w:r>
          </w:p>
        </w:tc>
        <w:tc>
          <w:tcPr>
            <w:tcW w:w="2268" w:type="dxa"/>
            <w:shd w:val="clear" w:color="auto" w:fill="auto"/>
          </w:tcPr>
          <w:p w14:paraId="11B9C6A1" w14:textId="77777777" w:rsidR="00751A4A" w:rsidRPr="00065F14" w:rsidRDefault="00187494" w:rsidP="0010095E">
            <w:pPr>
              <w:pStyle w:val="EPLogo"/>
            </w:pPr>
            <w:r w:rsidRPr="00065F14">
              <w:rPr>
                <w:noProof/>
                <w:lang w:eastAsia="ja-JP"/>
              </w:rPr>
              <w:drawing>
                <wp:inline distT="0" distB="0" distL="0" distR="0" wp14:anchorId="0BED781F" wp14:editId="3025FB8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DAA7CC" w14:textId="77777777" w:rsidR="00D058B8" w:rsidRPr="00065F14" w:rsidRDefault="00D058B8" w:rsidP="004C5D52">
      <w:pPr>
        <w:pStyle w:val="LineTop"/>
      </w:pPr>
    </w:p>
    <w:p w14:paraId="4E641DD7" w14:textId="14B8FAD6" w:rsidR="00680577" w:rsidRPr="00065F14" w:rsidRDefault="005171D8" w:rsidP="00680577">
      <w:pPr>
        <w:pStyle w:val="EPBodyTA1"/>
      </w:pPr>
      <w:r w:rsidRPr="00065F14">
        <w:t>PRIJATÉ TEXTY</w:t>
      </w:r>
    </w:p>
    <w:p w14:paraId="71D9AE0C" w14:textId="77777777" w:rsidR="00D058B8" w:rsidRPr="00065F14" w:rsidRDefault="00D058B8" w:rsidP="00D058B8">
      <w:pPr>
        <w:pStyle w:val="LineBottom"/>
      </w:pPr>
    </w:p>
    <w:p w14:paraId="5F069E41" w14:textId="69E67358" w:rsidR="005171D8" w:rsidRPr="00065F14" w:rsidRDefault="005171D8" w:rsidP="005171D8">
      <w:pPr>
        <w:pStyle w:val="ATHeading1"/>
      </w:pPr>
      <w:bookmarkStart w:id="0" w:name="TANumber"/>
      <w:r w:rsidRPr="00065F14">
        <w:t>P10_TA(2026)000</w:t>
      </w:r>
      <w:bookmarkEnd w:id="0"/>
      <w:r w:rsidR="00B34298" w:rsidRPr="00065F14">
        <w:t>4</w:t>
      </w:r>
    </w:p>
    <w:p w14:paraId="4FB1678B" w14:textId="77777777" w:rsidR="005171D8" w:rsidRPr="00065F14" w:rsidRDefault="005171D8" w:rsidP="005171D8">
      <w:pPr>
        <w:pStyle w:val="ATHeading2"/>
      </w:pPr>
      <w:bookmarkStart w:id="1" w:name="title"/>
      <w:r w:rsidRPr="00065F14">
        <w:t>Ochrana a podpora finančnej stability v kontexte hospodárskej neistoty</w:t>
      </w:r>
      <w:bookmarkEnd w:id="1"/>
    </w:p>
    <w:p w14:paraId="207F27DC" w14:textId="77777777" w:rsidR="005171D8" w:rsidRPr="00065F14" w:rsidRDefault="005171D8" w:rsidP="005171D8">
      <w:pPr>
        <w:rPr>
          <w:i/>
          <w:vanish/>
        </w:rPr>
      </w:pPr>
      <w:r w:rsidRPr="00065F14">
        <w:rPr>
          <w:i/>
        </w:rPr>
        <w:fldChar w:fldCharType="begin"/>
      </w:r>
      <w:r w:rsidRPr="00065F14">
        <w:rPr>
          <w:i/>
        </w:rPr>
        <w:instrText xml:space="preserve"> TC"(</w:instrText>
      </w:r>
      <w:bookmarkStart w:id="2" w:name="DocNumber"/>
      <w:r w:rsidRPr="00065F14">
        <w:rPr>
          <w:i/>
        </w:rPr>
        <w:instrText>A10-0232/2025</w:instrText>
      </w:r>
      <w:bookmarkEnd w:id="2"/>
      <w:r w:rsidRPr="00065F14">
        <w:rPr>
          <w:i/>
        </w:rPr>
        <w:instrText xml:space="preserve"> - Spravodajca: Johan Van Overtveldt)"\l3 \n&gt; \* MERGEFORMAT </w:instrText>
      </w:r>
      <w:r w:rsidRPr="00065F14">
        <w:rPr>
          <w:i/>
        </w:rPr>
        <w:fldChar w:fldCharType="end"/>
      </w:r>
    </w:p>
    <w:p w14:paraId="022958FE" w14:textId="77777777" w:rsidR="005171D8" w:rsidRPr="00065F14" w:rsidRDefault="005171D8" w:rsidP="005171D8">
      <w:pPr>
        <w:rPr>
          <w:vanish/>
        </w:rPr>
      </w:pPr>
      <w:bookmarkStart w:id="3" w:name="Commission"/>
      <w:r w:rsidRPr="00065F14">
        <w:rPr>
          <w:vanish/>
        </w:rPr>
        <w:t>Výbor pre hospodárske a menové veci</w:t>
      </w:r>
      <w:bookmarkEnd w:id="3"/>
    </w:p>
    <w:p w14:paraId="4EEBC8EF" w14:textId="77777777" w:rsidR="005171D8" w:rsidRPr="00065F14" w:rsidRDefault="005171D8" w:rsidP="005171D8">
      <w:pPr>
        <w:rPr>
          <w:vanish/>
        </w:rPr>
      </w:pPr>
      <w:bookmarkStart w:id="4" w:name="PE"/>
      <w:r w:rsidRPr="00065F14">
        <w:rPr>
          <w:vanish/>
        </w:rPr>
        <w:t>PE771.960</w:t>
      </w:r>
      <w:bookmarkEnd w:id="4"/>
    </w:p>
    <w:p w14:paraId="3FF93255" w14:textId="04D69877" w:rsidR="005171D8" w:rsidRPr="00065F14" w:rsidRDefault="005171D8" w:rsidP="005171D8">
      <w:pPr>
        <w:pStyle w:val="ATHeading3"/>
      </w:pPr>
      <w:bookmarkStart w:id="5" w:name="Sujet"/>
      <w:r w:rsidRPr="00065F14">
        <w:t xml:space="preserve">Uznesenie Európskeho parlamentu z </w:t>
      </w:r>
      <w:r w:rsidR="00C07A8E" w:rsidRPr="00065F14">
        <w:t>20</w:t>
      </w:r>
      <w:r w:rsidRPr="00065F14">
        <w:t>. janu</w:t>
      </w:r>
      <w:r w:rsidR="00AF0F9E" w:rsidRPr="00065F14">
        <w:t>á</w:t>
      </w:r>
      <w:r w:rsidRPr="00065F14">
        <w:t>ra 2026 o ochrane a podpore finančnej stability v kontexte hospodárskej neistoty</w:t>
      </w:r>
      <w:bookmarkEnd w:id="5"/>
      <w:r w:rsidRPr="00065F14">
        <w:t xml:space="preserve"> </w:t>
      </w:r>
      <w:bookmarkStart w:id="6" w:name="References"/>
      <w:r w:rsidRPr="00065F14">
        <w:t>(2025/2051(INI))</w:t>
      </w:r>
      <w:bookmarkEnd w:id="6"/>
    </w:p>
    <w:p w14:paraId="3742EBED" w14:textId="77777777" w:rsidR="00832EFF" w:rsidRPr="00065F14" w:rsidRDefault="00832EFF" w:rsidP="00832EFF">
      <w:pPr>
        <w:pStyle w:val="Normal12"/>
      </w:pPr>
      <w:r w:rsidRPr="00065F14">
        <w:rPr>
          <w:i/>
        </w:rPr>
        <w:t>Európsky parlament</w:t>
      </w:r>
      <w:r w:rsidRPr="00065F14">
        <w:t>,</w:t>
      </w:r>
    </w:p>
    <w:p w14:paraId="1D61B43F" w14:textId="22D7AE70" w:rsidR="00832EFF" w:rsidRPr="00065F14" w:rsidRDefault="00832EFF" w:rsidP="00832EFF">
      <w:pPr>
        <w:pStyle w:val="NormalHanging"/>
      </w:pPr>
      <w:r w:rsidRPr="00065F14">
        <w:t>–</w:t>
      </w:r>
      <w:r w:rsidRPr="00065F14">
        <w:tab/>
        <w:t xml:space="preserve">so zreteľom na správu Komisie z 24. januára 2024 o </w:t>
      </w:r>
      <w:proofErr w:type="spellStart"/>
      <w:r w:rsidRPr="00065F14">
        <w:t>makroprudenciálnom</w:t>
      </w:r>
      <w:proofErr w:type="spellEnd"/>
      <w:r w:rsidRPr="00065F14">
        <w:t xml:space="preserve"> preskúmaní pre úverové inštitúcie, o systémových rizikách súvisiacich s nebankovými finančnými sprostredkovateľmi a o ich vzájomnej prepojenosti s úverovými inštitúciami podľa článku 513 nariadenia Európskeho parlamentu a Rady (EÚ) č. 575/2013 z 26. júna 2013 o </w:t>
      </w:r>
      <w:proofErr w:type="spellStart"/>
      <w:r w:rsidRPr="00065F14">
        <w:t>prudenciálnych</w:t>
      </w:r>
      <w:proofErr w:type="spellEnd"/>
      <w:r w:rsidRPr="00065F14">
        <w:t xml:space="preserve"> požiadavkách na úverové inštitúcie a o zmene nariadenia (EÚ) č. 648/2012 (</w:t>
      </w:r>
      <w:r w:rsidR="00C07A8E" w:rsidRPr="00065F14">
        <w:t>COM(2024)0021</w:t>
      </w:r>
      <w:r w:rsidRPr="00065F14">
        <w:t>)</w:t>
      </w:r>
      <w:r w:rsidR="00C07A8E" w:rsidRPr="00065F14">
        <w:t>,</w:t>
      </w:r>
    </w:p>
    <w:p w14:paraId="484CA3DC" w14:textId="7D3643AF" w:rsidR="00832EFF" w:rsidRPr="00065F14" w:rsidRDefault="00832EFF" w:rsidP="00832EFF">
      <w:pPr>
        <w:pStyle w:val="NormalHanging"/>
      </w:pPr>
      <w:r w:rsidRPr="00065F14">
        <w:t>–</w:t>
      </w:r>
      <w:r w:rsidRPr="00065F14">
        <w:tab/>
        <w:t>so zreteľom na správu Európskej centrálnej banky (</w:t>
      </w:r>
      <w:r w:rsidR="00C07A8E" w:rsidRPr="00065F14">
        <w:t>ďalej len „</w:t>
      </w:r>
      <w:r w:rsidRPr="00065F14">
        <w:t>ECB</w:t>
      </w:r>
      <w:r w:rsidR="00C07A8E" w:rsidRPr="00065F14">
        <w:t>“</w:t>
      </w:r>
      <w:r w:rsidRPr="00065F14">
        <w:t>) o finančnej stabilite z novembra 2024,</w:t>
      </w:r>
    </w:p>
    <w:p w14:paraId="3F3719FF" w14:textId="77777777" w:rsidR="00832EFF" w:rsidRPr="00065F14" w:rsidRDefault="00832EFF" w:rsidP="00832EFF">
      <w:pPr>
        <w:pStyle w:val="NormalHanging"/>
      </w:pPr>
      <w:r w:rsidRPr="00065F14">
        <w:t>–</w:t>
      </w:r>
      <w:r w:rsidRPr="00065F14">
        <w:tab/>
        <w:t>so zreteľom na správu ECB o finančnej stabilite z mája 2025,</w:t>
      </w:r>
    </w:p>
    <w:p w14:paraId="3FED14C4" w14:textId="4B9CF9A1" w:rsidR="00832EFF" w:rsidRPr="00065F14" w:rsidRDefault="00832EFF" w:rsidP="00832EFF">
      <w:pPr>
        <w:pStyle w:val="NormalHanging"/>
      </w:pPr>
      <w:r w:rsidRPr="00065F14">
        <w:t>–</w:t>
      </w:r>
      <w:r w:rsidRPr="00065F14">
        <w:tab/>
        <w:t>so zreteľom na štvrťročné preskúmanie vývoja medzinárodného bankovníctva a finančného trhu Bankou pre medzinárodné zúčtovanie (</w:t>
      </w:r>
      <w:r w:rsidR="00C07A8E" w:rsidRPr="00065F14">
        <w:t>ďalej len „</w:t>
      </w:r>
      <w:r w:rsidRPr="00065F14">
        <w:t>BIS</w:t>
      </w:r>
      <w:r w:rsidR="00C07A8E" w:rsidRPr="00065F14">
        <w:t>“</w:t>
      </w:r>
      <w:r w:rsidRPr="00065F14">
        <w:t>) z marca 2025,</w:t>
      </w:r>
    </w:p>
    <w:p w14:paraId="054287D6" w14:textId="787A655F" w:rsidR="00832EFF" w:rsidRPr="00065F14" w:rsidRDefault="00832EFF" w:rsidP="00832EFF">
      <w:pPr>
        <w:pStyle w:val="NormalHanging"/>
      </w:pPr>
      <w:r w:rsidRPr="00065F14">
        <w:t>–</w:t>
      </w:r>
      <w:r w:rsidRPr="00065F14">
        <w:tab/>
        <w:t>so zreteľom na list predsedu Rady pre finančnú stabilitu (</w:t>
      </w:r>
      <w:r w:rsidR="00C07A8E" w:rsidRPr="00065F14">
        <w:t>ďalej len „</w:t>
      </w:r>
      <w:r w:rsidRPr="00065F14">
        <w:t>FSB</w:t>
      </w:r>
      <w:r w:rsidR="00C07A8E" w:rsidRPr="00065F14">
        <w:t>“</w:t>
      </w:r>
      <w:r w:rsidRPr="00065F14">
        <w:t>) adresovaný ministrom financií a guvernérom centrálnych bánk skupiny G20 z 21. februára 2025,</w:t>
      </w:r>
    </w:p>
    <w:p w14:paraId="6461CE0B" w14:textId="77777777" w:rsidR="00832EFF" w:rsidRPr="00065F14" w:rsidRDefault="00832EFF" w:rsidP="00832EFF">
      <w:pPr>
        <w:pStyle w:val="NormalHanging"/>
      </w:pPr>
      <w:r w:rsidRPr="00065F14">
        <w:t>–</w:t>
      </w:r>
      <w:r w:rsidRPr="00065F14">
        <w:tab/>
        <w:t xml:space="preserve">so zreteľom na správu FSB o stave z 22. októbra 2024 s názvom „G20 </w:t>
      </w:r>
      <w:proofErr w:type="spellStart"/>
      <w:r w:rsidRPr="00065F14">
        <w:t>Crypto-asset</w:t>
      </w:r>
      <w:proofErr w:type="spellEnd"/>
      <w:r w:rsidRPr="00065F14">
        <w:t xml:space="preserve"> </w:t>
      </w:r>
      <w:proofErr w:type="spellStart"/>
      <w:r w:rsidRPr="00065F14">
        <w:t>Policy</w:t>
      </w:r>
      <w:proofErr w:type="spellEnd"/>
      <w:r w:rsidRPr="00065F14">
        <w:t xml:space="preserve"> </w:t>
      </w:r>
      <w:proofErr w:type="spellStart"/>
      <w:r w:rsidRPr="00065F14">
        <w:t>Implementation</w:t>
      </w:r>
      <w:proofErr w:type="spellEnd"/>
      <w:r w:rsidRPr="00065F14">
        <w:t xml:space="preserve"> </w:t>
      </w:r>
      <w:proofErr w:type="spellStart"/>
      <w:r w:rsidRPr="00065F14">
        <w:t>Roadmap</w:t>
      </w:r>
      <w:proofErr w:type="spellEnd"/>
      <w:r w:rsidRPr="00065F14">
        <w:t xml:space="preserve">“ (Plán vykonávania politiky G20 v oblasti </w:t>
      </w:r>
      <w:proofErr w:type="spellStart"/>
      <w:r w:rsidRPr="00065F14">
        <w:t>kryptoaktív</w:t>
      </w:r>
      <w:proofErr w:type="spellEnd"/>
      <w:r w:rsidRPr="00065F14">
        <w:t>),</w:t>
      </w:r>
    </w:p>
    <w:p w14:paraId="172A69C5" w14:textId="77777777" w:rsidR="00832EFF" w:rsidRPr="00065F14" w:rsidRDefault="00832EFF" w:rsidP="00832EFF">
      <w:pPr>
        <w:pStyle w:val="NormalHanging"/>
      </w:pPr>
      <w:r w:rsidRPr="00065F14">
        <w:t>–</w:t>
      </w:r>
      <w:r w:rsidRPr="00065F14">
        <w:tab/>
        <w:t>so zreteľom na správu FSB z októbra 2021 s názvom „</w:t>
      </w:r>
      <w:proofErr w:type="spellStart"/>
      <w:r w:rsidRPr="00065F14">
        <w:t>Policy</w:t>
      </w:r>
      <w:proofErr w:type="spellEnd"/>
      <w:r w:rsidRPr="00065F14">
        <w:t xml:space="preserve"> </w:t>
      </w:r>
      <w:proofErr w:type="spellStart"/>
      <w:r w:rsidRPr="00065F14">
        <w:t>proposals</w:t>
      </w:r>
      <w:proofErr w:type="spellEnd"/>
      <w:r w:rsidRPr="00065F14">
        <w:t xml:space="preserve"> to </w:t>
      </w:r>
      <w:proofErr w:type="spellStart"/>
      <w:r w:rsidRPr="00065F14">
        <w:t>enhance</w:t>
      </w:r>
      <w:proofErr w:type="spellEnd"/>
      <w:r w:rsidRPr="00065F14">
        <w:t xml:space="preserve"> </w:t>
      </w:r>
      <w:proofErr w:type="spellStart"/>
      <w:r w:rsidRPr="00065F14">
        <w:t>money</w:t>
      </w:r>
      <w:proofErr w:type="spellEnd"/>
      <w:r w:rsidRPr="00065F14">
        <w:t xml:space="preserve"> </w:t>
      </w:r>
      <w:proofErr w:type="spellStart"/>
      <w:r w:rsidRPr="00065F14">
        <w:t>market</w:t>
      </w:r>
      <w:proofErr w:type="spellEnd"/>
      <w:r w:rsidRPr="00065F14">
        <w:t xml:space="preserve"> </w:t>
      </w:r>
      <w:proofErr w:type="spellStart"/>
      <w:r w:rsidRPr="00065F14">
        <w:t>fund</w:t>
      </w:r>
      <w:proofErr w:type="spellEnd"/>
      <w:r w:rsidRPr="00065F14">
        <w:t xml:space="preserve"> </w:t>
      </w:r>
      <w:proofErr w:type="spellStart"/>
      <w:r w:rsidRPr="00065F14">
        <w:t>resilience</w:t>
      </w:r>
      <w:proofErr w:type="spellEnd"/>
      <w:r w:rsidRPr="00065F14">
        <w:t xml:space="preserve">: </w:t>
      </w:r>
      <w:proofErr w:type="spellStart"/>
      <w:r w:rsidRPr="00065F14">
        <w:t>Final</w:t>
      </w:r>
      <w:proofErr w:type="spellEnd"/>
      <w:r w:rsidRPr="00065F14">
        <w:t xml:space="preserve"> report“ (Návrhy politiky na zvýšenie odolnosti fondov peňažného trhu: konečná správa),</w:t>
      </w:r>
    </w:p>
    <w:p w14:paraId="51286203" w14:textId="0AF3926D" w:rsidR="00832EFF" w:rsidRPr="00065F14" w:rsidRDefault="00832EFF" w:rsidP="00832EFF">
      <w:pPr>
        <w:pStyle w:val="NormalHanging"/>
      </w:pPr>
      <w:r w:rsidRPr="00065F14">
        <w:t>–</w:t>
      </w:r>
      <w:r w:rsidRPr="00065F14">
        <w:tab/>
        <w:t>so zreteľom na odpoveď Európskeho výboru pre systémové riziká (</w:t>
      </w:r>
      <w:r w:rsidR="0009358F" w:rsidRPr="00065F14">
        <w:t>ďalej len „</w:t>
      </w:r>
      <w:r w:rsidRPr="00065F14">
        <w:t>ESRB</w:t>
      </w:r>
      <w:r w:rsidR="0009358F" w:rsidRPr="00065F14">
        <w:t>“</w:t>
      </w:r>
      <w:r w:rsidRPr="00065F14">
        <w:t xml:space="preserve">) z novembra 2024 na konzultáciu Komisie, v ktorej sa posudzuje primeranosť </w:t>
      </w:r>
      <w:proofErr w:type="spellStart"/>
      <w:r w:rsidRPr="00065F14">
        <w:t>makroprudenciálnych</w:t>
      </w:r>
      <w:proofErr w:type="spellEnd"/>
      <w:r w:rsidRPr="00065F14">
        <w:t xml:space="preserve"> politík pre nebankové finančné sprostredkovanie, s názvom „A </w:t>
      </w:r>
      <w:proofErr w:type="spellStart"/>
      <w:r w:rsidRPr="00065F14">
        <w:t>system-wide</w:t>
      </w:r>
      <w:proofErr w:type="spellEnd"/>
      <w:r w:rsidRPr="00065F14">
        <w:t xml:space="preserve"> </w:t>
      </w:r>
      <w:proofErr w:type="spellStart"/>
      <w:r w:rsidRPr="00065F14">
        <w:t>approach</w:t>
      </w:r>
      <w:proofErr w:type="spellEnd"/>
      <w:r w:rsidRPr="00065F14">
        <w:t xml:space="preserve"> to </w:t>
      </w:r>
      <w:proofErr w:type="spellStart"/>
      <w:r w:rsidRPr="00065F14">
        <w:t>macroprudential</w:t>
      </w:r>
      <w:proofErr w:type="spellEnd"/>
      <w:r w:rsidRPr="00065F14">
        <w:t xml:space="preserve"> </w:t>
      </w:r>
      <w:proofErr w:type="spellStart"/>
      <w:r w:rsidRPr="00065F14">
        <w:t>policy</w:t>
      </w:r>
      <w:proofErr w:type="spellEnd"/>
      <w:r w:rsidRPr="00065F14">
        <w:t>“ (</w:t>
      </w:r>
      <w:proofErr w:type="spellStart"/>
      <w:r w:rsidRPr="00065F14">
        <w:t>Celosystémový</w:t>
      </w:r>
      <w:proofErr w:type="spellEnd"/>
      <w:r w:rsidRPr="00065F14">
        <w:t xml:space="preserve"> prístup k </w:t>
      </w:r>
      <w:proofErr w:type="spellStart"/>
      <w:r w:rsidRPr="00065F14">
        <w:t>makroprudenciálnej</w:t>
      </w:r>
      <w:proofErr w:type="spellEnd"/>
      <w:r w:rsidRPr="00065F14">
        <w:t xml:space="preserve"> politike),</w:t>
      </w:r>
    </w:p>
    <w:p w14:paraId="1544F6D1" w14:textId="77777777" w:rsidR="00832EFF" w:rsidRPr="00065F14" w:rsidRDefault="00832EFF" w:rsidP="00832EFF">
      <w:pPr>
        <w:pStyle w:val="NormalHanging"/>
      </w:pPr>
      <w:r w:rsidRPr="00065F14">
        <w:lastRenderedPageBreak/>
        <w:t>–</w:t>
      </w:r>
      <w:r w:rsidRPr="00065F14">
        <w:tab/>
        <w:t>so zreteľom na správu o dodržiavaní ESRB z februára 2025 týkajúcu sa odporúčania ESRB z 2. decembra 2021 o reforme fondov peňažného trhu (ESRB/2021/9),</w:t>
      </w:r>
    </w:p>
    <w:p w14:paraId="11BD6EB8" w14:textId="77777777" w:rsidR="00832EFF" w:rsidRPr="00065F14" w:rsidRDefault="00832EFF" w:rsidP="00832EFF">
      <w:pPr>
        <w:pStyle w:val="NormalHanging"/>
      </w:pPr>
      <w:r w:rsidRPr="00065F14">
        <w:t>–</w:t>
      </w:r>
      <w:r w:rsidRPr="00065F14">
        <w:tab/>
        <w:t>so zreteľom na aktuálne informácie Spoločného výboru európskych orgánov dohľadu z 31. marca 2025 o rizikách a zraniteľných miestach vo finančnom systéme EÚ – jar 2025,</w:t>
      </w:r>
    </w:p>
    <w:p w14:paraId="2B4D4490" w14:textId="5236064C" w:rsidR="00832EFF" w:rsidRPr="00065F14" w:rsidRDefault="00832EFF" w:rsidP="00832EFF">
      <w:pPr>
        <w:pStyle w:val="NormalHanging"/>
      </w:pPr>
      <w:r w:rsidRPr="00065F14">
        <w:t>–</w:t>
      </w:r>
      <w:r w:rsidRPr="00065F14">
        <w:tab/>
        <w:t>so zreteľom na stanovisko Európskeho orgánu pre cenné papiere a trhy (</w:t>
      </w:r>
      <w:r w:rsidR="0009358F" w:rsidRPr="00065F14">
        <w:t>ďalej len „</w:t>
      </w:r>
      <w:r w:rsidRPr="00065F14">
        <w:t>ESMA</w:t>
      </w:r>
      <w:r w:rsidR="0009358F" w:rsidRPr="00065F14">
        <w:t>“</w:t>
      </w:r>
      <w:r w:rsidRPr="00065F14">
        <w:t>) zo 14. februára 2022 k preskúmaniu nariadenia o fondoch peňažného trhu,</w:t>
      </w:r>
    </w:p>
    <w:p w14:paraId="4E4C193C" w14:textId="47A9DFAE" w:rsidR="00832EFF" w:rsidRPr="00065F14" w:rsidRDefault="00832EFF" w:rsidP="00832EFF">
      <w:pPr>
        <w:pStyle w:val="NormalHanging"/>
      </w:pPr>
      <w:r w:rsidRPr="00065F14">
        <w:t>–</w:t>
      </w:r>
      <w:r w:rsidRPr="00065F14">
        <w:tab/>
        <w:t>so zreteľom na správu Medzinárodného menového fondu (</w:t>
      </w:r>
      <w:r w:rsidR="0009358F" w:rsidRPr="00065F14">
        <w:t>ďalej len „</w:t>
      </w:r>
      <w:r w:rsidRPr="00065F14">
        <w:t>MMF</w:t>
      </w:r>
      <w:r w:rsidR="0009358F" w:rsidRPr="00065F14">
        <w:t>“</w:t>
      </w:r>
      <w:r w:rsidRPr="00065F14">
        <w:t>) o globálnej finančnej stabilite z 22. apríla 2025,</w:t>
      </w:r>
    </w:p>
    <w:p w14:paraId="5870F33A" w14:textId="1E67F1A7" w:rsidR="00832EFF" w:rsidRPr="00065F14" w:rsidRDefault="00832EFF" w:rsidP="00832EFF">
      <w:pPr>
        <w:pStyle w:val="NormalHanging"/>
      </w:pPr>
      <w:r w:rsidRPr="00065F14">
        <w:t>–</w:t>
      </w:r>
      <w:r w:rsidRPr="00065F14">
        <w:tab/>
        <w:t xml:space="preserve">so zreteľom na správu Maria </w:t>
      </w:r>
      <w:proofErr w:type="spellStart"/>
      <w:r w:rsidRPr="00065F14">
        <w:t>Draghiho</w:t>
      </w:r>
      <w:proofErr w:type="spellEnd"/>
      <w:r w:rsidRPr="00065F14">
        <w:t xml:space="preserve"> z 9. septembra 2024 s názvom „Budúcnosť európskej konkurencieschopnosti“ (</w:t>
      </w:r>
      <w:r w:rsidR="004C03A7" w:rsidRPr="00065F14">
        <w:t>ďalej len „</w:t>
      </w:r>
      <w:proofErr w:type="spellStart"/>
      <w:r w:rsidRPr="00065F14">
        <w:t>Draghiho</w:t>
      </w:r>
      <w:proofErr w:type="spellEnd"/>
      <w:r w:rsidRPr="00065F14">
        <w:t xml:space="preserve"> správa</w:t>
      </w:r>
      <w:r w:rsidR="004C03A7" w:rsidRPr="00065F14">
        <w:t>“</w:t>
      </w:r>
      <w:r w:rsidRPr="00065F14">
        <w:t>),</w:t>
      </w:r>
    </w:p>
    <w:p w14:paraId="002FEF83" w14:textId="493BF332" w:rsidR="00832EFF" w:rsidRPr="00065F14" w:rsidRDefault="00832EFF" w:rsidP="00832EFF">
      <w:pPr>
        <w:pStyle w:val="NormalHanging"/>
      </w:pPr>
      <w:r w:rsidRPr="00065F14">
        <w:t>–</w:t>
      </w:r>
      <w:r w:rsidRPr="00065F14">
        <w:tab/>
        <w:t xml:space="preserve">so zreteľom na správu </w:t>
      </w:r>
      <w:proofErr w:type="spellStart"/>
      <w:r w:rsidRPr="00065F14">
        <w:t>Enrica</w:t>
      </w:r>
      <w:proofErr w:type="spellEnd"/>
      <w:r w:rsidRPr="00065F14">
        <w:t xml:space="preserve"> </w:t>
      </w:r>
      <w:proofErr w:type="spellStart"/>
      <w:r w:rsidRPr="00065F14">
        <w:t>Lettu</w:t>
      </w:r>
      <w:proofErr w:type="spellEnd"/>
      <w:r w:rsidRPr="00065F14">
        <w:t xml:space="preserve"> zo 17. apríla 2024 s názvom „Oveľa viac než len trh“ (</w:t>
      </w:r>
      <w:r w:rsidR="004C03A7" w:rsidRPr="00065F14">
        <w:t>ďalej len „</w:t>
      </w:r>
      <w:proofErr w:type="spellStart"/>
      <w:r w:rsidRPr="00065F14">
        <w:t>Lettova</w:t>
      </w:r>
      <w:proofErr w:type="spellEnd"/>
      <w:r w:rsidRPr="00065F14">
        <w:t xml:space="preserve"> správa</w:t>
      </w:r>
      <w:r w:rsidR="004C03A7" w:rsidRPr="00065F14">
        <w:t>“</w:t>
      </w:r>
      <w:r w:rsidRPr="00065F14">
        <w:t>),</w:t>
      </w:r>
    </w:p>
    <w:p w14:paraId="4A04163B" w14:textId="77777777" w:rsidR="00832EFF" w:rsidRPr="00065F14" w:rsidRDefault="00832EFF" w:rsidP="00832EFF">
      <w:pPr>
        <w:pStyle w:val="NormalHanging"/>
      </w:pPr>
      <w:r w:rsidRPr="00065F14">
        <w:t>–</w:t>
      </w:r>
      <w:r w:rsidRPr="00065F14">
        <w:tab/>
        <w:t>so zreteľom na svoje uznesenie zo 6. júla 2011 o finančnej, hospodárskej a sociálnej kríze: odporúčania týkajúce sa opatrení a iniciatív, ktoré treba prijať</w:t>
      </w:r>
      <w:r w:rsidRPr="00065F14">
        <w:rPr>
          <w:rStyle w:val="FootnoteReference"/>
        </w:rPr>
        <w:footnoteReference w:customMarkFollows="1" w:id="1"/>
        <w:t>1</w:t>
      </w:r>
      <w:r w:rsidRPr="00065F14">
        <w:t>,</w:t>
      </w:r>
    </w:p>
    <w:p w14:paraId="19D5C4A2" w14:textId="77777777" w:rsidR="00832EFF" w:rsidRPr="00065F14" w:rsidRDefault="00832EFF" w:rsidP="00832EFF">
      <w:pPr>
        <w:pStyle w:val="NormalHanging"/>
      </w:pPr>
      <w:r w:rsidRPr="00065F14">
        <w:t>–</w:t>
      </w:r>
      <w:r w:rsidRPr="00065F14">
        <w:tab/>
        <w:t>so zreteľom na správu Výboru pre hospodárske a menové veci z 26. marca 2025 o bankovej únii – výročná správa za rok 2024,</w:t>
      </w:r>
    </w:p>
    <w:p w14:paraId="38E52BA1" w14:textId="77777777" w:rsidR="00832EFF" w:rsidRPr="00065F14" w:rsidRDefault="00832EFF" w:rsidP="00832EFF">
      <w:pPr>
        <w:pStyle w:val="NormalHanging"/>
      </w:pPr>
      <w:r w:rsidRPr="00065F14">
        <w:t>–</w:t>
      </w:r>
      <w:r w:rsidRPr="00065F14">
        <w:tab/>
        <w:t xml:space="preserve">so zreteľom na vypočutie Výboru pre hospodárske a menové veci z 19. marca 2025 o posúdení primeranosti </w:t>
      </w:r>
      <w:proofErr w:type="spellStart"/>
      <w:r w:rsidRPr="00065F14">
        <w:t>makroprudenciálneho</w:t>
      </w:r>
      <w:proofErr w:type="spellEnd"/>
      <w:r w:rsidRPr="00065F14">
        <w:t xml:space="preserve"> rámca pre nebankové finančné inštitúcie v EÚ,</w:t>
      </w:r>
    </w:p>
    <w:p w14:paraId="4AC7A2D8" w14:textId="77777777" w:rsidR="00832EFF" w:rsidRPr="00065F14" w:rsidRDefault="00832EFF" w:rsidP="00832EFF">
      <w:pPr>
        <w:pStyle w:val="NormalHanging"/>
      </w:pPr>
      <w:r w:rsidRPr="00065F14">
        <w:t>–</w:t>
      </w:r>
      <w:r w:rsidRPr="00065F14">
        <w:tab/>
        <w:t>so zreteľom na článok 55 rokovacieho poriadku,</w:t>
      </w:r>
    </w:p>
    <w:p w14:paraId="67BF0CC3" w14:textId="77777777" w:rsidR="00832EFF" w:rsidRPr="00065F14" w:rsidRDefault="00832EFF" w:rsidP="00832EFF">
      <w:pPr>
        <w:pStyle w:val="NormalHanging"/>
      </w:pPr>
      <w:r w:rsidRPr="00065F14">
        <w:t>–</w:t>
      </w:r>
      <w:r w:rsidRPr="00065F14">
        <w:tab/>
        <w:t>so zreteľom na správu Výboru pre hospodárske a menové veci (A10-0232/2025),</w:t>
      </w:r>
    </w:p>
    <w:p w14:paraId="27597BF1" w14:textId="77777777" w:rsidR="00832EFF" w:rsidRPr="00065F14" w:rsidRDefault="00832EFF" w:rsidP="00832EFF">
      <w:pPr>
        <w:pStyle w:val="NormalHanging"/>
      </w:pPr>
      <w:r w:rsidRPr="00065F14">
        <w:t>A.</w:t>
      </w:r>
      <w:r w:rsidRPr="00065F14">
        <w:tab/>
        <w:t>keďže finančná stabilita je aj naďalej základným kameňom hospodárskej odolnosti a rastu a vyžaduje si ostražitosť vzhľadom na veľkú hospodársku neistotu, vonkajšie otrasy a systémové riziká;</w:t>
      </w:r>
    </w:p>
    <w:p w14:paraId="2EF4A3FE" w14:textId="77777777" w:rsidR="00832EFF" w:rsidRPr="00065F14" w:rsidRDefault="00832EFF" w:rsidP="00832EFF">
      <w:pPr>
        <w:pStyle w:val="NormalHanging"/>
      </w:pPr>
      <w:r w:rsidRPr="00065F14">
        <w:t>B.</w:t>
      </w:r>
      <w:r w:rsidRPr="00065F14">
        <w:tab/>
        <w:t>keďže celosvetová finančná kríza poukázala na riziká finančnej nestability pre vyspelé ekonomiky, ktorá naberá globálne rozmery;</w:t>
      </w:r>
    </w:p>
    <w:p w14:paraId="7A442023" w14:textId="77777777" w:rsidR="00832EFF" w:rsidRPr="00065F14" w:rsidRDefault="00832EFF" w:rsidP="00832EFF">
      <w:pPr>
        <w:pStyle w:val="NormalHanging"/>
      </w:pPr>
      <w:r w:rsidRPr="00065F14">
        <w:t>C.</w:t>
      </w:r>
      <w:r w:rsidRPr="00065F14">
        <w:tab/>
        <w:t>keďže pokračujúca agresia Ruska voči Ukrajine a jej hospodárske dôsledky viedli k inflačným tlakom, volatilite na trhoch s energiou a finančnej neistote;</w:t>
      </w:r>
    </w:p>
    <w:p w14:paraId="2291C8E4" w14:textId="77777777" w:rsidR="00832EFF" w:rsidRPr="00065F14" w:rsidRDefault="00832EFF" w:rsidP="00832EFF">
      <w:pPr>
        <w:pStyle w:val="NormalHanging"/>
      </w:pPr>
      <w:r w:rsidRPr="00065F14">
        <w:t>D.</w:t>
      </w:r>
      <w:r w:rsidRPr="00065F14">
        <w:tab/>
        <w:t>keďže zavedenie ciel prispieva k fragmentácii svetového obchodu, prehlbuje narušenia dodávateľského reťazca a predstavuje dodatočné riziká pre finančné trhy a širšie hospodárstvo;</w:t>
      </w:r>
    </w:p>
    <w:p w14:paraId="4DD49524" w14:textId="77777777" w:rsidR="00832EFF" w:rsidRPr="00065F14" w:rsidRDefault="00832EFF" w:rsidP="00832EFF">
      <w:pPr>
        <w:pStyle w:val="NormalHanging"/>
      </w:pPr>
      <w:r w:rsidRPr="00065F14">
        <w:t>E.</w:t>
      </w:r>
      <w:r w:rsidRPr="00065F14">
        <w:tab/>
        <w:t>keďže dobre integrovaná únia kapitálových trhov je nevyhnutná na absorbovanie otrasov a podporu investícií v rámci EÚ a ďalšiu integráciu jednotného trhu;</w:t>
      </w:r>
    </w:p>
    <w:p w14:paraId="6F6A5666" w14:textId="77777777" w:rsidR="00832EFF" w:rsidRPr="00065F14" w:rsidRDefault="00832EFF" w:rsidP="00832EFF">
      <w:pPr>
        <w:pStyle w:val="NormalHanging"/>
      </w:pPr>
      <w:r w:rsidRPr="00065F14">
        <w:lastRenderedPageBreak/>
        <w:t>F.</w:t>
      </w:r>
      <w:r w:rsidRPr="00065F14">
        <w:tab/>
        <w:t>keďže stabilita nebankových finančných sprostredkovateľov bude ešte dôležitejšia, ak Európska únia presunie viac svojich finančných prostriedkov na kapitálové trhy;</w:t>
      </w:r>
    </w:p>
    <w:p w14:paraId="5D817C77" w14:textId="77777777" w:rsidR="00832EFF" w:rsidRPr="00065F14" w:rsidRDefault="00832EFF" w:rsidP="00832EFF">
      <w:pPr>
        <w:pStyle w:val="NormalHanging"/>
      </w:pPr>
      <w:r w:rsidRPr="00065F14">
        <w:t>G.</w:t>
      </w:r>
      <w:r w:rsidRPr="00065F14">
        <w:tab/>
        <w:t>keďže nebankoví finanční sprostredkovatelia pôsobia v značne odlišných odvetviach;</w:t>
      </w:r>
    </w:p>
    <w:p w14:paraId="4B90D359" w14:textId="77777777" w:rsidR="00832EFF" w:rsidRPr="00065F14" w:rsidRDefault="00832EFF" w:rsidP="00832EFF">
      <w:pPr>
        <w:pStyle w:val="NormalHanging"/>
      </w:pPr>
      <w:r w:rsidRPr="00065F14">
        <w:t>H.</w:t>
      </w:r>
      <w:r w:rsidRPr="00065F14">
        <w:tab/>
        <w:t>keďže slabý hospodársky rast prehĺbený obchodným napätím, má nepriaznivý vplyv na zadlžené subjekty a zvyšuje úverové riziko pre finančné inštitúcie;</w:t>
      </w:r>
    </w:p>
    <w:p w14:paraId="0E08C950" w14:textId="77777777" w:rsidR="00832EFF" w:rsidRPr="00065F14" w:rsidRDefault="00832EFF" w:rsidP="00832EFF">
      <w:pPr>
        <w:pStyle w:val="NormalHanging"/>
      </w:pPr>
      <w:r w:rsidRPr="00065F14">
        <w:t>I.</w:t>
      </w:r>
      <w:r w:rsidRPr="00065F14">
        <w:tab/>
        <w:t>keďže vysoké oceňovanie aktív na akciových trhoch a trhoch s podnikovými dlhopismi vyvoláva obavy nad možnosťou korekcie trhu so systémovými dôsledkami;</w:t>
      </w:r>
    </w:p>
    <w:p w14:paraId="021FBC96" w14:textId="77777777" w:rsidR="00832EFF" w:rsidRPr="00065F14" w:rsidRDefault="00832EFF" w:rsidP="00832EFF">
      <w:pPr>
        <w:pStyle w:val="NormalHanging"/>
      </w:pPr>
      <w:r w:rsidRPr="00065F14">
        <w:t>J.</w:t>
      </w:r>
      <w:r w:rsidRPr="00065F14">
        <w:tab/>
        <w:t>keďže sektor nehnuteľností určených na bývanie, ktorý ťaží z prostredia s nízkymi úrokovými sadzbami, zohráva kľúčovú úlohu vo finančnej stabilite vzhľadom na svoje ústredné miesto v hospodárstve, významný podiel na bohatstve domácností sústredenom v nehnuteľnom majetku, kľúčovú úlohu finančného sektora vo financovania investícií do nehnuteľností a dôležitú funkciu nehnuteľností ako kolaterálu na úverových trhoch;</w:t>
      </w:r>
    </w:p>
    <w:p w14:paraId="169274A7" w14:textId="77777777" w:rsidR="00832EFF" w:rsidRPr="00065F14" w:rsidRDefault="00832EFF" w:rsidP="00832EFF">
      <w:pPr>
        <w:pStyle w:val="NormalHanging"/>
      </w:pPr>
      <w:r w:rsidRPr="00065F14">
        <w:t>K.</w:t>
      </w:r>
      <w:r w:rsidRPr="00065F14">
        <w:tab/>
        <w:t>keďže zložitosť a vzájomné prepojenia medzi finančnými sektormi nadobudli význam, pričom nebankoví finanční sprostredkovatelia sú čistými veriteľmi bánk a širšieho hospodárstva;</w:t>
      </w:r>
    </w:p>
    <w:p w14:paraId="0B91D9F4" w14:textId="77777777" w:rsidR="00832EFF" w:rsidRPr="00065F14" w:rsidRDefault="00832EFF" w:rsidP="00832EFF">
      <w:pPr>
        <w:pStyle w:val="NormalHanging"/>
      </w:pPr>
      <w:r w:rsidRPr="00065F14">
        <w:t>L.</w:t>
      </w:r>
      <w:r w:rsidRPr="00065F14">
        <w:tab/>
        <w:t xml:space="preserve">keďže stopa nebankových finančných sprostredkovateľov na strategických finančných trhoch, ako sú trhy so štátnymi dlhopismi, sa zvýšila, o čom svedčí to, že </w:t>
      </w:r>
      <w:proofErr w:type="spellStart"/>
      <w:r w:rsidRPr="00065F14">
        <w:t>hedžové</w:t>
      </w:r>
      <w:proofErr w:type="spellEnd"/>
      <w:r w:rsidRPr="00065F14">
        <w:t xml:space="preserve"> fondy počas colnej krízy v apríli 2025 rušili cash-</w:t>
      </w:r>
      <w:proofErr w:type="spellStart"/>
      <w:r w:rsidRPr="00065F14">
        <w:t>futures</w:t>
      </w:r>
      <w:proofErr w:type="spellEnd"/>
      <w:r w:rsidRPr="00065F14">
        <w:t xml:space="preserve"> obchody na americkom trhu s dlhopismi;</w:t>
      </w:r>
    </w:p>
    <w:p w14:paraId="7563215B" w14:textId="77777777" w:rsidR="00832EFF" w:rsidRPr="00065F14" w:rsidRDefault="00832EFF" w:rsidP="00832EFF">
      <w:pPr>
        <w:pStyle w:val="NormalHanging"/>
      </w:pPr>
      <w:r w:rsidRPr="00065F14">
        <w:t>M.</w:t>
      </w:r>
      <w:r w:rsidRPr="00065F14">
        <w:tab/>
        <w:t>keďže cielené reformy by mohli zvýšiť odolnosť fondov peňažného trhu EÚ v súlade s medzinárodnými normami;</w:t>
      </w:r>
    </w:p>
    <w:p w14:paraId="77039757" w14:textId="77777777" w:rsidR="00832EFF" w:rsidRPr="00065F14" w:rsidRDefault="00832EFF" w:rsidP="00832EFF">
      <w:pPr>
        <w:pStyle w:val="NormalHanging"/>
      </w:pPr>
      <w:r w:rsidRPr="00065F14">
        <w:t>N.</w:t>
      </w:r>
      <w:r w:rsidRPr="00065F14">
        <w:tab/>
        <w:t>keďže finančný sektor je naďalej zraniteľný voči kybernetickým hrozbám, taktikám hybridnej vojny a skrytým pákovým efektom, ktoré by mohli destabilizovať kritickú finančnú infraštruktúru;</w:t>
      </w:r>
    </w:p>
    <w:p w14:paraId="5FD1EB66" w14:textId="77777777" w:rsidR="00832EFF" w:rsidRPr="00065F14" w:rsidRDefault="00832EFF" w:rsidP="00832EFF">
      <w:pPr>
        <w:pStyle w:val="Normal12a"/>
      </w:pPr>
      <w:r w:rsidRPr="00065F14">
        <w:rPr>
          <w:b/>
          <w:bCs/>
          <w:i/>
        </w:rPr>
        <w:t>Banková únia a únia kapitálových trhov:</w:t>
      </w:r>
      <w:r w:rsidRPr="00065F14">
        <w:rPr>
          <w:b/>
          <w:i/>
        </w:rPr>
        <w:t xml:space="preserve"> absorpcia otrasov a odolnosť</w:t>
      </w:r>
    </w:p>
    <w:p w14:paraId="13409F92" w14:textId="77777777" w:rsidR="00832EFF" w:rsidRPr="00065F14" w:rsidRDefault="00832EFF" w:rsidP="00832EFF">
      <w:pPr>
        <w:pStyle w:val="NormalHanging12a"/>
      </w:pPr>
      <w:r w:rsidRPr="00065F14">
        <w:t>1.</w:t>
      </w:r>
      <w:r w:rsidRPr="00065F14">
        <w:tab/>
        <w:t xml:space="preserve">víta obnovenú diskusiu o potrebe zvýšiť produktivitu a konkurencieschopnosť EÚ okrem iného lepšou integráciou kapitálových trhov a hospodárstva efektívne využívajúceho zdroje, ako sa uvádza v </w:t>
      </w:r>
      <w:proofErr w:type="spellStart"/>
      <w:r w:rsidRPr="00065F14">
        <w:t>Draghiho</w:t>
      </w:r>
      <w:proofErr w:type="spellEnd"/>
      <w:r w:rsidRPr="00065F14">
        <w:t xml:space="preserve"> aj </w:t>
      </w:r>
      <w:proofErr w:type="spellStart"/>
      <w:r w:rsidRPr="00065F14">
        <w:t>Lettovej</w:t>
      </w:r>
      <w:proofErr w:type="spellEnd"/>
      <w:r w:rsidRPr="00065F14">
        <w:t xml:space="preserve"> správe;</w:t>
      </w:r>
    </w:p>
    <w:p w14:paraId="31364CA7" w14:textId="77777777" w:rsidR="00832EFF" w:rsidRPr="00065F14" w:rsidRDefault="00832EFF" w:rsidP="00832EFF">
      <w:pPr>
        <w:pStyle w:val="NormalHanging12a"/>
      </w:pPr>
      <w:r w:rsidRPr="00065F14">
        <w:t>2.</w:t>
      </w:r>
      <w:r w:rsidRPr="00065F14">
        <w:tab/>
        <w:t>vyzýva Komisiu, aby uprednostnila program únie kapitálových trhov, ktorý podporuje konkurencieschopnosť EÚ a zároveň nenarúša finančnú stabilitu;</w:t>
      </w:r>
    </w:p>
    <w:p w14:paraId="0B276761" w14:textId="77777777" w:rsidR="00832EFF" w:rsidRPr="00065F14" w:rsidRDefault="00832EFF" w:rsidP="00832EFF">
      <w:pPr>
        <w:pStyle w:val="NormalHanging12a"/>
      </w:pPr>
      <w:r w:rsidRPr="00065F14">
        <w:t>3.</w:t>
      </w:r>
      <w:r w:rsidRPr="00065F14">
        <w:tab/>
        <w:t>zdôrazňuje cieľ únie kapitálových trhov účinnejšie mobilizovať súkromný kapitál s cieľom prekonať nedostatok investícií v EÚ a úlohu, ktorú môže zohrávať ako tlmič otrasov; zdôrazňuje, že program únie kapitálových trhov by mal prispieť aj k náprave štrukturálnych nerovnováh vo finančnom systéme EÚ; vyjadruje poľutovanie nad pretrvávaním daňovo motivovaného zvýhodňovania dlhu voči vlastnému kapitálu;</w:t>
      </w:r>
    </w:p>
    <w:p w14:paraId="01B5BD5F" w14:textId="77777777" w:rsidR="00832EFF" w:rsidRPr="00065F14" w:rsidRDefault="00832EFF" w:rsidP="00832EFF">
      <w:pPr>
        <w:pStyle w:val="NormalHanging12a"/>
      </w:pPr>
      <w:r w:rsidRPr="00065F14">
        <w:t>4.</w:t>
      </w:r>
      <w:r w:rsidRPr="00065F14">
        <w:tab/>
        <w:t>uznáva, že dokončenie bankovej únie musí byť strategickou prioritou pri prehlbovaní hospodárskej a menovej únie;</w:t>
      </w:r>
    </w:p>
    <w:p w14:paraId="342EA3C7" w14:textId="77777777" w:rsidR="00832EFF" w:rsidRPr="00065F14" w:rsidRDefault="00832EFF" w:rsidP="00832EFF">
      <w:pPr>
        <w:pStyle w:val="NormalHanging12a"/>
      </w:pPr>
      <w:r w:rsidRPr="00065F14">
        <w:lastRenderedPageBreak/>
        <w:t>5.</w:t>
      </w:r>
      <w:r w:rsidRPr="00065F14">
        <w:tab/>
        <w:t>berie na vedomie výzvy vyplývajúce z integrovanejších finančných trhov pri absencii jednotnejšieho dohľadu, ako aj kompromis medzi účinným rozdelením rizika a diverzifikáciou na jednej strane a rizikami nákazy, presahovania a zosilnenia na strane druhej;</w:t>
      </w:r>
    </w:p>
    <w:p w14:paraId="7C4DE0F5" w14:textId="77777777" w:rsidR="00832EFF" w:rsidRPr="00065F14" w:rsidRDefault="00832EFF" w:rsidP="00832EFF">
      <w:pPr>
        <w:pStyle w:val="NormalHanging12a"/>
      </w:pPr>
      <w:r w:rsidRPr="00065F14">
        <w:t>6.</w:t>
      </w:r>
      <w:r w:rsidRPr="00065F14">
        <w:tab/>
        <w:t>berie na vedomie kompromis, pokiaľ ide o cezhraničnú konsolidáciu bankovníctva, medzi geografickou diverzifikáciou, cezhraničnými finančnými službami, úsporami z rozsahu a potenciálnym oslabením prepojenia medzi bankami a štátmi na jednej strane a problémom subjektov „príliš veľkých na vyhlásenie úpadku“, potenciálnym oslabením menších finančných centier a prepojením s malými a strednými podnikmi (MSP) a miestnymi hospodárstvami na strane druhej;</w:t>
      </w:r>
    </w:p>
    <w:p w14:paraId="52BC1BC7" w14:textId="77777777" w:rsidR="00832EFF" w:rsidRPr="00065F14" w:rsidRDefault="00832EFF" w:rsidP="00832EFF">
      <w:pPr>
        <w:pStyle w:val="NormalHanging12a"/>
      </w:pPr>
      <w:r w:rsidRPr="00065F14">
        <w:t>7.</w:t>
      </w:r>
      <w:r w:rsidRPr="00065F14">
        <w:tab/>
        <w:t>konštatuje, že systémové riziko môže vyplynúť aj z menších inštitúcií, keďže môžu vykazovať vysoko korelované súvahy;</w:t>
      </w:r>
    </w:p>
    <w:p w14:paraId="1582760A" w14:textId="77777777" w:rsidR="00832EFF" w:rsidRPr="00065F14" w:rsidRDefault="00832EFF" w:rsidP="00832EFF">
      <w:pPr>
        <w:pStyle w:val="NormalHanging12a"/>
      </w:pPr>
      <w:r w:rsidRPr="00065F14">
        <w:t>8.</w:t>
      </w:r>
      <w:r w:rsidRPr="00065F14">
        <w:tab/>
        <w:t>zdôrazňuje význam prístupu ku kapitálu, ako je rizikový kapitál určený pre rastové spoločnosti, a to najmä pre MSP, pričom treba súčasne zachovať finančnú stabilitu a zabezpečiť, aby rast a odolnosť išli ruka v ruke;</w:t>
      </w:r>
    </w:p>
    <w:p w14:paraId="48F721D1" w14:textId="77777777" w:rsidR="00832EFF" w:rsidRPr="00065F14" w:rsidRDefault="00832EFF" w:rsidP="00832EFF">
      <w:pPr>
        <w:pStyle w:val="Normal12a"/>
      </w:pPr>
      <w:proofErr w:type="spellStart"/>
      <w:r w:rsidRPr="00065F14">
        <w:rPr>
          <w:b/>
          <w:i/>
        </w:rPr>
        <w:t>Makrofinančné</w:t>
      </w:r>
      <w:proofErr w:type="spellEnd"/>
      <w:r w:rsidRPr="00065F14">
        <w:rPr>
          <w:b/>
          <w:i/>
        </w:rPr>
        <w:t xml:space="preserve"> riziká a geopolitická nestabilita</w:t>
      </w:r>
    </w:p>
    <w:p w14:paraId="4BD93401" w14:textId="77777777" w:rsidR="00832EFF" w:rsidRPr="00065F14" w:rsidRDefault="00832EFF" w:rsidP="00832EFF">
      <w:pPr>
        <w:pStyle w:val="NormalHanging12a"/>
      </w:pPr>
      <w:r w:rsidRPr="00065F14">
        <w:t>9.</w:t>
      </w:r>
      <w:r w:rsidRPr="00065F14">
        <w:tab/>
        <w:t>vyzdvihuje hlavný cieľ ECB zachovať cenovú stabilitu a kľúčovú úlohu ESRB, európskych orgánov dohľadu a centrálnych bánk pri prispievaní k finančnej stabilite v Únii;</w:t>
      </w:r>
    </w:p>
    <w:p w14:paraId="66ACE579" w14:textId="77777777" w:rsidR="00832EFF" w:rsidRPr="00065F14" w:rsidRDefault="00832EFF" w:rsidP="00832EFF">
      <w:pPr>
        <w:pStyle w:val="NormalHanging12a"/>
      </w:pPr>
      <w:r w:rsidRPr="00065F14">
        <w:t>10.</w:t>
      </w:r>
      <w:r w:rsidRPr="00065F14">
        <w:tab/>
        <w:t>pripomína, že Eurosystém je postavený na zásade menovej dominantnosti; vyzýva na zachovanie nezávislosti ECB ako faktora podporujúceho finančnú stabilitu;</w:t>
      </w:r>
    </w:p>
    <w:p w14:paraId="11EC4E5E" w14:textId="77777777" w:rsidR="00832EFF" w:rsidRPr="00065F14" w:rsidRDefault="00832EFF" w:rsidP="00832EFF">
      <w:pPr>
        <w:pStyle w:val="NormalHanging12a"/>
      </w:pPr>
      <w:r w:rsidRPr="00065F14">
        <w:t>11.</w:t>
      </w:r>
      <w:r w:rsidRPr="00065F14">
        <w:tab/>
        <w:t>zdôrazňuje, že určité intervencie centrálnych bánk na trhu sú spojené s rizikom narušenia trhu, čo by mohlo ovplyvniť finančnú stabilitu;</w:t>
      </w:r>
    </w:p>
    <w:p w14:paraId="318725D8" w14:textId="77777777" w:rsidR="00832EFF" w:rsidRPr="00065F14" w:rsidRDefault="00832EFF" w:rsidP="00832EFF">
      <w:pPr>
        <w:pStyle w:val="NormalHanging12a"/>
      </w:pPr>
      <w:r w:rsidRPr="00065F14">
        <w:t>12.</w:t>
      </w:r>
      <w:r w:rsidRPr="00065F14">
        <w:tab/>
        <w:t>berie na vedomie expozíciu Únie voči vonkajším otrasom cez silné prepojenia so zahraničnými finančnými trhmi a subjektmi, voči závislosti finančného sektora EÚ od služieb poskytovateľov z krajín mimo EÚ a tlakom z rastúceho obchodného napätia v kontexte geopolitickej neistoty;</w:t>
      </w:r>
    </w:p>
    <w:p w14:paraId="28C3A411" w14:textId="77777777" w:rsidR="00832EFF" w:rsidRPr="00065F14" w:rsidRDefault="00832EFF" w:rsidP="00832EFF">
      <w:pPr>
        <w:pStyle w:val="NormalHanging12a"/>
      </w:pPr>
      <w:r w:rsidRPr="00065F14">
        <w:t>13.</w:t>
      </w:r>
      <w:r w:rsidRPr="00065F14">
        <w:tab/>
        <w:t>upozorňuje na riziko vysokého štátneho dlhu a deficitov; pripomína, že v roku 2008 obavy trhu týkajúce sa udržateľnosti štátneho dlhu, neprimeraný bankový regulačný rámec v tom čase a nákaza prostredníctvom prepojených finančných systémov spôsobili finančnú krízu a následnú krízu v eurozóne;</w:t>
      </w:r>
    </w:p>
    <w:p w14:paraId="7479D66C" w14:textId="77777777" w:rsidR="00832EFF" w:rsidRPr="00065F14" w:rsidRDefault="00832EFF" w:rsidP="00832EFF">
      <w:pPr>
        <w:pStyle w:val="NormalHanging12a"/>
      </w:pPr>
      <w:r w:rsidRPr="00065F14">
        <w:t>14.</w:t>
      </w:r>
      <w:r w:rsidRPr="00065F14">
        <w:tab/>
        <w:t>varuje pred účinkami presahovania na finančný sektor; v tejto súvislosti berie na vedomie výzvy na zmiernenie systémových zraniteľností; zdôrazňuje však, že žiaden budúci vývoj by nemal oslabiť fiškálnu zodpovednosť štátov;</w:t>
      </w:r>
    </w:p>
    <w:p w14:paraId="0123DA8F" w14:textId="77777777" w:rsidR="00832EFF" w:rsidRPr="00065F14" w:rsidRDefault="00832EFF" w:rsidP="00832EFF">
      <w:pPr>
        <w:pStyle w:val="NormalHanging12a"/>
      </w:pPr>
      <w:r w:rsidRPr="00065F14">
        <w:t>15.</w:t>
      </w:r>
      <w:r w:rsidRPr="00065F14">
        <w:tab/>
        <w:t>vyzýva Komisiu, aby presadzovala dodržiavanie rámca správy hospodárskych záležitostí EÚ a konvergenciu s fiškálnymi pravidlami Paktu stability a rastu s cieľom zabezpečiť zdravé a udržateľné verejné financie;</w:t>
      </w:r>
    </w:p>
    <w:p w14:paraId="57845406" w14:textId="77777777" w:rsidR="00832EFF" w:rsidRPr="00065F14" w:rsidRDefault="00832EFF" w:rsidP="00832EFF">
      <w:pPr>
        <w:pStyle w:val="NormalHanging12a"/>
      </w:pPr>
      <w:r w:rsidRPr="00065F14">
        <w:t>16.</w:t>
      </w:r>
      <w:r w:rsidRPr="00065F14">
        <w:tab/>
        <w:t xml:space="preserve">uznáva, že štrukturálne reformy na posilnenie finančnej a inštitucionálnej architektúry eurozóny a zníženie fragmentácie trhu by mohli posilniť medzinárodnú úlohu eura a </w:t>
      </w:r>
      <w:r w:rsidRPr="00065F14">
        <w:lastRenderedPageBreak/>
        <w:t>potenciálne zvýšiť finančnú a menovú stabilitu; berie na vedomie prebiehajúce diskusie o digitálnom eure;</w:t>
      </w:r>
    </w:p>
    <w:p w14:paraId="0A984D3D" w14:textId="77777777" w:rsidR="00832EFF" w:rsidRPr="00065F14" w:rsidRDefault="00832EFF" w:rsidP="00832EFF">
      <w:pPr>
        <w:pStyle w:val="NormalHanging12a"/>
      </w:pPr>
      <w:r w:rsidRPr="00065F14">
        <w:t>17.</w:t>
      </w:r>
      <w:r w:rsidRPr="00065F14">
        <w:tab/>
        <w:t xml:space="preserve">upozorňuje na potenciálnu nestabilitu, ktorú môžu spôsobiť vysoko zadlžené finančné inštitúcie, pričom však uznáva, že môžu plniť ekonomické funkcie, ako je </w:t>
      </w:r>
      <w:proofErr w:type="spellStart"/>
      <w:r w:rsidRPr="00065F14">
        <w:t>hedžing</w:t>
      </w:r>
      <w:proofErr w:type="spellEnd"/>
      <w:r w:rsidRPr="00065F14">
        <w:t>, zlepšenie likvidity trhu, určovanie cien alebo rozdelenie rizika;</w:t>
      </w:r>
    </w:p>
    <w:p w14:paraId="0FD7E10C" w14:textId="77777777" w:rsidR="00832EFF" w:rsidRPr="00065F14" w:rsidRDefault="00832EFF" w:rsidP="00832EFF">
      <w:pPr>
        <w:pStyle w:val="NormalHanging12a"/>
      </w:pPr>
      <w:r w:rsidRPr="00065F14">
        <w:t>18.</w:t>
      </w:r>
      <w:r w:rsidRPr="00065F14">
        <w:tab/>
        <w:t xml:space="preserve">zdôrazňuje význam koordinácie medzi orgánmi </w:t>
      </w:r>
      <w:proofErr w:type="spellStart"/>
      <w:r w:rsidRPr="00065F14">
        <w:t>makroprudenciálneho</w:t>
      </w:r>
      <w:proofErr w:type="spellEnd"/>
      <w:r w:rsidRPr="00065F14">
        <w:t xml:space="preserve"> dohľadu prostredníctvom analýzy systémových rizík a dohľadu a zosúladenia s </w:t>
      </w:r>
      <w:proofErr w:type="spellStart"/>
      <w:r w:rsidRPr="00065F14">
        <w:t>mikroprudenciálnym</w:t>
      </w:r>
      <w:proofErr w:type="spellEnd"/>
      <w:r w:rsidRPr="00065F14">
        <w:t xml:space="preserve"> dohľadom s cieľom zabezpečiť kompatibilitu;</w:t>
      </w:r>
    </w:p>
    <w:p w14:paraId="67E15290" w14:textId="77777777" w:rsidR="00832EFF" w:rsidRPr="00065F14" w:rsidRDefault="00832EFF" w:rsidP="00832EFF">
      <w:pPr>
        <w:pStyle w:val="NormalHanging12a"/>
      </w:pPr>
      <w:r w:rsidRPr="00065F14">
        <w:t>19.</w:t>
      </w:r>
      <w:r w:rsidRPr="00065F14">
        <w:tab/>
        <w:t>berie na vedomie potenciálne riziká pre finančnú stabilitu vyplývajúce z častejších prejavov fyzických rizík klimatických a prírodných katastrof a rizík transformácie súvisiacich s klímou;</w:t>
      </w:r>
    </w:p>
    <w:p w14:paraId="4A2949E9" w14:textId="77777777" w:rsidR="00832EFF" w:rsidRPr="00065F14" w:rsidRDefault="00832EFF" w:rsidP="00832EFF">
      <w:pPr>
        <w:pStyle w:val="Normal12a"/>
        <w:rPr>
          <w:b/>
          <w:bCs/>
        </w:rPr>
      </w:pPr>
      <w:r w:rsidRPr="00065F14">
        <w:rPr>
          <w:b/>
          <w:bCs/>
          <w:i/>
        </w:rPr>
        <w:t>Napätie v bankovom sektore a dohľad nad nebankovými finančnými sprostredkovateľmi</w:t>
      </w:r>
    </w:p>
    <w:p w14:paraId="2D054331" w14:textId="77777777" w:rsidR="00832EFF" w:rsidRPr="00065F14" w:rsidRDefault="00832EFF" w:rsidP="00832EFF">
      <w:pPr>
        <w:pStyle w:val="NormalHanging12a"/>
      </w:pPr>
      <w:r w:rsidRPr="00065F14">
        <w:t>20.</w:t>
      </w:r>
      <w:r w:rsidRPr="00065F14">
        <w:tab/>
        <w:t>zdôrazňuje potrebu zabezpečiť úplné vykonávanie rámca Bazilej III s cieľom zvýšiť odolnosť a globálnu konkurencieschopnosť bánk EÚ; poukazuje na pretrvávajúcu nejasnosť, pokiaľ ide o vykonávanie noriem Bazilej III v niektorých hlavných jurisdikciách krajín mimo EÚ, a potrebu, aby bankový systém Únie zostal konkurencieschopný v medzinárodnom kontexte; zdôrazňuje, že je dôležité zachovať integritu bazilejského rámca, pričom zdôrazňuje, že samotnú finančnú stabilitu možno považovať za konkurenčnú výhodu;</w:t>
      </w:r>
    </w:p>
    <w:p w14:paraId="3DEF7695" w14:textId="77777777" w:rsidR="00832EFF" w:rsidRPr="00065F14" w:rsidRDefault="00832EFF" w:rsidP="00832EFF">
      <w:pPr>
        <w:pStyle w:val="NormalHanging12a"/>
      </w:pPr>
      <w:r w:rsidRPr="00065F14">
        <w:t>21.</w:t>
      </w:r>
      <w:r w:rsidRPr="00065F14">
        <w:tab/>
        <w:t xml:space="preserve">zdôrazňuje, že je dôležité zachovať zdravý </w:t>
      </w:r>
      <w:proofErr w:type="spellStart"/>
      <w:r w:rsidRPr="00065F14">
        <w:t>makroprudenciálny</w:t>
      </w:r>
      <w:proofErr w:type="spellEnd"/>
      <w:r w:rsidRPr="00065F14">
        <w:t xml:space="preserve"> rámec a zároveň zabezpečiť zjednodušenie, právne objasnenie a zníženie zaťaženia, najmä pre menšie subjekty; zdôrazňuje, že existuje priestor na zjednodušenie a harmonizáciu pri navrhovaní a uplatňovaní </w:t>
      </w:r>
      <w:proofErr w:type="spellStart"/>
      <w:r w:rsidRPr="00065F14">
        <w:t>makroprudenciálnych</w:t>
      </w:r>
      <w:proofErr w:type="spellEnd"/>
      <w:r w:rsidRPr="00065F14">
        <w:t xml:space="preserve"> rezerv; vyzýva Komisiu a orgány dohľadu, aby podľa možnosti a bez ohrozenia finančnej stability systematicky uplatňovali zásady proporcionality, nákladovej efektívnosti a digitálneho zjednodušenia;</w:t>
      </w:r>
    </w:p>
    <w:p w14:paraId="26A50C6B" w14:textId="77777777" w:rsidR="00832EFF" w:rsidRPr="00065F14" w:rsidRDefault="00832EFF" w:rsidP="00832EFF">
      <w:pPr>
        <w:pStyle w:val="NormalHanging12a"/>
      </w:pPr>
      <w:r w:rsidRPr="00065F14">
        <w:t>22.</w:t>
      </w:r>
      <w:r w:rsidRPr="00065F14">
        <w:tab/>
        <w:t xml:space="preserve">zdôrazňuje, že by sa malo zvážiť zjednodušenie reforiem súvisiacich s finančnou krízou po roku 2008, ak to bude mať jasný a opodstatnený prínos pre reálnu ekonomiku a ak to neohrozí finančnú stabilitu; berie na vedomie diskusiu o </w:t>
      </w:r>
      <w:proofErr w:type="spellStart"/>
      <w:r w:rsidRPr="00065F14">
        <w:t>sekuritizačnom</w:t>
      </w:r>
      <w:proofErr w:type="spellEnd"/>
      <w:r w:rsidRPr="00065F14">
        <w:t xml:space="preserve"> balíku;</w:t>
      </w:r>
    </w:p>
    <w:p w14:paraId="24DA39FE" w14:textId="77777777" w:rsidR="00832EFF" w:rsidRPr="00065F14" w:rsidRDefault="00832EFF" w:rsidP="00832EFF">
      <w:pPr>
        <w:pStyle w:val="NormalHanging12a"/>
      </w:pPr>
      <w:r w:rsidRPr="00065F14">
        <w:t>23.</w:t>
      </w:r>
      <w:r w:rsidRPr="00065F14">
        <w:tab/>
        <w:t>berie na vedomie analýzu ECB o pretrvávajúcich zraniteľných miestach na trhoch s nehnuteľnosťami určenými na podnikanie, čo znásobujú rastúce úrokové sadzby a expozície nebankových finančných sprostredkovateľov, ktoré si zasluhujú dôkladné monitorovanie; v tejto súvislosti vyzýva ESRB, aby pozorne monitoroval úlohu nebankových finančných sprostredkovateľov pôsobiacich na trhoch s nehnuteľnosťami a vydal príslušné odporúčania; okrem toho poukazuje na vysokú úroveň zadlženosti domácností;</w:t>
      </w:r>
    </w:p>
    <w:p w14:paraId="62EF85EF" w14:textId="77777777" w:rsidR="00832EFF" w:rsidRPr="00065F14" w:rsidRDefault="00832EFF" w:rsidP="00832EFF">
      <w:pPr>
        <w:pStyle w:val="NormalHanging12a"/>
      </w:pPr>
      <w:r w:rsidRPr="00065F14">
        <w:t>24.</w:t>
      </w:r>
      <w:r w:rsidRPr="00065F14">
        <w:tab/>
        <w:t>naliehavo vyzýva ECB, aby v rámci pravidelného postupu preskúmania a hodnotenia orgánmi dohľadu v kontexte strategickej autonómie posudzovala expozíciu finančných inštitúcií voči geopolitickým rizikám vrátane nepriamych účinkov sankcií, ciel a hospodárskej fragmentácie;</w:t>
      </w:r>
    </w:p>
    <w:p w14:paraId="19F218AA" w14:textId="77777777" w:rsidR="00832EFF" w:rsidRPr="00065F14" w:rsidRDefault="00832EFF" w:rsidP="00832EFF">
      <w:pPr>
        <w:pStyle w:val="NormalHanging12a"/>
      </w:pPr>
      <w:r w:rsidRPr="00065F14">
        <w:t>25.</w:t>
      </w:r>
      <w:r w:rsidRPr="00065F14">
        <w:tab/>
        <w:t xml:space="preserve">berie na vedomie rastúci systémový význam nebankových finančných sprostredkovateľov, ktorí tvoria viac ako 40 % aktív finančného sektora EÚ; domnieva </w:t>
      </w:r>
      <w:r w:rsidRPr="00065F14">
        <w:lastRenderedPageBreak/>
        <w:t>sa, že takéto subjekty, ak sú nedostatočne regulované, môžu prispieť k rizikám pre finančnú stabilitu;</w:t>
      </w:r>
    </w:p>
    <w:p w14:paraId="77A8E861" w14:textId="77777777" w:rsidR="00832EFF" w:rsidRPr="00065F14" w:rsidRDefault="00832EFF" w:rsidP="00832EFF">
      <w:pPr>
        <w:pStyle w:val="NormalHanging12a"/>
      </w:pPr>
      <w:r w:rsidRPr="00065F14">
        <w:t>26.</w:t>
      </w:r>
      <w:r w:rsidRPr="00065F14">
        <w:tab/>
        <w:t xml:space="preserve">berie na vedomie rozmanitosť obchodných modelov nebankových finančných sprostredkovateľov a ich dôležitú úlohu pri financovaní; zdôrazňuje, že v mnohých odvetviach už existuje európska odvetvová regulácia, napríklad pre </w:t>
      </w:r>
      <w:proofErr w:type="spellStart"/>
      <w:r w:rsidRPr="00065F14">
        <w:t>hedžové</w:t>
      </w:r>
      <w:proofErr w:type="spellEnd"/>
      <w:r w:rsidRPr="00065F14">
        <w:t xml:space="preserve"> fondy (smernica o správcoch alternatívnych investičných fondov</w:t>
      </w:r>
      <w:r w:rsidRPr="00065F14">
        <w:rPr>
          <w:rStyle w:val="FootnoteReference"/>
        </w:rPr>
        <w:footnoteReference w:customMarkFollows="1" w:id="2"/>
        <w:t>2</w:t>
      </w:r>
      <w:r w:rsidRPr="00065F14">
        <w:t>), fondy peňažného trhu (nariadenie o fondoch peňažného trhu</w:t>
      </w:r>
      <w:r w:rsidRPr="00065F14">
        <w:rPr>
          <w:rStyle w:val="FootnoteReference"/>
        </w:rPr>
        <w:footnoteReference w:customMarkFollows="1" w:id="3"/>
        <w:t>3</w:t>
      </w:r>
      <w:r w:rsidRPr="00065F14">
        <w:t>), poisťovne (Solventnosť II), investičné spoločnosti (smernica</w:t>
      </w:r>
      <w:r w:rsidRPr="00065F14">
        <w:rPr>
          <w:rStyle w:val="FootnoteReference"/>
        </w:rPr>
        <w:footnoteReference w:customMarkFollows="1" w:id="4"/>
        <w:t>4</w:t>
      </w:r>
      <w:r w:rsidRPr="00065F14">
        <w:t xml:space="preserve"> a nariadenie</w:t>
      </w:r>
      <w:r w:rsidRPr="00065F14">
        <w:rPr>
          <w:rStyle w:val="FootnoteReference"/>
        </w:rPr>
        <w:footnoteReference w:customMarkFollows="1" w:id="5"/>
        <w:t>5</w:t>
      </w:r>
      <w:r w:rsidRPr="00065F14">
        <w:t xml:space="preserve"> o investičných spoločnostiach) alebo dôchodkové fondy (smernica o inštitúciách zamestnaneckého dôchodkového zabezpečenia</w:t>
      </w:r>
      <w:r w:rsidRPr="00065F14">
        <w:rPr>
          <w:rStyle w:val="FootnoteReference"/>
        </w:rPr>
        <w:footnoteReference w:customMarkFollows="1" w:id="6"/>
        <w:t>6</w:t>
      </w:r>
      <w:r w:rsidRPr="00065F14">
        <w:t>); konštatuje však, že súčasný rámec sa zameriava predovšetkým na ochranu investorov a integritu trhu, a nie na znižovanie systémových rizík</w:t>
      </w:r>
      <w:r w:rsidRPr="00065F14">
        <w:rPr>
          <w:rStyle w:val="FootnoteReference"/>
        </w:rPr>
        <w:footnoteReference w:customMarkFollows="1" w:id="7"/>
        <w:t>7</w:t>
      </w:r>
      <w:r w:rsidRPr="00065F14">
        <w:t>; vyzýva na dôkladné preskúmanie regulačných medzier, pokiaľ ide o nebankových finančných sprostredkovateľov, a to aj v menej regulovaných oblastiach, ako sú rodinné kancelárie a spoločnosti v oblasti financovania dodávateľského reťazca;</w:t>
      </w:r>
    </w:p>
    <w:p w14:paraId="25E7BB0A" w14:textId="77777777" w:rsidR="00832EFF" w:rsidRPr="00065F14" w:rsidRDefault="00832EFF" w:rsidP="00832EFF">
      <w:pPr>
        <w:pStyle w:val="NormalHanging12a"/>
      </w:pPr>
      <w:r w:rsidRPr="00065F14">
        <w:t>27.</w:t>
      </w:r>
      <w:r w:rsidRPr="00065F14">
        <w:tab/>
        <w:t>berie na vedomie správu Komisie z roku 2023 o fungovaní fondov peňažného trhu a nedávne zmeny rámca fondov peňažného trhu; vyzýva Komisiu, aby navrhla reformu nariadenia o fondoch peňažného trhu</w:t>
      </w:r>
      <w:r w:rsidRPr="00065F14">
        <w:rPr>
          <w:rStyle w:val="FootnoteReference"/>
        </w:rPr>
        <w:footnoteReference w:customMarkFollows="1" w:id="8"/>
        <w:t>8</w:t>
      </w:r>
      <w:r w:rsidRPr="00065F14">
        <w:t xml:space="preserve"> v súlade s medzinárodnými normami, regulačným pokrokom dosiahnutým v iných jurisdikciách a odporúčaniami ESRB a ESMA;</w:t>
      </w:r>
    </w:p>
    <w:p w14:paraId="45FF3464" w14:textId="77777777" w:rsidR="00832EFF" w:rsidRPr="00065F14" w:rsidRDefault="00832EFF" w:rsidP="00832EFF">
      <w:pPr>
        <w:pStyle w:val="Normal12a"/>
        <w:rPr>
          <w:b/>
          <w:bCs/>
        </w:rPr>
      </w:pPr>
      <w:r w:rsidRPr="00065F14">
        <w:rPr>
          <w:b/>
          <w:bCs/>
          <w:i/>
        </w:rPr>
        <w:t xml:space="preserve">Riziká likvidity, </w:t>
      </w:r>
      <w:proofErr w:type="spellStart"/>
      <w:r w:rsidRPr="00065F14">
        <w:rPr>
          <w:b/>
          <w:bCs/>
          <w:i/>
        </w:rPr>
        <w:t>dozabezpečenia</w:t>
      </w:r>
      <w:proofErr w:type="spellEnd"/>
      <w:r w:rsidRPr="00065F14">
        <w:rPr>
          <w:b/>
          <w:bCs/>
          <w:i/>
        </w:rPr>
        <w:t xml:space="preserve"> a digitálnych technológií</w:t>
      </w:r>
    </w:p>
    <w:p w14:paraId="6A89BE49" w14:textId="5FD26FCD" w:rsidR="00832EFF" w:rsidRPr="00065F14" w:rsidRDefault="00832EFF" w:rsidP="00832EFF">
      <w:pPr>
        <w:pStyle w:val="NormalHanging12a"/>
      </w:pPr>
      <w:r w:rsidRPr="00065F14">
        <w:t>28.</w:t>
      </w:r>
      <w:r w:rsidRPr="00065F14">
        <w:tab/>
        <w:t xml:space="preserve">zdôrazňuje, že cyklické výzvy na </w:t>
      </w:r>
      <w:proofErr w:type="spellStart"/>
      <w:r w:rsidRPr="00065F14">
        <w:t>dozabezpečenie</w:t>
      </w:r>
      <w:proofErr w:type="spellEnd"/>
      <w:r w:rsidRPr="00065F14">
        <w:t xml:space="preserve"> počas kríz, ako bola pandémia </w:t>
      </w:r>
      <w:r w:rsidR="0009358F" w:rsidRPr="00065F14">
        <w:t xml:space="preserve">ochorenia </w:t>
      </w:r>
      <w:r w:rsidRPr="00065F14">
        <w:t xml:space="preserve">COVID-19 a energetické otrasy v roku 2022, spôsobili značný nedostatok </w:t>
      </w:r>
      <w:r w:rsidRPr="00065F14">
        <w:lastRenderedPageBreak/>
        <w:t>likvidity; poukazuje na význam pripravenosti z hľadiska likvidity a vo všeobecnosti pákového efektu a kapitálových rezerv v tejto súvislosti;</w:t>
      </w:r>
    </w:p>
    <w:p w14:paraId="4155EE2E" w14:textId="77777777" w:rsidR="00832EFF" w:rsidRPr="00065F14" w:rsidRDefault="00832EFF" w:rsidP="00832EFF">
      <w:pPr>
        <w:pStyle w:val="NormalHanging12a"/>
      </w:pPr>
      <w:r w:rsidRPr="00065F14">
        <w:t>29.</w:t>
      </w:r>
      <w:r w:rsidRPr="00065F14">
        <w:tab/>
        <w:t xml:space="preserve">požaduje nástroje na lepšie zachytenie rozsahu a rýchlosti odlevov likvidity vyplývajúcich z výziev na </w:t>
      </w:r>
      <w:proofErr w:type="spellStart"/>
      <w:r w:rsidRPr="00065F14">
        <w:t>dozabezpečenie</w:t>
      </w:r>
      <w:proofErr w:type="spellEnd"/>
      <w:r w:rsidRPr="00065F14">
        <w:t xml:space="preserve"> počas systémových udalostí, najmä v prípade energetických podnikov a nebankových finančných sprostredkovateľov;</w:t>
      </w:r>
    </w:p>
    <w:p w14:paraId="189F37A0" w14:textId="77777777" w:rsidR="00832EFF" w:rsidRPr="00065F14" w:rsidRDefault="00832EFF" w:rsidP="00832EFF">
      <w:pPr>
        <w:pStyle w:val="NormalHanging12a"/>
      </w:pPr>
      <w:r w:rsidRPr="00065F14">
        <w:t>30.</w:t>
      </w:r>
      <w:r w:rsidRPr="00065F14">
        <w:tab/>
        <w:t>zdôrazňuje potrebu odolnej zúčtovacej infraštruktúry, spoľahlivých rámcov pre kolaterál a koordinovaného dohľadu nad centrálnymi protistranami (CCP); berie na vedomie rozhodnutie Komisie predĺžiť režim rovnocennosti pre centrálne protistrany so sídlom v Spojenom kráľovstve a konštatuje, že pretrvávajú obavy týkajúce sa európskej závislosti od centrálnych protistrán z krajín mimo EÚ;</w:t>
      </w:r>
    </w:p>
    <w:p w14:paraId="2F25B198" w14:textId="77777777" w:rsidR="00832EFF" w:rsidRPr="00065F14" w:rsidRDefault="00832EFF" w:rsidP="00832EFF">
      <w:pPr>
        <w:pStyle w:val="NormalHanging12a"/>
      </w:pPr>
      <w:r w:rsidRPr="00065F14">
        <w:t>31.</w:t>
      </w:r>
      <w:r w:rsidRPr="00065F14">
        <w:tab/>
        <w:t xml:space="preserve">podporuje väčšiu transparentnosť a </w:t>
      </w:r>
      <w:proofErr w:type="spellStart"/>
      <w:r w:rsidRPr="00065F14">
        <w:t>makroprudenciálny</w:t>
      </w:r>
      <w:proofErr w:type="spellEnd"/>
      <w:r w:rsidRPr="00065F14">
        <w:t xml:space="preserve"> dohľad nad postupmi stanovovania marží vrátane stresového testovania a analýzy scenárov, pričom vychádza z nedávnej práce FSB o pripravenosti z hľadiska likvidity na výzvy na </w:t>
      </w:r>
      <w:proofErr w:type="spellStart"/>
      <w:r w:rsidRPr="00065F14">
        <w:t>dozabezpečenie</w:t>
      </w:r>
      <w:proofErr w:type="spellEnd"/>
      <w:r w:rsidRPr="00065F14">
        <w:t xml:space="preserve"> a úhradu zábezpeky;</w:t>
      </w:r>
    </w:p>
    <w:p w14:paraId="541ADE19" w14:textId="77777777" w:rsidR="00832EFF" w:rsidRPr="00065F14" w:rsidRDefault="00832EFF" w:rsidP="00832EFF">
      <w:pPr>
        <w:pStyle w:val="NormalHanging12a"/>
      </w:pPr>
      <w:r w:rsidRPr="00065F14">
        <w:t>32.</w:t>
      </w:r>
      <w:r w:rsidRPr="00065F14">
        <w:tab/>
        <w:t xml:space="preserve">vyjadruje znepokojenie nad rastúcimi prepojeniami medzi </w:t>
      </w:r>
      <w:proofErr w:type="spellStart"/>
      <w:r w:rsidRPr="00065F14">
        <w:t>kryptoaktívami</w:t>
      </w:r>
      <w:proofErr w:type="spellEnd"/>
      <w:r w:rsidRPr="00065F14">
        <w:t xml:space="preserve"> a decentralizovanými finančnými trhmi a tradičným finančným systémom; podporuje FSB, normalizačné orgány a ESRB v ich úsilí o zavedenie regulačného rámca a harmonizáciu jeho klasifikácie;</w:t>
      </w:r>
    </w:p>
    <w:p w14:paraId="25C742AB" w14:textId="77777777" w:rsidR="00832EFF" w:rsidRPr="00065F14" w:rsidRDefault="00832EFF" w:rsidP="00832EFF">
      <w:pPr>
        <w:pStyle w:val="NormalHanging12a"/>
      </w:pPr>
      <w:r w:rsidRPr="00065F14">
        <w:t>33.</w:t>
      </w:r>
      <w:r w:rsidRPr="00065F14">
        <w:tab/>
        <w:t xml:space="preserve">berie na vedomie analýzu FSB, že riziká pre finančnú stabilitu vyplývajúce z trhov s </w:t>
      </w:r>
      <w:proofErr w:type="spellStart"/>
      <w:r w:rsidRPr="00065F14">
        <w:t>kryptoaktívami</w:t>
      </w:r>
      <w:proofErr w:type="spellEnd"/>
      <w:r w:rsidRPr="00065F14">
        <w:t xml:space="preserve"> sa zatiaľ javia ako obmedzené</w:t>
      </w:r>
      <w:r w:rsidRPr="00065F14">
        <w:rPr>
          <w:rStyle w:val="FootnoteReference"/>
        </w:rPr>
        <w:footnoteReference w:customMarkFollows="1" w:id="9"/>
        <w:t>9</w:t>
      </w:r>
      <w:r w:rsidRPr="00065F14">
        <w:t xml:space="preserve">; upozorňuje však na možný systémový význam vývoja na trhoch s </w:t>
      </w:r>
      <w:proofErr w:type="spellStart"/>
      <w:r w:rsidRPr="00065F14">
        <w:t>kryptoaktívami</w:t>
      </w:r>
      <w:proofErr w:type="spellEnd"/>
      <w:r w:rsidRPr="00065F14">
        <w:t xml:space="preserve">; poukazuje na veľmi špekulatívny charakter </w:t>
      </w:r>
      <w:proofErr w:type="spellStart"/>
      <w:r w:rsidRPr="00065F14">
        <w:t>kryptoaktív</w:t>
      </w:r>
      <w:proofErr w:type="spellEnd"/>
      <w:r w:rsidRPr="00065F14">
        <w:t xml:space="preserve"> a ich významnú úlohu v nezákonných transakciách; naliehavo vyzýva Komisiu a ESRB, aby pozorne sledovali vývoj v tejto oblasti;</w:t>
      </w:r>
    </w:p>
    <w:p w14:paraId="68556EF0" w14:textId="77777777" w:rsidR="00832EFF" w:rsidRPr="00065F14" w:rsidRDefault="00832EFF" w:rsidP="00832EFF">
      <w:pPr>
        <w:pStyle w:val="NormalHanging12a"/>
      </w:pPr>
      <w:r w:rsidRPr="00065F14">
        <w:t>34.</w:t>
      </w:r>
      <w:r w:rsidRPr="00065F14">
        <w:tab/>
        <w:t xml:space="preserve">víta skutočnosť, že Európska únia zaviedla </w:t>
      </w:r>
      <w:proofErr w:type="spellStart"/>
      <w:r w:rsidRPr="00065F14">
        <w:t>prudenciálny</w:t>
      </w:r>
      <w:proofErr w:type="spellEnd"/>
      <w:r w:rsidRPr="00065F14">
        <w:t xml:space="preserve"> rámec pre </w:t>
      </w:r>
      <w:proofErr w:type="spellStart"/>
      <w:r w:rsidRPr="00065F14">
        <w:t>kryptoaktíva</w:t>
      </w:r>
      <w:proofErr w:type="spellEnd"/>
      <w:r w:rsidRPr="00065F14">
        <w:t xml:space="preserve"> (</w:t>
      </w:r>
      <w:proofErr w:type="spellStart"/>
      <w:r w:rsidRPr="00065F14">
        <w:t>MiCAR</w:t>
      </w:r>
      <w:proofErr w:type="spellEnd"/>
      <w:r w:rsidRPr="00065F14">
        <w:t>); zdôrazňuje význam jeho včasného a konzistentného vykonávania a vyzýva Komisiu, aby monitorovala zostávajúce regulačné medzery;</w:t>
      </w:r>
    </w:p>
    <w:p w14:paraId="308DDEB5" w14:textId="77777777" w:rsidR="00832EFF" w:rsidRPr="00065F14" w:rsidRDefault="00832EFF" w:rsidP="00832EFF">
      <w:pPr>
        <w:pStyle w:val="NormalHanging12a"/>
      </w:pPr>
      <w:r w:rsidRPr="00065F14">
        <w:t>35.</w:t>
      </w:r>
      <w:r w:rsidRPr="00065F14">
        <w:tab/>
        <w:t xml:space="preserve">upozorňuje na rýchly rast trhu so </w:t>
      </w:r>
      <w:proofErr w:type="spellStart"/>
      <w:r w:rsidRPr="00065F14">
        <w:t>stablecoinmi</w:t>
      </w:r>
      <w:proofErr w:type="spellEnd"/>
      <w:r w:rsidRPr="00065F14">
        <w:t xml:space="preserve">, ktorý je zatiaľ do veľkej miery obmedzený na ekosystém </w:t>
      </w:r>
      <w:proofErr w:type="spellStart"/>
      <w:r w:rsidRPr="00065F14">
        <w:t>kryptoaktív</w:t>
      </w:r>
      <w:proofErr w:type="spellEnd"/>
      <w:r w:rsidRPr="00065F14">
        <w:t xml:space="preserve">; konštatuje, že regulačné prostredie, pokiaľ ide o </w:t>
      </w:r>
      <w:proofErr w:type="spellStart"/>
      <w:r w:rsidRPr="00065F14">
        <w:t>stablecoiny</w:t>
      </w:r>
      <w:proofErr w:type="spellEnd"/>
      <w:r w:rsidRPr="00065F14">
        <w:t xml:space="preserve"> v hlavných jurisdikciách krajín mimo EÚ, sa rýchlo mení; naliehavo vyzýva Komisiu, aby posúdila, či existujú potenciálne kanály nákazy, ako napríklad v prípade viacnásobných emisií;</w:t>
      </w:r>
    </w:p>
    <w:p w14:paraId="4DA58059" w14:textId="77777777" w:rsidR="00832EFF" w:rsidRPr="00065F14" w:rsidRDefault="00832EFF" w:rsidP="00832EFF">
      <w:pPr>
        <w:pStyle w:val="NormalHanging12a"/>
      </w:pPr>
      <w:r w:rsidRPr="00065F14">
        <w:t>36.</w:t>
      </w:r>
      <w:r w:rsidRPr="00065F14">
        <w:tab/>
        <w:t>vyzdvihuje, že Únia prijala opatrenia na posilnenie digitálnej odolnosti finančných subjektov, najmä prostredníctvom aktu o digitálnej prevádzkovej odolnosti</w:t>
      </w:r>
      <w:r w:rsidRPr="00065F14">
        <w:rPr>
          <w:rStyle w:val="FootnoteReference"/>
        </w:rPr>
        <w:footnoteReference w:customMarkFollows="1" w:id="10"/>
        <w:t>10</w:t>
      </w:r>
      <w:r w:rsidRPr="00065F14">
        <w:t xml:space="preserve">; podporuje inovácie v oblasti digitálnych financií a rozsiahle investície do kybernetickej odolnosti s cieľom chrániť finančnú infraštruktúru pred vonkajšími hrozbami; vyzýva Komisiu a ECB, aby zmapovali a riešili závislosť európskeho finančného systému od </w:t>
      </w:r>
      <w:r w:rsidRPr="00065F14">
        <w:lastRenderedPageBreak/>
        <w:t>poskytovateľov digitálnych služieb z krajín mimo EÚ, jediných bodov zlyhania a rizika hybridných útokov;</w:t>
      </w:r>
    </w:p>
    <w:p w14:paraId="6139B1D1" w14:textId="77777777" w:rsidR="00832EFF" w:rsidRPr="00065F14" w:rsidRDefault="00832EFF" w:rsidP="00832EFF">
      <w:pPr>
        <w:pStyle w:val="NormalHanging12a"/>
      </w:pPr>
      <w:r w:rsidRPr="00065F14">
        <w:t>37.</w:t>
      </w:r>
      <w:r w:rsidRPr="00065F14">
        <w:tab/>
        <w:t>zdôrazňuje, že zlepšenie finančnej gramotnosti môže prispieť k odolnosti jednotlivcov, stabilnejším finančným trhom a zvýšenej účasti v únii kapitálových trhov;</w:t>
      </w:r>
    </w:p>
    <w:p w14:paraId="7D6796CF" w14:textId="77777777" w:rsidR="00832EFF" w:rsidRPr="00065F14" w:rsidRDefault="00832EFF" w:rsidP="00832EFF">
      <w:pPr>
        <w:pStyle w:val="NormalHanging12a"/>
      </w:pPr>
      <w:r w:rsidRPr="00065F14">
        <w:t>38.</w:t>
      </w:r>
      <w:r w:rsidRPr="00065F14">
        <w:tab/>
        <w:t>konštatuje, že zachovanie primeranej a spoľahlivej logistiky a infraštruktúry pre dostupnosť hotovosti zostáva základným prvkom finančnej stability a dôvery verejnosti;</w:t>
      </w:r>
    </w:p>
    <w:p w14:paraId="0A117505" w14:textId="77777777" w:rsidR="00832EFF" w:rsidRPr="00065F14" w:rsidRDefault="00832EFF" w:rsidP="00832EFF">
      <w:pPr>
        <w:pStyle w:val="Normal12a"/>
        <w:rPr>
          <w:b/>
          <w:bCs/>
        </w:rPr>
      </w:pPr>
      <w:r w:rsidRPr="00065F14">
        <w:rPr>
          <w:b/>
          <w:bCs/>
          <w:i/>
        </w:rPr>
        <w:t>Posilnenie súdržnosti dohľadu, dátových spôsobilostí a pripravenosti na krízy</w:t>
      </w:r>
    </w:p>
    <w:p w14:paraId="5AC2F0FE" w14:textId="77777777" w:rsidR="00832EFF" w:rsidRPr="00065F14" w:rsidRDefault="00832EFF" w:rsidP="00832EFF">
      <w:pPr>
        <w:pStyle w:val="NormalHanging12a"/>
      </w:pPr>
      <w:r w:rsidRPr="00065F14">
        <w:t>39.</w:t>
      </w:r>
      <w:r w:rsidRPr="00065F14">
        <w:tab/>
        <w:t>podporuje holistický, súdržnejší systémový a na činnostiach založený prístup dohľadu, ktorý identifikuje a rieši riziká a slabé miesta spojené s rôznymi druhmi činností v celom finančnom sektore, ako sú poskytovanie úverov, transakcie a správa aktív;</w:t>
      </w:r>
    </w:p>
    <w:p w14:paraId="03A4389D" w14:textId="77777777" w:rsidR="00832EFF" w:rsidRPr="00065F14" w:rsidRDefault="00832EFF" w:rsidP="00832EFF">
      <w:pPr>
        <w:pStyle w:val="NormalHanging12a"/>
      </w:pPr>
      <w:r w:rsidRPr="00065F14">
        <w:t>40.</w:t>
      </w:r>
      <w:r w:rsidRPr="00065F14">
        <w:tab/>
        <w:t>zdôrazňuje význam spoľahlivého a dôveryhodného rámca krízového riadenia; upozorňuje na úlohu jednotného mechanizmu riešenia krízových situácií (SRM) pri zabezpečovaní spoľahlivého riešenia problému zlyhávajúcich inštitúcií a podporuje funkciu ECB ako veriteľa poslednej inštancie na zabezpečenie likvidity a dôvery počas kríz; konštatuje, že stále chýba zabezpečovací mechanizmus pre jednotný fond na riešenie krízových situácií;</w:t>
      </w:r>
    </w:p>
    <w:p w14:paraId="4E1C8792" w14:textId="77777777" w:rsidR="00832EFF" w:rsidRPr="00065F14" w:rsidRDefault="00832EFF" w:rsidP="00832EFF">
      <w:pPr>
        <w:pStyle w:val="NormalHanging12a"/>
      </w:pPr>
      <w:r w:rsidRPr="00065F14">
        <w:t>41.</w:t>
      </w:r>
      <w:r w:rsidRPr="00065F14">
        <w:tab/>
        <w:t>podporuje ECB, ESRB, európske a vnútroštátne orgány dohľadu a Úrad pre boj proti praniu špinavých peňazí a financovaniu terorizmu pri ochrane finančnej stability EÚ a riešení vznikajúcich globálnych finančných rizík vrátane jednotného dohľadu orgánu ESMA nad systémovými cezhraničnými nebankovými finančnými sprostredkovateľmi;</w:t>
      </w:r>
    </w:p>
    <w:p w14:paraId="3789D025" w14:textId="77777777" w:rsidR="00832EFF" w:rsidRPr="00065F14" w:rsidRDefault="00832EFF" w:rsidP="00832EFF">
      <w:pPr>
        <w:pStyle w:val="NormalHanging12a"/>
      </w:pPr>
      <w:r w:rsidRPr="00065F14">
        <w:t>42.</w:t>
      </w:r>
      <w:r w:rsidRPr="00065F14">
        <w:tab/>
        <w:t>varuje pred regulačnou arbitrážou a zdôrazňuje potrebu riešiť skryté slabé miesta pákového efektu, ktoré boli odhalené v minulých prípadoch narušenia;</w:t>
      </w:r>
    </w:p>
    <w:p w14:paraId="3D02E8B1" w14:textId="77777777" w:rsidR="00832EFF" w:rsidRPr="00065F14" w:rsidRDefault="00832EFF" w:rsidP="00832EFF">
      <w:pPr>
        <w:pStyle w:val="NormalHanging12a"/>
      </w:pPr>
      <w:r w:rsidRPr="00065F14">
        <w:t>43.</w:t>
      </w:r>
      <w:r w:rsidRPr="00065F14">
        <w:tab/>
        <w:t>vyzýva Komisiu, aby zachovala vysokú úroveň ambícií pri vykonávaní odporúčaní FSB týkajúcich sa zadlženia v EÚ;</w:t>
      </w:r>
    </w:p>
    <w:p w14:paraId="33A5B28E" w14:textId="77777777" w:rsidR="00832EFF" w:rsidRPr="00065F14" w:rsidRDefault="00832EFF" w:rsidP="00832EFF">
      <w:pPr>
        <w:pStyle w:val="NormalHanging12a"/>
      </w:pPr>
      <w:r w:rsidRPr="00065F14">
        <w:t>44.</w:t>
      </w:r>
      <w:r w:rsidRPr="00065F14">
        <w:tab/>
        <w:t>zdôrazňuje, že orgány na vnútroštátnej úrovni aj na úrovni EÚ by mali mať kvalitné, ľahko dostupné údaje a primerané zdroje na ich analýzu;</w:t>
      </w:r>
    </w:p>
    <w:p w14:paraId="76BFCCC5" w14:textId="77777777" w:rsidR="00832EFF" w:rsidRPr="00065F14" w:rsidRDefault="00832EFF" w:rsidP="00832EFF">
      <w:pPr>
        <w:pStyle w:val="NormalHanging12a"/>
      </w:pPr>
      <w:r w:rsidRPr="00065F14">
        <w:t>45.</w:t>
      </w:r>
      <w:r w:rsidRPr="00065F14">
        <w:tab/>
        <w:t xml:space="preserve">vyzýva na zvýšenie transparentnosti, kapacít na analýzu údajov a zefektívnenie mechanizmov výmeny údajov medzi vnútroštátnymi orgánmi a orgánmi EÚ, pokiaľ ide o záruky ochrany údajov, s cieľom podporiť komplexnejší rámec monitorovania rizík a spôsobilosti </w:t>
      </w:r>
      <w:proofErr w:type="spellStart"/>
      <w:r w:rsidRPr="00065F14">
        <w:t>celosystémového</w:t>
      </w:r>
      <w:proofErr w:type="spellEnd"/>
      <w:r w:rsidRPr="00065F14">
        <w:t xml:space="preserve"> záťažového testovania vrátane kybernetickej odolnosti, výpadkov energie a rámca zábezpek; konštatuje, že niektoré vnútroštátne orgány už oznámili svoj zámer vykonať záťažové testy prepojení medzi bankovým sektorom a sektorom nebankových finančných sprostredkovateľov;</w:t>
      </w:r>
    </w:p>
    <w:p w14:paraId="371FA3F1" w14:textId="77777777" w:rsidR="00832EFF" w:rsidRPr="00065F14" w:rsidRDefault="00832EFF" w:rsidP="00832EFF">
      <w:pPr>
        <w:pStyle w:val="NormalHanging12a"/>
      </w:pPr>
      <w:r w:rsidRPr="00065F14">
        <w:t>46.</w:t>
      </w:r>
      <w:r w:rsidRPr="00065F14">
        <w:tab/>
        <w:t>vyzýva na posilnenie spolupráce s medzinárodnými finančnými inštitúciami vrátane MMF, Bazilejského výboru pre bankový dohľad, BIS a FSB s cieľom riešiť cezhraničné riziká pre stabilitu;</w:t>
      </w:r>
    </w:p>
    <w:p w14:paraId="53E1307D" w14:textId="77777777" w:rsidR="00832EFF" w:rsidRPr="00065F14" w:rsidRDefault="00832EFF" w:rsidP="00832EFF">
      <w:pPr>
        <w:pStyle w:val="NormalCenter12a"/>
      </w:pPr>
      <w:r w:rsidRPr="00065F14">
        <w:t>°</w:t>
      </w:r>
    </w:p>
    <w:p w14:paraId="010E0062" w14:textId="77777777" w:rsidR="00832EFF" w:rsidRPr="00065F14" w:rsidRDefault="00832EFF" w:rsidP="00832EFF">
      <w:pPr>
        <w:pStyle w:val="NormalCenter12a"/>
      </w:pPr>
      <w:r w:rsidRPr="00065F14">
        <w:t>°</w:t>
      </w:r>
      <w:r w:rsidRPr="00065F14">
        <w:tab/>
        <w:t>°</w:t>
      </w:r>
    </w:p>
    <w:p w14:paraId="11316255" w14:textId="43754F0F" w:rsidR="00B91DDE" w:rsidRPr="00065F14" w:rsidRDefault="00832EFF" w:rsidP="00B91DDE">
      <w:pPr>
        <w:pStyle w:val="NormalHanging12a"/>
      </w:pPr>
      <w:r w:rsidRPr="00065F14">
        <w:lastRenderedPageBreak/>
        <w:t>47.</w:t>
      </w:r>
      <w:r w:rsidRPr="00065F14">
        <w:tab/>
        <w:t>poveruje svoju predsedníčku, aby postúpila toto uznesenie Rade a Komisii.</w:t>
      </w:r>
    </w:p>
    <w:p w14:paraId="75F10F65" w14:textId="1099CF98" w:rsidR="00E365E1" w:rsidRPr="00065F14" w:rsidRDefault="00E365E1" w:rsidP="005171D8"/>
    <w:sectPr w:rsidR="00E365E1" w:rsidRPr="00065F14" w:rsidSect="00B91D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E30F2" w14:textId="77777777" w:rsidR="005171D8" w:rsidRPr="00B91DDE" w:rsidRDefault="005171D8">
      <w:r w:rsidRPr="00B91DDE">
        <w:separator/>
      </w:r>
    </w:p>
  </w:endnote>
  <w:endnote w:type="continuationSeparator" w:id="0">
    <w:p w14:paraId="01FCE62E" w14:textId="77777777" w:rsidR="005171D8" w:rsidRPr="00B91DDE" w:rsidRDefault="005171D8">
      <w:r w:rsidRPr="00B91D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D29B6" w14:textId="77777777" w:rsidR="00064002" w:rsidRPr="00B91DD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DBD81" w14:textId="77777777" w:rsidR="00064002" w:rsidRPr="00B91DD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02E85" w14:textId="77777777" w:rsidR="00064002" w:rsidRPr="00B91DD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8AA85" w14:textId="77777777" w:rsidR="005171D8" w:rsidRPr="00B91DDE" w:rsidRDefault="005171D8">
      <w:r w:rsidRPr="00B91DDE">
        <w:separator/>
      </w:r>
    </w:p>
  </w:footnote>
  <w:footnote w:type="continuationSeparator" w:id="0">
    <w:p w14:paraId="1BC30923" w14:textId="77777777" w:rsidR="005171D8" w:rsidRPr="00B91DDE" w:rsidRDefault="005171D8">
      <w:r w:rsidRPr="00B91DDE">
        <w:continuationSeparator/>
      </w:r>
    </w:p>
  </w:footnote>
  <w:footnote w:id="1">
    <w:p w14:paraId="4CED042C" w14:textId="56344D9E" w:rsidR="00832EFF" w:rsidRPr="0009358F" w:rsidRDefault="00832EFF" w:rsidP="00B91DDE">
      <w:pPr>
        <w:pStyle w:val="FootnoteText"/>
        <w:ind w:left="567" w:hanging="567"/>
        <w:rPr>
          <w:sz w:val="24"/>
          <w:szCs w:val="24"/>
          <w:lang w:val="sk-SK"/>
        </w:rPr>
      </w:pPr>
      <w:r w:rsidRPr="0009358F">
        <w:rPr>
          <w:sz w:val="24"/>
          <w:szCs w:val="24"/>
          <w:vertAlign w:val="superscript"/>
          <w:lang w:val="sk-SK"/>
        </w:rPr>
        <w:t>1</w:t>
      </w:r>
      <w:r w:rsidR="00B91DDE" w:rsidRPr="0009358F">
        <w:rPr>
          <w:sz w:val="24"/>
          <w:szCs w:val="24"/>
          <w:vertAlign w:val="superscript"/>
          <w:lang w:val="sk-SK"/>
        </w:rPr>
        <w:t xml:space="preserve"> </w:t>
      </w:r>
      <w:r w:rsidR="00B91DDE" w:rsidRPr="0009358F">
        <w:rPr>
          <w:sz w:val="24"/>
          <w:szCs w:val="24"/>
          <w:vertAlign w:val="superscript"/>
          <w:lang w:val="sk-SK"/>
        </w:rPr>
        <w:tab/>
      </w:r>
      <w:r w:rsidRPr="0009358F">
        <w:rPr>
          <w:sz w:val="24"/>
          <w:szCs w:val="24"/>
          <w:lang w:val="sk-SK"/>
        </w:rPr>
        <w:t>Ú. v. EÚ C 33</w:t>
      </w:r>
      <w:r w:rsidR="00066860">
        <w:rPr>
          <w:sz w:val="24"/>
          <w:szCs w:val="24"/>
          <w:lang w:val="sk-SK"/>
        </w:rPr>
        <w:t> </w:t>
      </w:r>
      <w:r w:rsidRPr="0009358F">
        <w:rPr>
          <w:sz w:val="24"/>
          <w:szCs w:val="24"/>
          <w:lang w:val="sk-SK"/>
        </w:rPr>
        <w:t>E, 5.2.2013, s. 140.</w:t>
      </w:r>
    </w:p>
  </w:footnote>
  <w:footnote w:id="2">
    <w:p w14:paraId="3BC5E51D" w14:textId="186A244B" w:rsidR="00832EFF" w:rsidRPr="0009358F" w:rsidRDefault="00832EFF" w:rsidP="00B91DDE">
      <w:pPr>
        <w:pStyle w:val="FootnoteText"/>
        <w:ind w:left="567" w:hanging="567"/>
        <w:rPr>
          <w:sz w:val="24"/>
          <w:szCs w:val="24"/>
          <w:lang w:val="sk-SK"/>
        </w:rPr>
      </w:pPr>
      <w:r w:rsidRPr="0009358F">
        <w:rPr>
          <w:sz w:val="24"/>
          <w:szCs w:val="24"/>
          <w:vertAlign w:val="superscript"/>
          <w:lang w:val="sk-SK"/>
        </w:rPr>
        <w:t>2</w:t>
      </w:r>
      <w:r w:rsidR="00B91DDE" w:rsidRPr="0009358F">
        <w:rPr>
          <w:sz w:val="24"/>
          <w:szCs w:val="24"/>
          <w:vertAlign w:val="superscript"/>
          <w:lang w:val="sk-SK"/>
        </w:rPr>
        <w:t xml:space="preserve"> </w:t>
      </w:r>
      <w:r w:rsidR="00B91DDE" w:rsidRPr="0009358F">
        <w:rPr>
          <w:sz w:val="24"/>
          <w:szCs w:val="24"/>
          <w:vertAlign w:val="superscript"/>
          <w:lang w:val="sk-SK"/>
        </w:rPr>
        <w:tab/>
      </w:r>
      <w:r w:rsidRPr="0009358F">
        <w:rPr>
          <w:sz w:val="24"/>
          <w:szCs w:val="24"/>
          <w:lang w:val="sk-SK"/>
        </w:rPr>
        <w:t xml:space="preserve">Smernica Európskeho parlamentu a Rady 2011/61/EÚ z 8. júna 2011 o správcoch alternatívnych investičných fondov a o zmene a doplnení smerníc 2003/41/ES a 2009/65/ES a nariadení (ES) č. 1060/2009 a (EÚ) č. 1095/2010 (Ú. v. EÚ L 174, 1.7.2011, s. 1, ELI: </w:t>
      </w:r>
      <w:hyperlink r:id="rId1" w:tgtFrame="http://data.europa.eu/eli/dir/2011/61/oj" w:history="1">
        <w:r w:rsidRPr="0009358F">
          <w:rPr>
            <w:rStyle w:val="Hyperlink"/>
            <w:sz w:val="24"/>
            <w:szCs w:val="24"/>
            <w:lang w:val="sk-SK"/>
          </w:rPr>
          <w:t>http://data.europa.eu/eli/dir/2011/61/oj</w:t>
        </w:r>
      </w:hyperlink>
      <w:r w:rsidRPr="0009358F">
        <w:rPr>
          <w:sz w:val="24"/>
          <w:szCs w:val="24"/>
          <w:lang w:val="sk-SK"/>
        </w:rPr>
        <w:t>).</w:t>
      </w:r>
    </w:p>
  </w:footnote>
  <w:footnote w:id="3">
    <w:p w14:paraId="31F35284" w14:textId="6716DFD7" w:rsidR="00832EFF" w:rsidRPr="0009358F" w:rsidRDefault="00832EFF" w:rsidP="00B91DDE">
      <w:pPr>
        <w:pStyle w:val="FootnoteText"/>
        <w:ind w:left="567" w:hanging="567"/>
        <w:rPr>
          <w:sz w:val="24"/>
          <w:szCs w:val="24"/>
          <w:lang w:val="sk-SK"/>
        </w:rPr>
      </w:pPr>
      <w:r w:rsidRPr="0009358F">
        <w:rPr>
          <w:sz w:val="24"/>
          <w:szCs w:val="24"/>
          <w:vertAlign w:val="superscript"/>
          <w:lang w:val="sk-SK"/>
        </w:rPr>
        <w:t>3</w:t>
      </w:r>
      <w:r w:rsidR="00B91DDE" w:rsidRPr="0009358F">
        <w:rPr>
          <w:sz w:val="24"/>
          <w:szCs w:val="24"/>
          <w:vertAlign w:val="superscript"/>
          <w:lang w:val="sk-SK"/>
        </w:rPr>
        <w:t xml:space="preserve"> </w:t>
      </w:r>
      <w:r w:rsidR="00B91DDE" w:rsidRPr="0009358F">
        <w:rPr>
          <w:sz w:val="24"/>
          <w:szCs w:val="24"/>
          <w:vertAlign w:val="superscript"/>
          <w:lang w:val="sk-SK"/>
        </w:rPr>
        <w:tab/>
      </w:r>
      <w:r w:rsidRPr="0009358F">
        <w:rPr>
          <w:sz w:val="24"/>
          <w:szCs w:val="24"/>
          <w:lang w:val="sk-SK"/>
        </w:rPr>
        <w:t xml:space="preserve">Nariadenie Európskeho parlamentu a Rady (EÚ) 2017/1131 zo 14. júna 2017 o fondoch peňažného trhu, (Ú. v. EÚ L 169, 30.6.2017, s. 8, ELI: </w:t>
      </w:r>
      <w:hyperlink r:id="rId2" w:tgtFrame="http://data.europa.eu/eli/reg/2017/1131/oj" w:history="1">
        <w:r w:rsidRPr="0009358F">
          <w:rPr>
            <w:rStyle w:val="Hyperlink"/>
            <w:sz w:val="24"/>
            <w:szCs w:val="24"/>
            <w:lang w:val="sk-SK"/>
          </w:rPr>
          <w:t>http://data.europa.eu/eli/reg/2017/1131/oj</w:t>
        </w:r>
      </w:hyperlink>
      <w:r w:rsidRPr="0009358F">
        <w:rPr>
          <w:sz w:val="24"/>
          <w:szCs w:val="24"/>
          <w:lang w:val="sk-SK"/>
        </w:rPr>
        <w:t>).</w:t>
      </w:r>
    </w:p>
  </w:footnote>
  <w:footnote w:id="4">
    <w:p w14:paraId="5EB168A5" w14:textId="60DF0BE0" w:rsidR="00832EFF" w:rsidRPr="0009358F" w:rsidRDefault="00832EFF" w:rsidP="00B91DDE">
      <w:pPr>
        <w:pStyle w:val="FootnoteText"/>
        <w:ind w:left="567" w:hanging="567"/>
        <w:rPr>
          <w:sz w:val="24"/>
          <w:szCs w:val="24"/>
          <w:lang w:val="sk-SK"/>
        </w:rPr>
      </w:pPr>
      <w:r w:rsidRPr="0009358F">
        <w:rPr>
          <w:sz w:val="24"/>
          <w:szCs w:val="24"/>
          <w:vertAlign w:val="superscript"/>
          <w:lang w:val="sk-SK"/>
        </w:rPr>
        <w:t>4</w:t>
      </w:r>
      <w:r w:rsidR="00B91DDE" w:rsidRPr="0009358F">
        <w:rPr>
          <w:sz w:val="24"/>
          <w:szCs w:val="24"/>
          <w:vertAlign w:val="superscript"/>
          <w:lang w:val="sk-SK"/>
        </w:rPr>
        <w:t xml:space="preserve"> </w:t>
      </w:r>
      <w:r w:rsidR="00B91DDE" w:rsidRPr="0009358F">
        <w:rPr>
          <w:sz w:val="24"/>
          <w:szCs w:val="24"/>
          <w:vertAlign w:val="superscript"/>
          <w:lang w:val="sk-SK"/>
        </w:rPr>
        <w:tab/>
      </w:r>
      <w:r w:rsidRPr="0009358F">
        <w:rPr>
          <w:sz w:val="24"/>
          <w:szCs w:val="24"/>
          <w:lang w:val="sk-SK"/>
        </w:rPr>
        <w:t>Smernica Európskeho parlamentu a Rady (EÚ) 2019/2034 z 27. novembra 2019 o </w:t>
      </w:r>
      <w:proofErr w:type="spellStart"/>
      <w:r w:rsidRPr="0009358F">
        <w:rPr>
          <w:sz w:val="24"/>
          <w:szCs w:val="24"/>
          <w:lang w:val="sk-SK"/>
        </w:rPr>
        <w:t>prudenciálnom</w:t>
      </w:r>
      <w:proofErr w:type="spellEnd"/>
      <w:r w:rsidRPr="0009358F">
        <w:rPr>
          <w:sz w:val="24"/>
          <w:szCs w:val="24"/>
          <w:lang w:val="sk-SK"/>
        </w:rPr>
        <w:t xml:space="preserve"> dohľade nad investičnými spoločnosťami a o zmene smerníc 2002/87/ES, 2009/65/ES, 2011/61/EÚ, 2013/36/EÚ, 2014/59/EÚ a 2014/65/EÚ (Ú. v. EÚ L 314, 5.12.2019, s. 64, ELI: </w:t>
      </w:r>
      <w:hyperlink r:id="rId3" w:tgtFrame="http://data.europa.eu/eli/dir/2019/2034/oj" w:history="1">
        <w:r w:rsidRPr="0009358F">
          <w:rPr>
            <w:rStyle w:val="Hyperlink"/>
            <w:sz w:val="24"/>
            <w:szCs w:val="24"/>
            <w:lang w:val="sk-SK"/>
          </w:rPr>
          <w:t>http://data.europa.eu/eli/dir/2019/2034/oj</w:t>
        </w:r>
      </w:hyperlink>
      <w:r w:rsidRPr="0009358F">
        <w:rPr>
          <w:sz w:val="24"/>
          <w:szCs w:val="24"/>
          <w:lang w:val="sk-SK"/>
        </w:rPr>
        <w:t>).</w:t>
      </w:r>
    </w:p>
  </w:footnote>
  <w:footnote w:id="5">
    <w:p w14:paraId="570861D9" w14:textId="5187E9D2" w:rsidR="00832EFF" w:rsidRPr="0009358F" w:rsidRDefault="00832EFF" w:rsidP="00B91DDE">
      <w:pPr>
        <w:pStyle w:val="FootnoteText"/>
        <w:ind w:left="567" w:hanging="567"/>
        <w:rPr>
          <w:sz w:val="24"/>
          <w:szCs w:val="24"/>
          <w:lang w:val="sk-SK"/>
        </w:rPr>
      </w:pPr>
      <w:r w:rsidRPr="0009358F">
        <w:rPr>
          <w:sz w:val="24"/>
          <w:szCs w:val="24"/>
          <w:vertAlign w:val="superscript"/>
          <w:lang w:val="sk-SK"/>
        </w:rPr>
        <w:t>5</w:t>
      </w:r>
      <w:r w:rsidR="00B91DDE" w:rsidRPr="0009358F">
        <w:rPr>
          <w:sz w:val="24"/>
          <w:szCs w:val="24"/>
          <w:vertAlign w:val="superscript"/>
          <w:lang w:val="sk-SK"/>
        </w:rPr>
        <w:t xml:space="preserve"> </w:t>
      </w:r>
      <w:r w:rsidR="00B91DDE" w:rsidRPr="0009358F">
        <w:rPr>
          <w:sz w:val="24"/>
          <w:szCs w:val="24"/>
          <w:vertAlign w:val="superscript"/>
          <w:lang w:val="sk-SK"/>
        </w:rPr>
        <w:tab/>
      </w:r>
      <w:r w:rsidRPr="0009358F">
        <w:rPr>
          <w:sz w:val="24"/>
          <w:szCs w:val="24"/>
          <w:lang w:val="sk-SK"/>
        </w:rPr>
        <w:t>Nariadenie Európskeho parlamentu a Rady (EÚ) 2019/2033 z 27. novembra 2019 o </w:t>
      </w:r>
      <w:proofErr w:type="spellStart"/>
      <w:r w:rsidRPr="0009358F">
        <w:rPr>
          <w:sz w:val="24"/>
          <w:szCs w:val="24"/>
          <w:lang w:val="sk-SK"/>
        </w:rPr>
        <w:t>prudenciálnych</w:t>
      </w:r>
      <w:proofErr w:type="spellEnd"/>
      <w:r w:rsidRPr="0009358F">
        <w:rPr>
          <w:sz w:val="24"/>
          <w:szCs w:val="24"/>
          <w:lang w:val="sk-SK"/>
        </w:rPr>
        <w:t xml:space="preserve"> požiadavkách na investičné spoločnosti a o zmene nariadení (EÚ) č. 1093/2010, (EÚ) č. 575/2013, (EÚ) č. 600/2014 a (EÚ) č. 806/2014 (Ú. v. EÚ L 314, 5.12.2019, s. 1, ELI: </w:t>
      </w:r>
      <w:hyperlink r:id="rId4" w:tgtFrame="http://data.europa.eu/eli/reg/2019/2033/oj" w:history="1">
        <w:r w:rsidRPr="0009358F">
          <w:rPr>
            <w:rStyle w:val="Hyperlink"/>
            <w:sz w:val="24"/>
            <w:szCs w:val="24"/>
            <w:lang w:val="sk-SK"/>
          </w:rPr>
          <w:t>http://data.europa.eu/eli/reg/2019/2033/oj</w:t>
        </w:r>
      </w:hyperlink>
      <w:r w:rsidRPr="0009358F">
        <w:rPr>
          <w:sz w:val="24"/>
          <w:szCs w:val="24"/>
          <w:lang w:val="sk-SK"/>
        </w:rPr>
        <w:t>).</w:t>
      </w:r>
    </w:p>
  </w:footnote>
  <w:footnote w:id="6">
    <w:p w14:paraId="779EAEDA" w14:textId="3F82C520" w:rsidR="00832EFF" w:rsidRPr="0009358F" w:rsidRDefault="00832EFF" w:rsidP="00B91DDE">
      <w:pPr>
        <w:pStyle w:val="FootnoteText"/>
        <w:ind w:left="567" w:hanging="567"/>
        <w:rPr>
          <w:sz w:val="24"/>
          <w:szCs w:val="24"/>
          <w:lang w:val="sk-SK"/>
        </w:rPr>
      </w:pPr>
      <w:r w:rsidRPr="0009358F">
        <w:rPr>
          <w:sz w:val="24"/>
          <w:szCs w:val="24"/>
          <w:vertAlign w:val="superscript"/>
          <w:lang w:val="sk-SK"/>
        </w:rPr>
        <w:t>6</w:t>
      </w:r>
      <w:r w:rsidR="00B91DDE" w:rsidRPr="0009358F">
        <w:rPr>
          <w:sz w:val="24"/>
          <w:szCs w:val="24"/>
          <w:vertAlign w:val="superscript"/>
          <w:lang w:val="sk-SK"/>
        </w:rPr>
        <w:t xml:space="preserve"> </w:t>
      </w:r>
      <w:r w:rsidR="00B91DDE" w:rsidRPr="0009358F">
        <w:rPr>
          <w:sz w:val="24"/>
          <w:szCs w:val="24"/>
          <w:vertAlign w:val="superscript"/>
          <w:lang w:val="sk-SK"/>
        </w:rPr>
        <w:tab/>
      </w:r>
      <w:r w:rsidRPr="0009358F">
        <w:rPr>
          <w:sz w:val="24"/>
          <w:szCs w:val="24"/>
          <w:lang w:val="sk-SK"/>
        </w:rPr>
        <w:t xml:space="preserve">Smernica Európskeho parlamentu a Rady (EÚ) 2016/2341 zo 14. decembra 2016 o činnostiach inštitúcií zamestnaneckého dôchodkového zabezpečenia (IZDZ) a o dohľade nad nimi (Ú. v. EÚ L 354, 23.12.2016, s. 37, ELI: </w:t>
      </w:r>
      <w:hyperlink r:id="rId5" w:tgtFrame="http://data.europa.eu/eli/dir/2016/2341/oj" w:history="1">
        <w:r w:rsidRPr="0009358F">
          <w:rPr>
            <w:rStyle w:val="Hyperlink"/>
            <w:sz w:val="24"/>
            <w:szCs w:val="24"/>
            <w:lang w:val="sk-SK"/>
          </w:rPr>
          <w:t>http://data.europa.eu/eli/dir/2016/2341/oj</w:t>
        </w:r>
      </w:hyperlink>
      <w:r w:rsidRPr="0009358F">
        <w:rPr>
          <w:sz w:val="24"/>
          <w:szCs w:val="24"/>
          <w:lang w:val="sk-SK"/>
        </w:rPr>
        <w:t>).</w:t>
      </w:r>
    </w:p>
  </w:footnote>
  <w:footnote w:id="7">
    <w:p w14:paraId="1DA6C60D" w14:textId="75342D1A" w:rsidR="00832EFF" w:rsidRPr="0009358F" w:rsidRDefault="00832EFF" w:rsidP="00B91DDE">
      <w:pPr>
        <w:pStyle w:val="FootnoteText"/>
        <w:ind w:left="567" w:hanging="567"/>
        <w:rPr>
          <w:sz w:val="24"/>
          <w:szCs w:val="24"/>
          <w:lang w:val="sk-SK"/>
        </w:rPr>
      </w:pPr>
      <w:r w:rsidRPr="0009358F">
        <w:rPr>
          <w:sz w:val="24"/>
          <w:szCs w:val="24"/>
          <w:vertAlign w:val="superscript"/>
          <w:lang w:val="sk-SK"/>
        </w:rPr>
        <w:t>7</w:t>
      </w:r>
      <w:r w:rsidR="00B91DDE" w:rsidRPr="0009358F">
        <w:rPr>
          <w:sz w:val="24"/>
          <w:szCs w:val="24"/>
          <w:vertAlign w:val="superscript"/>
          <w:lang w:val="sk-SK"/>
        </w:rPr>
        <w:t xml:space="preserve"> </w:t>
      </w:r>
      <w:r w:rsidR="00B91DDE" w:rsidRPr="0009358F">
        <w:rPr>
          <w:sz w:val="24"/>
          <w:szCs w:val="24"/>
          <w:vertAlign w:val="superscript"/>
          <w:lang w:val="sk-SK"/>
        </w:rPr>
        <w:tab/>
      </w:r>
      <w:hyperlink r:id="rId6" w:tgtFrame="https://www.ecb.europa.eu/pub/pdf/fsr/ecb.fsr202505~0cde5244f6.en.pdf" w:history="1">
        <w:r w:rsidRPr="0009358F">
          <w:rPr>
            <w:rStyle w:val="Hyperlink"/>
            <w:sz w:val="24"/>
            <w:szCs w:val="24"/>
            <w:lang w:val="sk-SK"/>
          </w:rPr>
          <w:t>Správa ECB o finančnej stabilite</w:t>
        </w:r>
      </w:hyperlink>
      <w:r w:rsidRPr="0009358F">
        <w:rPr>
          <w:sz w:val="24"/>
          <w:szCs w:val="24"/>
          <w:lang w:val="sk-SK"/>
        </w:rPr>
        <w:t>, máj 2025, s. 78.</w:t>
      </w:r>
    </w:p>
  </w:footnote>
  <w:footnote w:id="8">
    <w:p w14:paraId="2208A715" w14:textId="11BEE950" w:rsidR="00832EFF" w:rsidRPr="0009358F" w:rsidRDefault="00832EFF" w:rsidP="00B91DDE">
      <w:pPr>
        <w:pStyle w:val="FootnoteText"/>
        <w:ind w:left="567" w:hanging="567"/>
        <w:rPr>
          <w:sz w:val="24"/>
          <w:szCs w:val="24"/>
          <w:lang w:val="sk-SK"/>
        </w:rPr>
      </w:pPr>
      <w:r w:rsidRPr="0009358F">
        <w:rPr>
          <w:sz w:val="24"/>
          <w:szCs w:val="24"/>
          <w:vertAlign w:val="superscript"/>
          <w:lang w:val="sk-SK"/>
        </w:rPr>
        <w:t>8</w:t>
      </w:r>
      <w:r w:rsidR="00B91DDE" w:rsidRPr="0009358F">
        <w:rPr>
          <w:sz w:val="24"/>
          <w:szCs w:val="24"/>
          <w:vertAlign w:val="superscript"/>
          <w:lang w:val="sk-SK"/>
        </w:rPr>
        <w:t xml:space="preserve"> </w:t>
      </w:r>
      <w:r w:rsidR="00B91DDE" w:rsidRPr="0009358F">
        <w:rPr>
          <w:sz w:val="24"/>
          <w:szCs w:val="24"/>
          <w:vertAlign w:val="superscript"/>
          <w:lang w:val="sk-SK"/>
        </w:rPr>
        <w:tab/>
      </w:r>
      <w:r w:rsidRPr="0009358F">
        <w:rPr>
          <w:sz w:val="24"/>
          <w:szCs w:val="24"/>
          <w:lang w:val="sk-SK"/>
        </w:rPr>
        <w:t xml:space="preserve">Nariadenie Európskeho parlamentu a Rady (EÚ) 2017/1131 zo 14. júna 2017 o fondoch peňažného trhu, (Ú. v. EÚ L 169, 30.6.2017, s. 8, ELI: </w:t>
      </w:r>
      <w:hyperlink r:id="rId7" w:tgtFrame="http://data.europa.eu/eli/reg/2017/1131/oj" w:history="1">
        <w:r w:rsidRPr="0009358F">
          <w:rPr>
            <w:rStyle w:val="Hyperlink"/>
            <w:sz w:val="24"/>
            <w:szCs w:val="24"/>
            <w:lang w:val="sk-SK"/>
          </w:rPr>
          <w:t>http://data.europa.eu/eli/reg/2017/1131/oj</w:t>
        </w:r>
      </w:hyperlink>
      <w:r w:rsidRPr="0009358F">
        <w:rPr>
          <w:sz w:val="24"/>
          <w:szCs w:val="24"/>
          <w:lang w:val="sk-SK"/>
        </w:rPr>
        <w:t>).</w:t>
      </w:r>
    </w:p>
  </w:footnote>
  <w:footnote w:id="9">
    <w:p w14:paraId="40FE999C" w14:textId="1F2D15D8" w:rsidR="00832EFF" w:rsidRPr="004B3FE1" w:rsidRDefault="00832EFF" w:rsidP="00B91DDE">
      <w:pPr>
        <w:pStyle w:val="FootnoteText"/>
        <w:ind w:left="567" w:hanging="567"/>
        <w:rPr>
          <w:sz w:val="24"/>
          <w:szCs w:val="24"/>
          <w:lang w:val="sk-SK"/>
        </w:rPr>
      </w:pPr>
      <w:r w:rsidRPr="004B3FE1">
        <w:rPr>
          <w:sz w:val="24"/>
          <w:szCs w:val="24"/>
          <w:vertAlign w:val="superscript"/>
          <w:lang w:val="sk-SK"/>
        </w:rPr>
        <w:t>9</w:t>
      </w:r>
      <w:hyperlink r:id="rId8" w:tgtFrame="https://www.fsb.org/uploads/P221024-3.pdf" w:history="1">
        <w:r w:rsidRPr="004B3FE1">
          <w:rPr>
            <w:rStyle w:val="Hyperlink"/>
            <w:sz w:val="24"/>
            <w:szCs w:val="24"/>
            <w:lang w:val="sk-SK"/>
          </w:rPr>
          <w:t xml:space="preserve"> </w:t>
        </w:r>
        <w:r w:rsidR="0009358F" w:rsidRPr="004B3FE1">
          <w:rPr>
            <w:rStyle w:val="Hyperlink"/>
            <w:sz w:val="24"/>
            <w:szCs w:val="24"/>
            <w:lang w:val="sk-SK"/>
          </w:rPr>
          <w:tab/>
        </w:r>
        <w:r w:rsidRPr="004B3FE1">
          <w:rPr>
            <w:rStyle w:val="Hyperlink"/>
            <w:sz w:val="24"/>
            <w:szCs w:val="24"/>
            <w:lang w:val="sk-SK"/>
          </w:rPr>
          <w:t xml:space="preserve">Správa skupiny G20 o stave vykonávania politiky v oblasti </w:t>
        </w:r>
        <w:proofErr w:type="spellStart"/>
        <w:r w:rsidRPr="004B3FE1">
          <w:rPr>
            <w:rStyle w:val="Hyperlink"/>
            <w:sz w:val="24"/>
            <w:szCs w:val="24"/>
            <w:lang w:val="sk-SK"/>
          </w:rPr>
          <w:t>kryptoaktív</w:t>
        </w:r>
        <w:proofErr w:type="spellEnd"/>
      </w:hyperlink>
      <w:r w:rsidRPr="004B3FE1">
        <w:rPr>
          <w:sz w:val="24"/>
          <w:szCs w:val="24"/>
          <w:lang w:val="sk-SK"/>
        </w:rPr>
        <w:t>. 22. októbra 2024.</w:t>
      </w:r>
    </w:p>
  </w:footnote>
  <w:footnote w:id="10">
    <w:p w14:paraId="0257CC5E" w14:textId="081C0021" w:rsidR="00832EFF" w:rsidRPr="004B3FE1" w:rsidRDefault="00832EFF" w:rsidP="00B91DDE">
      <w:pPr>
        <w:pStyle w:val="FootnoteText"/>
        <w:ind w:left="567" w:hanging="567"/>
        <w:rPr>
          <w:sz w:val="24"/>
          <w:szCs w:val="24"/>
          <w:lang w:val="sk-SK"/>
        </w:rPr>
      </w:pPr>
      <w:r w:rsidRPr="004B3FE1">
        <w:rPr>
          <w:sz w:val="24"/>
          <w:szCs w:val="24"/>
          <w:vertAlign w:val="superscript"/>
          <w:lang w:val="sk-SK"/>
        </w:rPr>
        <w:t>10</w:t>
      </w:r>
      <w:r w:rsidRPr="004B3FE1">
        <w:rPr>
          <w:sz w:val="24"/>
          <w:szCs w:val="24"/>
          <w:lang w:val="sk-SK"/>
        </w:rPr>
        <w:t xml:space="preserve"> </w:t>
      </w:r>
      <w:r w:rsidR="0009358F">
        <w:rPr>
          <w:sz w:val="24"/>
          <w:szCs w:val="24"/>
          <w:lang w:val="sk-SK"/>
        </w:rPr>
        <w:tab/>
      </w:r>
      <w:r w:rsidRPr="004B3FE1">
        <w:rPr>
          <w:sz w:val="24"/>
          <w:szCs w:val="24"/>
          <w:lang w:val="sk-SK"/>
        </w:rPr>
        <w:t xml:space="preserve">Nariadenie Európskeho parlamentu a Rady (EÚ) 2022/2554 zo 14. decembra 2022 o digitálnej prevádzkovej odolnosti finančného sektora a o zmene nariadení (ES) č. 1060/2009, (EÚ) č. 648/2012, (EÚ) č. 600/2014, (EÚ) č. 909/2014 a (EÚ) 2016/1011(Ú. v. EÚ L 333, 27.12.2022, s. 1, ELI: </w:t>
      </w:r>
      <w:hyperlink r:id="rId9" w:tgtFrame="http://data.europa.eu/eli/reg/2022/2554/oj" w:history="1">
        <w:r w:rsidRPr="004B3FE1">
          <w:rPr>
            <w:rStyle w:val="Hyperlink"/>
            <w:sz w:val="24"/>
            <w:szCs w:val="24"/>
            <w:lang w:val="sk-SK"/>
          </w:rPr>
          <w:t>http://data.europa.eu/eli/reg/2022/2554/oj</w:t>
        </w:r>
      </w:hyperlink>
      <w:r w:rsidRPr="004B3FE1">
        <w:rPr>
          <w:sz w:val="24"/>
          <w:szCs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0803E" w14:textId="77777777" w:rsidR="00064002" w:rsidRPr="00B91DD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84B1C" w14:textId="77777777" w:rsidR="00064002" w:rsidRPr="00B91DD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41D32" w14:textId="77777777" w:rsidR="00064002" w:rsidRPr="00B91DD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18266201">
    <w:abstractNumId w:val="9"/>
  </w:num>
  <w:num w:numId="2" w16cid:durableId="268006020">
    <w:abstractNumId w:val="9"/>
  </w:num>
  <w:num w:numId="3" w16cid:durableId="1645500829">
    <w:abstractNumId w:val="7"/>
  </w:num>
  <w:num w:numId="4" w16cid:durableId="1207328189">
    <w:abstractNumId w:val="7"/>
  </w:num>
  <w:num w:numId="5" w16cid:durableId="1727416393">
    <w:abstractNumId w:val="6"/>
  </w:num>
  <w:num w:numId="6" w16cid:durableId="1519660715">
    <w:abstractNumId w:val="6"/>
  </w:num>
  <w:num w:numId="7" w16cid:durableId="165562461">
    <w:abstractNumId w:val="5"/>
  </w:num>
  <w:num w:numId="8" w16cid:durableId="1436248026">
    <w:abstractNumId w:val="5"/>
  </w:num>
  <w:num w:numId="9" w16cid:durableId="70202426">
    <w:abstractNumId w:val="4"/>
  </w:num>
  <w:num w:numId="10" w16cid:durableId="1361782186">
    <w:abstractNumId w:val="4"/>
  </w:num>
  <w:num w:numId="11" w16cid:durableId="754548582">
    <w:abstractNumId w:val="8"/>
  </w:num>
  <w:num w:numId="12" w16cid:durableId="120654637">
    <w:abstractNumId w:val="8"/>
  </w:num>
  <w:num w:numId="13" w16cid:durableId="1698696602">
    <w:abstractNumId w:val="3"/>
  </w:num>
  <w:num w:numId="14" w16cid:durableId="1496844118">
    <w:abstractNumId w:val="3"/>
  </w:num>
  <w:num w:numId="15" w16cid:durableId="1664890493">
    <w:abstractNumId w:val="2"/>
  </w:num>
  <w:num w:numId="16" w16cid:durableId="1847552069">
    <w:abstractNumId w:val="2"/>
  </w:num>
  <w:num w:numId="17" w16cid:durableId="31196488">
    <w:abstractNumId w:val="1"/>
  </w:num>
  <w:num w:numId="18" w16cid:durableId="910114687">
    <w:abstractNumId w:val="1"/>
  </w:num>
  <w:num w:numId="19" w16cid:durableId="1588882402">
    <w:abstractNumId w:val="0"/>
  </w:num>
  <w:num w:numId="20" w16cid:durableId="381516111">
    <w:abstractNumId w:val="0"/>
  </w:num>
  <w:num w:numId="21" w16cid:durableId="369382471">
    <w:abstractNumId w:val="9"/>
  </w:num>
  <w:num w:numId="22" w16cid:durableId="497579533">
    <w:abstractNumId w:val="7"/>
  </w:num>
  <w:num w:numId="23" w16cid:durableId="1049839142">
    <w:abstractNumId w:val="6"/>
  </w:num>
  <w:num w:numId="24" w16cid:durableId="1757895166">
    <w:abstractNumId w:val="5"/>
  </w:num>
  <w:num w:numId="25" w16cid:durableId="1230917281">
    <w:abstractNumId w:val="4"/>
  </w:num>
  <w:num w:numId="26" w16cid:durableId="1694844314">
    <w:abstractNumId w:val="8"/>
  </w:num>
  <w:num w:numId="27" w16cid:durableId="1616057744">
    <w:abstractNumId w:val="3"/>
  </w:num>
  <w:num w:numId="28" w16cid:durableId="702632192">
    <w:abstractNumId w:val="2"/>
  </w:num>
  <w:num w:numId="29" w16cid:durableId="1918856492">
    <w:abstractNumId w:val="1"/>
  </w:num>
  <w:num w:numId="30" w16cid:durableId="1765219932">
    <w:abstractNumId w:val="0"/>
  </w:num>
  <w:num w:numId="31" w16cid:durableId="188371211">
    <w:abstractNumId w:val="9"/>
  </w:num>
  <w:num w:numId="32" w16cid:durableId="2112433680">
    <w:abstractNumId w:val="7"/>
  </w:num>
  <w:num w:numId="33" w16cid:durableId="127088363">
    <w:abstractNumId w:val="6"/>
  </w:num>
  <w:num w:numId="34" w16cid:durableId="633683500">
    <w:abstractNumId w:val="5"/>
  </w:num>
  <w:num w:numId="35" w16cid:durableId="740564281">
    <w:abstractNumId w:val="4"/>
  </w:num>
  <w:num w:numId="36" w16cid:durableId="121581732">
    <w:abstractNumId w:val="8"/>
  </w:num>
  <w:num w:numId="37" w16cid:durableId="1711029509">
    <w:abstractNumId w:val="3"/>
  </w:num>
  <w:num w:numId="38" w16cid:durableId="599607967">
    <w:abstractNumId w:val="2"/>
  </w:num>
  <w:num w:numId="39" w16cid:durableId="1246648177">
    <w:abstractNumId w:val="1"/>
  </w:num>
  <w:num w:numId="40" w16cid:durableId="629240414">
    <w:abstractNumId w:val="0"/>
  </w:num>
  <w:num w:numId="41" w16cid:durableId="640043530">
    <w:abstractNumId w:val="10"/>
  </w:num>
  <w:num w:numId="42" w16cid:durableId="1718428770">
    <w:abstractNumId w:val="10"/>
  </w:num>
  <w:num w:numId="43" w16cid:durableId="138809842">
    <w:abstractNumId w:val="10"/>
  </w:num>
  <w:num w:numId="44" w16cid:durableId="9061904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2/2025"/>
    <w:docVar w:name="dvlangue" w:val="SK"/>
    <w:docVar w:name="dvnumam" w:val="0"/>
    <w:docVar w:name="dvpe" w:val="771.960"/>
    <w:docVar w:name="dvrapporteur" w:val="Spravodajca: "/>
    <w:docVar w:name="dvtitre" w:val="Uznesenie Európskeho parlamentu z xx. januara 2026 o ochrane a podpore finančnej stability v kontexte hospodárskej neistoty(2025/2051(INI))"/>
  </w:docVars>
  <w:rsids>
    <w:rsidRoot w:val="005171D8"/>
    <w:rsid w:val="00002272"/>
    <w:rsid w:val="00064002"/>
    <w:rsid w:val="00065F14"/>
    <w:rsid w:val="00066860"/>
    <w:rsid w:val="000677B9"/>
    <w:rsid w:val="000831BA"/>
    <w:rsid w:val="0009358F"/>
    <w:rsid w:val="000A42CC"/>
    <w:rsid w:val="000E7DD9"/>
    <w:rsid w:val="0010095E"/>
    <w:rsid w:val="00125B37"/>
    <w:rsid w:val="00187494"/>
    <w:rsid w:val="001F32AE"/>
    <w:rsid w:val="00210F52"/>
    <w:rsid w:val="002767FF"/>
    <w:rsid w:val="002B18FE"/>
    <w:rsid w:val="002B5493"/>
    <w:rsid w:val="00343214"/>
    <w:rsid w:val="00361C00"/>
    <w:rsid w:val="00395FA1"/>
    <w:rsid w:val="003E15D4"/>
    <w:rsid w:val="003F3136"/>
    <w:rsid w:val="00411CCE"/>
    <w:rsid w:val="0041666E"/>
    <w:rsid w:val="00421060"/>
    <w:rsid w:val="00471C19"/>
    <w:rsid w:val="004867E3"/>
    <w:rsid w:val="00494A28"/>
    <w:rsid w:val="004B3FE1"/>
    <w:rsid w:val="004C0004"/>
    <w:rsid w:val="004C03A7"/>
    <w:rsid w:val="004C5D52"/>
    <w:rsid w:val="0050519A"/>
    <w:rsid w:val="005072A1"/>
    <w:rsid w:val="00514517"/>
    <w:rsid w:val="005171D8"/>
    <w:rsid w:val="00545827"/>
    <w:rsid w:val="00560270"/>
    <w:rsid w:val="005B09FC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2EFF"/>
    <w:rsid w:val="00842779"/>
    <w:rsid w:val="00865F67"/>
    <w:rsid w:val="00881A7B"/>
    <w:rsid w:val="008840E5"/>
    <w:rsid w:val="00887B3E"/>
    <w:rsid w:val="008B664D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6264"/>
    <w:rsid w:val="00AB441E"/>
    <w:rsid w:val="00AB6293"/>
    <w:rsid w:val="00AE0928"/>
    <w:rsid w:val="00AF0F9E"/>
    <w:rsid w:val="00AF3B82"/>
    <w:rsid w:val="00B12E95"/>
    <w:rsid w:val="00B22876"/>
    <w:rsid w:val="00B34298"/>
    <w:rsid w:val="00B558F0"/>
    <w:rsid w:val="00B91DDE"/>
    <w:rsid w:val="00BD48FE"/>
    <w:rsid w:val="00BD7BD8"/>
    <w:rsid w:val="00BE6ADC"/>
    <w:rsid w:val="00C05BFE"/>
    <w:rsid w:val="00C07A8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2D6C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689CB6"/>
  <w15:chartTrackingRefBased/>
  <w15:docId w15:val="{69A44FFF-21A0-4B9A-83EC-0851FC5E3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832EFF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832EFF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832EFF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832EFF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832EFF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832EFF"/>
    <w:rPr>
      <w:color w:val="0000FF"/>
      <w:u w:val="single"/>
    </w:rPr>
  </w:style>
  <w:style w:type="paragraph" w:styleId="Revision">
    <w:name w:val="Revision"/>
    <w:hidden/>
    <w:uiPriority w:val="99"/>
    <w:semiHidden/>
    <w:rsid w:val="00C07A8E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sb.org/uploads/P221024-3.pdf" TargetMode="External"/><Relationship Id="rId3" Type="http://schemas.openxmlformats.org/officeDocument/2006/relationships/hyperlink" Target="http://data.europa.eu/eli/dir/2019/2034/oj" TargetMode="External"/><Relationship Id="rId7" Type="http://schemas.openxmlformats.org/officeDocument/2006/relationships/hyperlink" Target="http://data.europa.eu/eli/reg/2017/1131/oj" TargetMode="External"/><Relationship Id="rId2" Type="http://schemas.openxmlformats.org/officeDocument/2006/relationships/hyperlink" Target="http://data.europa.eu/eli/reg/2017/1131/oj" TargetMode="External"/><Relationship Id="rId1" Type="http://schemas.openxmlformats.org/officeDocument/2006/relationships/hyperlink" Target="http://data.europa.eu/eli/dir/2011/61/oj" TargetMode="External"/><Relationship Id="rId6" Type="http://schemas.openxmlformats.org/officeDocument/2006/relationships/hyperlink" Target="https://www.ecb.europa.eu/pub/pdf/fsr/ecb.fsr202505~0cde5244f6.en.pdf" TargetMode="External"/><Relationship Id="rId5" Type="http://schemas.openxmlformats.org/officeDocument/2006/relationships/hyperlink" Target="http://data.europa.eu/eli/dir/2016/2341/oj" TargetMode="External"/><Relationship Id="rId4" Type="http://schemas.openxmlformats.org/officeDocument/2006/relationships/hyperlink" Target="http://data.europa.eu/eli/reg/2019/2033/oj" TargetMode="External"/><Relationship Id="rId9" Type="http://schemas.openxmlformats.org/officeDocument/2006/relationships/hyperlink" Target="http://data.europa.eu/eli/reg/2022/25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2640</Words>
  <Characters>17230</Characters>
  <Application>Microsoft Office Word</Application>
  <DocSecurity>0</DocSecurity>
  <Lines>143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SEMEDO Teresa</cp:lastModifiedBy>
  <cp:revision>3</cp:revision>
  <cp:lastPrinted>2004-11-19T15:42:00Z</cp:lastPrinted>
  <dcterms:created xsi:type="dcterms:W3CDTF">2026-01-20T13:27:00Z</dcterms:created>
  <dcterms:modified xsi:type="dcterms:W3CDTF">2026-05-26T10:20:00Z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A10-0232/2025</vt:lpwstr>
  </property>
  <property fmtid="{D5CDD505-2E9C-101B-9397-08002B2CF9AE}" pid="4" name="&lt;Type&gt;">
    <vt:lpwstr>RR</vt:lpwstr>
  </property>
</Properties>
</file>