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BA1" w14:paraId="770039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898A7" w14:textId="77777777" w:rsidR="00751A4A" w:rsidRPr="00122BA1" w:rsidRDefault="0013158E" w:rsidP="0010095E">
            <w:pPr>
              <w:pStyle w:val="EPName"/>
            </w:pPr>
            <w:r w:rsidRPr="00122BA1">
              <w:t>Evropský parlament</w:t>
            </w:r>
          </w:p>
          <w:p w14:paraId="3895367B" w14:textId="77777777" w:rsidR="00751A4A" w:rsidRPr="00122B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BA1">
              <w:t>2024</w:t>
            </w:r>
            <w:r w:rsidR="00817416" w:rsidRPr="00122BA1">
              <w:t>-202</w:t>
            </w:r>
            <w:r w:rsidRPr="00122BA1">
              <w:t>9</w:t>
            </w:r>
          </w:p>
        </w:tc>
        <w:tc>
          <w:tcPr>
            <w:tcW w:w="2268" w:type="dxa"/>
            <w:shd w:val="clear" w:color="auto" w:fill="auto"/>
          </w:tcPr>
          <w:p w14:paraId="4F57D12B" w14:textId="77777777" w:rsidR="00751A4A" w:rsidRPr="00122BA1" w:rsidRDefault="00187494" w:rsidP="0010095E">
            <w:pPr>
              <w:pStyle w:val="EPLogo"/>
            </w:pPr>
            <w:r w:rsidRPr="00122BA1">
              <w:rPr>
                <w:noProof/>
                <w:lang w:eastAsia="ja-JP"/>
              </w:rPr>
              <w:drawing>
                <wp:inline distT="0" distB="0" distL="0" distR="0" wp14:anchorId="1CCB1279" wp14:editId="35905E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F973F" w14:textId="77777777" w:rsidR="00D058B8" w:rsidRPr="00122BA1" w:rsidRDefault="00D058B8" w:rsidP="004C5D52">
      <w:pPr>
        <w:pStyle w:val="LineTop"/>
      </w:pPr>
    </w:p>
    <w:p w14:paraId="2B7A226E" w14:textId="77777777" w:rsidR="00680577" w:rsidRPr="00122BA1" w:rsidRDefault="0013158E" w:rsidP="00680577">
      <w:pPr>
        <w:pStyle w:val="EPBodyTA1"/>
      </w:pPr>
      <w:r w:rsidRPr="00122BA1">
        <w:t>PŘIJATÉ TEXTY</w:t>
      </w:r>
    </w:p>
    <w:p w14:paraId="0787A7F0" w14:textId="77777777" w:rsidR="00D058B8" w:rsidRPr="00122BA1" w:rsidRDefault="00D058B8" w:rsidP="00D058B8">
      <w:pPr>
        <w:pStyle w:val="LineBottom"/>
      </w:pPr>
    </w:p>
    <w:p w14:paraId="7A424AB8" w14:textId="52D12C54" w:rsidR="0013158E" w:rsidRPr="00122BA1" w:rsidRDefault="0013158E" w:rsidP="0013158E">
      <w:pPr>
        <w:pStyle w:val="ATHeading1"/>
      </w:pPr>
      <w:bookmarkStart w:id="0" w:name="TANumber"/>
      <w:r w:rsidRPr="00122BA1">
        <w:t>P10_TA(2026)000</w:t>
      </w:r>
      <w:bookmarkEnd w:id="0"/>
      <w:r w:rsidR="0015576F">
        <w:t>6</w:t>
      </w:r>
    </w:p>
    <w:p w14:paraId="5C397F4F" w14:textId="77777777" w:rsidR="0013158E" w:rsidRPr="00122BA1" w:rsidRDefault="0013158E" w:rsidP="0013158E">
      <w:pPr>
        <w:pStyle w:val="ATHeading2"/>
      </w:pPr>
      <w:bookmarkStart w:id="1" w:name="title"/>
      <w:r w:rsidRPr="00122BA1">
        <w:t>Reforma aktu o volbách do Evropského parlamentu – překážky ratifikace a provádění v členských státech</w:t>
      </w:r>
      <w:bookmarkEnd w:id="1"/>
    </w:p>
    <w:p w14:paraId="24D5ED51" w14:textId="77777777" w:rsidR="0013158E" w:rsidRPr="00122BA1" w:rsidRDefault="0013158E" w:rsidP="0013158E">
      <w:pPr>
        <w:rPr>
          <w:i/>
          <w:vanish/>
        </w:rPr>
      </w:pPr>
      <w:r w:rsidRPr="00122BA1">
        <w:rPr>
          <w:i/>
        </w:rPr>
        <w:fldChar w:fldCharType="begin"/>
      </w:r>
      <w:r w:rsidRPr="00122BA1">
        <w:rPr>
          <w:i/>
        </w:rPr>
        <w:instrText xml:space="preserve"> TC"(</w:instrText>
      </w:r>
      <w:bookmarkStart w:id="2" w:name="DocNumber"/>
      <w:r w:rsidRPr="00122BA1">
        <w:rPr>
          <w:i/>
        </w:rPr>
        <w:instrText>A10-0252/2025</w:instrText>
      </w:r>
      <w:bookmarkEnd w:id="2"/>
      <w:r w:rsidRPr="00122BA1">
        <w:rPr>
          <w:i/>
        </w:rPr>
        <w:instrText xml:space="preserve"> - Zpravodaj: </w:instrText>
      </w:r>
      <w:proofErr w:type="spellStart"/>
      <w:r w:rsidRPr="00122BA1">
        <w:rPr>
          <w:i/>
        </w:rPr>
        <w:instrText>Borja</w:instrText>
      </w:r>
      <w:proofErr w:type="spellEnd"/>
      <w:r w:rsidRPr="00122BA1">
        <w:rPr>
          <w:i/>
        </w:rPr>
        <w:instrText xml:space="preserve"> </w:instrText>
      </w:r>
      <w:proofErr w:type="spellStart"/>
      <w:r w:rsidRPr="00122BA1">
        <w:rPr>
          <w:i/>
        </w:rPr>
        <w:instrText>Giménez</w:instrText>
      </w:r>
      <w:proofErr w:type="spellEnd"/>
      <w:r w:rsidRPr="00122BA1">
        <w:rPr>
          <w:i/>
        </w:rPr>
        <w:instrText xml:space="preserve"> </w:instrText>
      </w:r>
      <w:proofErr w:type="spellStart"/>
      <w:r w:rsidRPr="00122BA1">
        <w:rPr>
          <w:i/>
        </w:rPr>
        <w:instrText>Larraz</w:instrText>
      </w:r>
      <w:proofErr w:type="spellEnd"/>
      <w:r w:rsidRPr="00122BA1">
        <w:rPr>
          <w:i/>
        </w:rPr>
        <w:instrText xml:space="preserve">)"\l3 \n&gt; \* MERGEFORMAT </w:instrText>
      </w:r>
      <w:r w:rsidRPr="00122BA1">
        <w:rPr>
          <w:i/>
        </w:rPr>
        <w:fldChar w:fldCharType="end"/>
      </w:r>
    </w:p>
    <w:p w14:paraId="3DFDFA51" w14:textId="77777777" w:rsidR="0013158E" w:rsidRPr="00122BA1" w:rsidRDefault="0013158E" w:rsidP="0013158E">
      <w:pPr>
        <w:rPr>
          <w:vanish/>
        </w:rPr>
      </w:pPr>
      <w:bookmarkStart w:id="3" w:name="Commission"/>
      <w:r w:rsidRPr="00122BA1">
        <w:rPr>
          <w:vanish/>
        </w:rPr>
        <w:t>Výbor pro ústavní záležitosti</w:t>
      </w:r>
      <w:bookmarkEnd w:id="3"/>
    </w:p>
    <w:p w14:paraId="5378D09D" w14:textId="77777777" w:rsidR="0013158E" w:rsidRPr="00122BA1" w:rsidRDefault="0013158E" w:rsidP="0013158E">
      <w:pPr>
        <w:rPr>
          <w:vanish/>
        </w:rPr>
      </w:pPr>
      <w:bookmarkStart w:id="4" w:name="PE"/>
      <w:r w:rsidRPr="00122BA1">
        <w:rPr>
          <w:vanish/>
        </w:rPr>
        <w:t>PE767.970</w:t>
      </w:r>
      <w:bookmarkEnd w:id="4"/>
    </w:p>
    <w:p w14:paraId="5CE7F30C" w14:textId="59742940" w:rsidR="0013158E" w:rsidRPr="00122BA1" w:rsidRDefault="0013158E" w:rsidP="0013158E">
      <w:pPr>
        <w:pStyle w:val="ATHeading3"/>
      </w:pPr>
      <w:bookmarkStart w:id="5" w:name="Sujet"/>
      <w:r w:rsidRPr="00122BA1">
        <w:t>Usnesení Evropského parlamentu ze dne</w:t>
      </w:r>
      <w:r w:rsidR="00783658">
        <w:t xml:space="preserve"> </w:t>
      </w:r>
      <w:r w:rsidR="0015576F">
        <w:t>20</w:t>
      </w:r>
      <w:r w:rsidR="00783658">
        <w:t>. ledna</w:t>
      </w:r>
      <w:r w:rsidRPr="00122BA1">
        <w:t xml:space="preserve"> 2026 k reformě aktu o volbách do Evropského parlamentu – překážky ratifikace a provádění v členských státech</w:t>
      </w:r>
      <w:bookmarkEnd w:id="5"/>
      <w:r w:rsidRPr="00122BA1">
        <w:t xml:space="preserve"> </w:t>
      </w:r>
      <w:bookmarkStart w:id="6" w:name="References"/>
      <w:r w:rsidRPr="00122BA1">
        <w:t>(2025/2028(INI))</w:t>
      </w:r>
      <w:bookmarkEnd w:id="6"/>
    </w:p>
    <w:p w14:paraId="3D592403" w14:textId="77777777" w:rsidR="00532195" w:rsidRPr="00122BA1" w:rsidRDefault="00532195" w:rsidP="00532195">
      <w:pPr>
        <w:pStyle w:val="EPComma"/>
      </w:pPr>
      <w:bookmarkStart w:id="7" w:name="TextBodyBegin"/>
      <w:bookmarkEnd w:id="7"/>
      <w:r w:rsidRPr="00122BA1">
        <w:rPr>
          <w:i/>
        </w:rPr>
        <w:t>Evropský parlament</w:t>
      </w:r>
      <w:r w:rsidRPr="00122BA1">
        <w:t>,</w:t>
      </w:r>
    </w:p>
    <w:p w14:paraId="1FC758C4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 ohledem na Smlouvy, zejména na články 9, 10, 14 a čl. 17 odst. 7 Smlouvy o Evropské unii (SEU) a na článek 22, čl. 223 odst. 1 a článek 225 Smlouvy o fungování Evropské unie (SFEU),</w:t>
      </w:r>
    </w:p>
    <w:p w14:paraId="3DA50A3B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 ohledem na Akt o volbě členů Evropského parlamentu ve všeobecných a přímých volbách</w:t>
      </w:r>
      <w:r w:rsidRPr="00122BA1">
        <w:rPr>
          <w:rStyle w:val="FootnoteReference"/>
        </w:rPr>
        <w:footnoteReference w:id="1"/>
      </w:r>
      <w:r w:rsidRPr="00122BA1">
        <w:t xml:space="preserve"> („akt o evropských volbách“) připojený k rozhodnutí Rady ze dne 20. září 1976</w:t>
      </w:r>
      <w:r w:rsidRPr="00122BA1">
        <w:rPr>
          <w:rStyle w:val="FootnoteReference"/>
        </w:rPr>
        <w:footnoteReference w:id="2"/>
      </w:r>
      <w:r w:rsidRPr="00122BA1">
        <w:t xml:space="preserve"> ve znění pozdějších předpisů,</w:t>
      </w:r>
    </w:p>
    <w:p w14:paraId="7F8647A8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 ohledem na rámcovou dohodu ze dne 20. října 2010 o vztazích mezi Evropským parlamentem a Evropskou komisí</w:t>
      </w:r>
      <w:r w:rsidRPr="00122BA1">
        <w:rPr>
          <w:rStyle w:val="FootnoteReference"/>
        </w:rPr>
        <w:footnoteReference w:id="3"/>
      </w:r>
      <w:r w:rsidRPr="00122BA1">
        <w:t>,</w:t>
      </w:r>
    </w:p>
    <w:p w14:paraId="5D77EA25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 ohledem na své usnesení ze dne 11. listopadu 2015 o reformě volebního práva Evropské unie</w:t>
      </w:r>
      <w:r w:rsidRPr="00122BA1">
        <w:rPr>
          <w:rStyle w:val="FootnoteReference"/>
        </w:rPr>
        <w:footnoteReference w:id="4"/>
      </w:r>
      <w:r w:rsidRPr="00122BA1">
        <w:t>,</w:t>
      </w:r>
    </w:p>
    <w:p w14:paraId="5C5E7FDB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 xml:space="preserve">s ohledem na jeho stanovisko ze dne 3. května 2022 o návrhu nařízení Rady o volbě poslanců Evropského parlamentu ve všeobecných a přímých volbách, kterým se ruší rozhodnutí Rady (76/787/ESUO, EHS, Euratom) a Akt o volbě členů Evropského parlamentu ve všeobecných a přímých volbách připojený k tomuto rozhodnutí </w:t>
      </w:r>
      <w:r w:rsidRPr="00122BA1">
        <w:lastRenderedPageBreak/>
        <w:t>(2020/2220(INL) – 2022/0902(APP))</w:t>
      </w:r>
      <w:r w:rsidRPr="00122BA1">
        <w:rPr>
          <w:rStyle w:val="FootnoteReference"/>
        </w:rPr>
        <w:footnoteReference w:id="5"/>
      </w:r>
      <w:r w:rsidRPr="00122BA1">
        <w:t>,</w:t>
      </w:r>
    </w:p>
    <w:p w14:paraId="305BDC69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 ohledem na rozhodnutí Rady (EU, Euratom) 2018/994 ze dne 13. července 2018, kterým se mění Akt o volbě členů Evropského parlamentu ve všeobecných a přímých volbách, jenž je připojen k rozhodnutí Rady 76/787/ESUO, EHS, Euratom ze dne 20. září 1976</w:t>
      </w:r>
      <w:r w:rsidRPr="00122BA1">
        <w:rPr>
          <w:rStyle w:val="FootnoteReference"/>
        </w:rPr>
        <w:footnoteReference w:id="6"/>
      </w:r>
      <w:r w:rsidRPr="00122BA1">
        <w:t>,</w:t>
      </w:r>
    </w:p>
    <w:p w14:paraId="4F23788B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rPr>
          <w:b/>
          <w:i/>
        </w:rPr>
        <w:tab/>
      </w:r>
      <w:r w:rsidRPr="00122BA1">
        <w:t>s ohledem na Úmluvu OSN o právech osob se zdravotním postižením,</w:t>
      </w:r>
    </w:p>
    <w:p w14:paraId="1ED44284" w14:textId="77777777" w:rsidR="00532195" w:rsidRPr="00122BA1" w:rsidRDefault="00532195" w:rsidP="00532195">
      <w:pPr>
        <w:pStyle w:val="NormalHanging12a"/>
      </w:pPr>
      <w:r w:rsidRPr="00122BA1">
        <w:t>–</w:t>
      </w:r>
      <w:r w:rsidRPr="00122BA1">
        <w:tab/>
        <w:t>s ohledem na článek 55 jednacího řádu a na čl. 1 odst. 1 písm. e) a přílohu 3 rozhodnutí Konference předsedů ze dne 12. prosince 2002 o postupu udělování svolení k vypracování zpráv z vlastního podnětu,</w:t>
      </w:r>
    </w:p>
    <w:p w14:paraId="50088982" w14:textId="77777777" w:rsidR="00532195" w:rsidRPr="00122BA1" w:rsidRDefault="00532195" w:rsidP="00532195">
      <w:pPr>
        <w:pStyle w:val="NormalHanging12a"/>
        <w:jc w:val="both"/>
      </w:pPr>
      <w:r w:rsidRPr="00122BA1">
        <w:t>–</w:t>
      </w:r>
      <w:r w:rsidRPr="00122BA1">
        <w:tab/>
        <w:t>s ohledem na zprávu Výboru pro ústavní záležitosti (A10-0252/2025),</w:t>
      </w:r>
    </w:p>
    <w:p w14:paraId="72902BF8" w14:textId="77777777" w:rsidR="00532195" w:rsidRPr="00122BA1" w:rsidRDefault="00532195" w:rsidP="00783658">
      <w:pPr>
        <w:pStyle w:val="NormalHanging12a"/>
        <w:tabs>
          <w:tab w:val="left" w:pos="567"/>
        </w:tabs>
      </w:pPr>
      <w:r w:rsidRPr="00122BA1">
        <w:t>A.</w:t>
      </w:r>
      <w:r w:rsidRPr="00122BA1">
        <w:tab/>
        <w:t xml:space="preserve">vzhledem k tomu, že článek 223 Smlouvy o fungování EU svěřuje Parlamentu právo zahájit reformu svého vlastního volebního postupu s cílem vypracovat jednotný postup platný v celé EU nebo postup, který je založen na zásadách společných všem členským státům, a dát k ní souhlas; vzhledem k tomu, že orgány EU a členské státy jsou vázány zásadou vzájemné loajální spolupráce stanovenou v čl. 4 odst. 3 SEU; </w:t>
      </w:r>
    </w:p>
    <w:p w14:paraId="1FF3D0F1" w14:textId="77777777" w:rsidR="00532195" w:rsidRPr="00122BA1" w:rsidRDefault="00532195" w:rsidP="00783658">
      <w:pPr>
        <w:pStyle w:val="NormalHanging12a"/>
        <w:ind w:hanging="570"/>
        <w:rPr>
          <w:bCs/>
          <w:iCs/>
        </w:rPr>
      </w:pPr>
      <w:r w:rsidRPr="00122BA1">
        <w:t>B.</w:t>
      </w:r>
      <w:r w:rsidRPr="00122BA1">
        <w:tab/>
        <w:t xml:space="preserve">vzhledem k tomu, že jednotný volební postup by nejen zajistil větší rovnost a transparentnost volebního procesu, ale také by podpořil vznik evropské politické a veřejné sféry a posílil legitimitu EU a jejích orgánů; </w:t>
      </w:r>
    </w:p>
    <w:p w14:paraId="67A36D2A" w14:textId="77777777" w:rsidR="00532195" w:rsidRPr="00122BA1" w:rsidRDefault="00532195" w:rsidP="00783658">
      <w:pPr>
        <w:pStyle w:val="NormalHanging12a"/>
      </w:pPr>
      <w:r w:rsidRPr="00122BA1">
        <w:t>C.</w:t>
      </w:r>
      <w:r w:rsidRPr="00122BA1">
        <w:tab/>
        <w:t xml:space="preserve">vzhledem k tomu, že v souladu s čl. 223 odst. 1 SFEU podléhá vstup pozměněného aktu o evropských volbách v platnost schválení všemi členskými státy v souladu s jejich ústavními požadavky, přičemž každý členský stát si ponechává plnou pravomoc rozhodovat o tom, kdy jej ratifikuje; </w:t>
      </w:r>
    </w:p>
    <w:p w14:paraId="039FC645" w14:textId="77777777" w:rsidR="00532195" w:rsidRPr="00122BA1" w:rsidRDefault="00532195" w:rsidP="00783658">
      <w:pPr>
        <w:pStyle w:val="NormalHanging12a"/>
      </w:pPr>
      <w:r w:rsidRPr="00122BA1">
        <w:t>D.</w:t>
      </w:r>
      <w:r w:rsidRPr="00122BA1">
        <w:tab/>
        <w:t>vzhledem k tomu, že možnost rozvoje jednotného volebního procesu na základě přímých všeobecných voleb je zakotvena ve Smlouvách od roku 1957;</w:t>
      </w:r>
    </w:p>
    <w:p w14:paraId="2385E8A9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E.</w:t>
      </w:r>
      <w:r w:rsidRPr="00122BA1">
        <w:tab/>
        <w:t>vzhledem k tomu, že akt o evropských volbách z roku 1976 nastínil cíl zavést takový jednotný postup a výslovně pověřil Parlament, aby za tímto účelem přijal nezbytná opatření; vzhledem k tomu, že možnost stanovit „společné zásady“ namísto harmonizovaného postupu byla zavedena až v pozdější fázi jako pragmatická reakce na přetrvávající obtíže při dosahování jednomyslné dohody o jednotném volebním postupu; vzhledem k tomu, že tento posun v přístupu vedl k přetrvávajícímu a nerovnoměrnému provádění volebních reforem, což oslabilo původní ducha Smluv i aktu o evropských volbách z roku 1976 a oddálilo vytvoření evropského volebního rámce;</w:t>
      </w:r>
    </w:p>
    <w:p w14:paraId="633B5995" w14:textId="77777777" w:rsidR="00532195" w:rsidRPr="00122BA1" w:rsidRDefault="00532195" w:rsidP="00783658">
      <w:pPr>
        <w:pStyle w:val="NormalHanging12a"/>
      </w:pPr>
      <w:r w:rsidRPr="00122BA1">
        <w:t>F.</w:t>
      </w:r>
      <w:r w:rsidRPr="00122BA1">
        <w:tab/>
        <w:t xml:space="preserve">vzhledem k tomu, že cílem reformy volebního postupu Parlamentu by mělo být posílení demokratického rozměru evropských voleb a legitimity rozhodovacího procesu EU zajištěním rovné účasti všech občanů EU, a tedy sladěním volebního rámce s úlohou Parlamentu jako </w:t>
      </w:r>
      <w:proofErr w:type="spellStart"/>
      <w:r w:rsidRPr="00122BA1">
        <w:t>spolunormotvůrce</w:t>
      </w:r>
      <w:proofErr w:type="spellEnd"/>
      <w:r w:rsidRPr="00122BA1">
        <w:t xml:space="preserve"> přímo voleného občany EU; vzhledem k tomu, že tato reforma by měla sloužit k posílení koncepce občanství EU, ke zlepšení fungování Parlamentu a správy EU a posílit zásady volební rovnosti, rovných příležitostí a inkluze; </w:t>
      </w:r>
      <w:r w:rsidRPr="00122BA1">
        <w:lastRenderedPageBreak/>
        <w:t xml:space="preserve">vzhledem k tomu, že by měla posílit transparentnost, přístupnost a zapojení mládeže; </w:t>
      </w:r>
    </w:p>
    <w:p w14:paraId="76E8A030" w14:textId="77777777" w:rsidR="00532195" w:rsidRPr="00122BA1" w:rsidRDefault="00532195" w:rsidP="00783658">
      <w:pPr>
        <w:pStyle w:val="NormalHanging12a"/>
      </w:pPr>
      <w:r w:rsidRPr="00122BA1">
        <w:t>G.</w:t>
      </w:r>
      <w:r w:rsidRPr="00122BA1">
        <w:tab/>
        <w:t xml:space="preserve">vzhledem k tomu, že dosud nebylo dosaženo komplexní dohody o skutečně jednotném volebním postupu a že stávající rámec zůstává značně roztříštěný; vzhledem k tomu, že v některých aspektech došlo k postupné konvergenci, ale současná vnitrostátní pravidla nadále vytvářejí značné rozdíly v klíčových oblastech ve všech členských státech, což podkopává volební rovnost a oslabuje jak vnímání jednotných společných evropských voleb, tak i důvěru občanů v evropský demokratický proces; </w:t>
      </w:r>
    </w:p>
    <w:p w14:paraId="55564354" w14:textId="77777777" w:rsidR="00532195" w:rsidRPr="00122BA1" w:rsidRDefault="00532195" w:rsidP="00783658">
      <w:pPr>
        <w:pStyle w:val="NormalHanging12a"/>
      </w:pPr>
      <w:r w:rsidRPr="00122BA1">
        <w:t>H.</w:t>
      </w:r>
      <w:r w:rsidRPr="00122BA1">
        <w:tab/>
        <w:t>vzhledem k tomu, že navzdory několika reformám se volby do Evropského parlamentu stále řídí především vnitrostátními právními předpisy, volební kampaně si zachovávají ve velké míře vnitrostátní povahu a evropské politické strany nejsou schopné dostatečně plnit svůj ústavní mandát a přispívat „k utváření evropského politického vědomí a k vyjadřování vůle občanů Unie“, jak se vyžaduje v čl. 10 odst. 4 Smlouvy o EU; vzhledem k tomu, že přepracované znění nařízení o statutu a financování evropských politických stran a evropských politických nadací</w:t>
      </w:r>
      <w:r w:rsidRPr="00122BA1">
        <w:rPr>
          <w:rStyle w:val="FootnoteReference"/>
        </w:rPr>
        <w:footnoteReference w:id="7"/>
      </w:r>
      <w:r w:rsidRPr="00122BA1">
        <w:t xml:space="preserve"> přineslo v této souvislosti určitou jasnost; </w:t>
      </w:r>
    </w:p>
    <w:p w14:paraId="6961CAF3" w14:textId="77777777" w:rsidR="00532195" w:rsidRPr="00122BA1" w:rsidRDefault="00532195" w:rsidP="00783658">
      <w:pPr>
        <w:pStyle w:val="NormalHanging12a"/>
      </w:pPr>
      <w:r w:rsidRPr="00122BA1">
        <w:t>I.</w:t>
      </w:r>
      <w:r w:rsidRPr="00122BA1">
        <w:tab/>
        <w:t>vzhledem k tomu, že volební práh pro přidělení mandátů je minimální procento hlasů, které musí politická strana nebo koalice získat, aby si zajistila mandát v zákonodárném shromáždění;</w:t>
      </w:r>
    </w:p>
    <w:p w14:paraId="67B3B985" w14:textId="77777777" w:rsidR="00532195" w:rsidRPr="00122BA1" w:rsidRDefault="00532195" w:rsidP="00783658">
      <w:pPr>
        <w:pStyle w:val="NormalHanging12a"/>
      </w:pPr>
      <w:r w:rsidRPr="00122BA1">
        <w:t>J.</w:t>
      </w:r>
      <w:r w:rsidRPr="00122BA1">
        <w:tab/>
        <w:t>vzhledem k tomu, že rozhodnutí Rady (EU, Euratom) 2018/994</w:t>
      </w:r>
      <w:r w:rsidRPr="00122BA1">
        <w:rPr>
          <w:rStyle w:val="FootnoteReference"/>
        </w:rPr>
        <w:footnoteReference w:id="8"/>
      </w:r>
      <w:r w:rsidRPr="00122BA1">
        <w:t xml:space="preserve"> stanoví pro členské státy s volebními obvody o více než 35 křeslech tento práh mezi 2 % a 5 %; vzhledem k tomu, že volební prahové hodnoty musí zajistit rovnováhu mezi funkčností veřejné správy a politickým pluralismem;</w:t>
      </w:r>
    </w:p>
    <w:p w14:paraId="74E11D12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K.</w:t>
      </w:r>
      <w:r w:rsidRPr="00122BA1">
        <w:tab/>
        <w:t xml:space="preserve">vzhledem k tomu, že proces ratifikace reformy z roku 2018 zaznamenal zpoždění, kdy několik členských států nedokončilo nezbytné postupy ratifikace před volbami do Evropského parlamentu v roce 2024 včas; </w:t>
      </w:r>
    </w:p>
    <w:p w14:paraId="7B25421B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L.</w:t>
      </w:r>
      <w:r w:rsidRPr="00122BA1">
        <w:tab/>
        <w:t xml:space="preserve">vzhledem k tomu, že stejnou příležitost účastnit se demokratického procesu má každý občan EU, aby byl zaručen inkluzivnější volební proces; vzhledem k tomu, že pouze několik poslanců Evropského parlamentu patří k národnostním a etnickým menšinám, které jsou v jejich příslušných členských státech oficiálně uznány za menšiny v souladu s jejich příslušnými ústavními nebo právními rámci a příslušnými nástroji Rady Evropy; vzhledem k tomu, že Benátská komise a Rada pro demokratické volby ve své zprávě ze dne 15. března 2005 o volebních pravidlech a pozitivních opatřeních pro účast národnostních menšin v rozhodovacím procesu v evropských zemích doporučily řadu opatření k zajištění spravedlivého zastoupení menšin; </w:t>
      </w:r>
    </w:p>
    <w:p w14:paraId="5F660EB3" w14:textId="77777777" w:rsidR="00532195" w:rsidRPr="00122BA1" w:rsidRDefault="00532195" w:rsidP="00783658">
      <w:pPr>
        <w:pStyle w:val="NormalHanging12a"/>
      </w:pPr>
      <w:r w:rsidRPr="00122BA1">
        <w:t>M.</w:t>
      </w:r>
      <w:r w:rsidRPr="00122BA1">
        <w:tab/>
        <w:t xml:space="preserve">vzhledem k tomu, že reforma volebního postupu na základě čl. 223 odst. 1 SFEU musí plně respektovat zásady subsidiarity a proporcionality a výsady vnitrostátních </w:t>
      </w:r>
      <w:r w:rsidRPr="00122BA1">
        <w:lastRenderedPageBreak/>
        <w:t xml:space="preserve">parlamentů v oblasti kontroly a ratifikace; </w:t>
      </w:r>
    </w:p>
    <w:p w14:paraId="694EE3D5" w14:textId="77777777" w:rsidR="00532195" w:rsidRPr="00122BA1" w:rsidRDefault="00532195" w:rsidP="000D5E1D">
      <w:pPr>
        <w:pStyle w:val="Subheading"/>
        <w:spacing w:before="240"/>
      </w:pPr>
      <w:r w:rsidRPr="00122BA1">
        <w:t>Hlavní závěry</w:t>
      </w:r>
    </w:p>
    <w:p w14:paraId="6D317311" w14:textId="77777777" w:rsidR="00532195" w:rsidRPr="00122BA1" w:rsidRDefault="00532195" w:rsidP="00783658">
      <w:pPr>
        <w:pStyle w:val="NormalHanging12a"/>
      </w:pPr>
      <w:r w:rsidRPr="00122BA1">
        <w:t>1.</w:t>
      </w:r>
      <w:r w:rsidRPr="00122BA1">
        <w:tab/>
        <w:t>připomíná, že by bylo vhodné posílit evropský charakter vnitrostátních volebních pravidel týkajících se voleb do Evropského parlamentu, zejména pokud jde o přístupnost pro znevýhodněné skupiny, společné lhůty pro finalizaci volebních seznamů, předcházení dvojímu hlasování a posílení viditelnosti a úlohy evropských politických stran ve volebních procesech; připomíná však, že mnoho již existujících ustanovení stávajícího aktu o evropských volbách bylo zavedeno ve všech členských státech, konkrétně systém poměrného zastoupení, maximální volební práh ve výši 5 % a zákaz dvojího mandátu poslanců Evropského parlamentu ve vnitrostátních parlamentech a v Evropském parlamentu; domnívá se však, že vytvoření koncepce evropského lidu (</w:t>
      </w:r>
      <w:proofErr w:type="spellStart"/>
      <w:r w:rsidRPr="00122BA1">
        <w:t>demos</w:t>
      </w:r>
      <w:proofErr w:type="spellEnd"/>
      <w:r w:rsidRPr="00122BA1">
        <w:t xml:space="preserve">) není zdaleka dokončeno a že je třeba zintenzivnit politické úsilí, aby se EU stala méně byrokratickou a demokratičtější; </w:t>
      </w:r>
    </w:p>
    <w:p w14:paraId="1D185328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2.</w:t>
      </w:r>
      <w:r w:rsidRPr="00122BA1">
        <w:tab/>
        <w:t>opakuje, že volby do Evropského parlamentu se i nadále konají převážně v rámci vnitrostátních právních a institucionálních rámců, které byly koncipovány ve výrazně odlišné fázi evropské integrace; zdůrazňuje, že tato pravidla již neodpovídají posílené úloze a legislativním pravomocem Evropského parlamentu, zejména od vstupu Lisabonské smlouvy v platnost;</w:t>
      </w:r>
    </w:p>
    <w:p w14:paraId="493AE24C" w14:textId="77777777" w:rsidR="00532195" w:rsidRPr="00122BA1" w:rsidRDefault="00532195" w:rsidP="00783658">
      <w:pPr>
        <w:pStyle w:val="NormalHanging12a"/>
      </w:pPr>
      <w:r w:rsidRPr="00122BA1">
        <w:t>3.</w:t>
      </w:r>
      <w:r w:rsidRPr="00122BA1">
        <w:tab/>
        <w:t xml:space="preserve">připomíná, že rozhodnutí Rady (EU, Euratom) 2018/994 obsahuje řadu ustanovení, která jsou členské státy povinny provést nebo k jejichž provedení jsou vyzývány; poukazuje na to, že některé členské státy neprovedly nepovinná opatření a že některá povinná opatření provedly některé členské státy různě, například opatření, jež mají zabránit dvojímu hlasování; konstatuje, že většina ustanovení stanovených v rozhodnutí Rady (EU, Euratom) 2018/994 zůstává nepovinných; domnívá se, že omezené provedení těchto nezávazných ustanovení svědčí o nedostatku politické vůle překonat odpor na vnitrostátní úrovni a zavázat se k demokratickému procesu, který by lépe odrážel evropský rozměr; </w:t>
      </w:r>
    </w:p>
    <w:p w14:paraId="7308635C" w14:textId="77777777" w:rsidR="00532195" w:rsidRPr="00122BA1" w:rsidRDefault="00532195" w:rsidP="00783658">
      <w:pPr>
        <w:pStyle w:val="NormalHanging12a"/>
      </w:pPr>
      <w:r w:rsidRPr="00122BA1">
        <w:t>4.</w:t>
      </w:r>
      <w:r w:rsidRPr="00122BA1">
        <w:tab/>
        <w:t>připomíná, že termíny pro dokončení volebních seznamů před volbami do Evropského parlamentu se v jednotlivých členských státech značně liší a v současné době se pohybují od 21 dnů do 90 dnů, což staví kandidáty a voliče v celé EU do nerovného postavení, pokud jde o čas, který mají k dispozici na vedení kampaně nebo zvažování, komu dát svůj hlas ve volbách;</w:t>
      </w:r>
    </w:p>
    <w:p w14:paraId="23D8B3E3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5.</w:t>
      </w:r>
      <w:r w:rsidRPr="00122BA1">
        <w:tab/>
        <w:t xml:space="preserve">poukazuje na to, že vytvoření evropské veřejné sféry a politické diskuse přesahující hranice států, zejména v souvislosti s volbami do Evropského parlamentu, mají zásadní význam pro posílení demokracie v EU; zdůrazňuje, že evropské politické strany jsou klíčovým nástrojem pro podporu takové diskuse; je toho názoru, že všechny volební lístky musí obsahovat jména kandidátů a logo evropské politické strany, ke které je každá národní strana přidružena, a že kandidáti by měli být náležitě zviditelněni v online prostoru, v televizních a rozhlasových volebních vysíláních, na plakátech a v dalších materiálech používaných v evropských volebních kampaních; domnívá se, že tato opatření představují minimální požadavek ohledně toho, aby byli voliči informování o evropském rozměru svého hlasování a toho, aby evropské politické strany mohly plnit svou úlohu podle čl. 10 odst. 4 SEU; domnívá se, že tato opatření by zvýšila transparentnost voleb do Evropského parlamentu, zabránila by porušení práva voličů vědět o existenci aliančních dohod mezi politickými formacemi v rámci </w:t>
      </w:r>
      <w:r w:rsidRPr="00122BA1">
        <w:lastRenderedPageBreak/>
        <w:t xml:space="preserve">evropských voleb, a umožnila by občanům vědomě hlasovat pro politickou stranu patřící k jejich preferované politické skupině v Evropském parlamentu; lituje, že se jedná pouze o nepovinné opatření podle rozhodnutí Rady (EU, Euratom) 2018/994 a nebylo dosud provedeno do žádné vnitrostátní legislativy; </w:t>
      </w:r>
    </w:p>
    <w:p w14:paraId="4B79E1DB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6.</w:t>
      </w:r>
      <w:r w:rsidRPr="00122BA1">
        <w:tab/>
        <w:t xml:space="preserve">připomíná, že je třeba pokračovat ve zvyšování </w:t>
      </w:r>
      <w:proofErr w:type="spellStart"/>
      <w:r w:rsidRPr="00122BA1">
        <w:t>inkluzivnosti</w:t>
      </w:r>
      <w:proofErr w:type="spellEnd"/>
      <w:r w:rsidRPr="00122BA1">
        <w:t xml:space="preserve"> volebního procesu, s cílem zajistit, aby měl každý občan bez ohledu na svou situaci stejnou příležitost zapojit se do demokratického procesu; zdůrazňuje, že v některých členských státech vnitrostátní pravidla stále neumožňují voličům se zdravotním postižením změnit přidělenou volební místnost na jinou volební místnost, která by lépe vyhovovala jejich potřebám, ani jim neposkytují přístup k informacím o volbách v přístupných formátech; zdůrazňuje, že veškeré překážky, které brání osobám se zdravotním postižením v právu volit a kandidovat, jsou neslučitelné se závazky vyplývajícími z Úmluvy OSN o právech osob se zdravotním postižením a měly by být odstraněny, aby bylo zaručeno, že celý volební proces bude dostupný pro všechny; </w:t>
      </w:r>
    </w:p>
    <w:p w14:paraId="1DDA78F6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7.</w:t>
      </w:r>
      <w:r w:rsidRPr="00122BA1">
        <w:tab/>
        <w:t>konstatuje, že jako volitelné opatření zaměřené na usnadnění přístupnosti pro osoby se zdravotním postižením jsou uvedeny v rozhodnutí Rady (EU, Euratom) 2018/994 korespondenční hlasování a jeho doplňkové prostředky; zdůrazňuje, že ačkoli je usnadnění přístupnosti zásadním cílem, korespondenční hlasování hraje rovněž širší úlohu při zvyšování flexibility a </w:t>
      </w:r>
      <w:proofErr w:type="spellStart"/>
      <w:r w:rsidRPr="00122BA1">
        <w:t>inkluzivnosti</w:t>
      </w:r>
      <w:proofErr w:type="spellEnd"/>
      <w:r w:rsidRPr="00122BA1">
        <w:t xml:space="preserve"> volební účasti; zdůrazňuje, že nabídka korespondenčního hlasování jako možnosti zaručené ve všech členských státech by byla přínosná nejen pro osoby se zdravotním postižením, ale i pro občany, kteří nemohou volit osobně kvůli mimořádným okolnostem; domnívá se, že zajištění širšího přístupu ke korespondenčnímu hlasování by zvýšilo účast, zejména mezi mobilními občany EU a mladšími voliči, a přispělo by ke zvýšení celkové volební účasti;</w:t>
      </w:r>
    </w:p>
    <w:p w14:paraId="615F2625" w14:textId="77777777" w:rsidR="00532195" w:rsidRPr="00122BA1" w:rsidRDefault="00532195" w:rsidP="00783658">
      <w:pPr>
        <w:pStyle w:val="NormalHanging12a"/>
      </w:pPr>
      <w:r w:rsidRPr="00122BA1">
        <w:t>8.</w:t>
      </w:r>
      <w:r w:rsidRPr="00122BA1">
        <w:tab/>
        <w:t xml:space="preserve">připomíná, že dosud nebyla vyřešena situace osob s dvojím občanstvím EU, neboť stále existuje možnost, že osoba s dvojím občanstvím EU bude automaticky zapsána do volebních seznamů více než jednoho členského státu, aniž by měla možnost se z těchto seznamů odhlásit; upozorňuje, že občan EU s dvojím občanství, který je automaticky zapsán ve více než jednom seznamu voličů, ale hlasuje pouze v jednom členském státě, jak je požadováno, může být nicméně považován za voliče, který nehlasoval v druhém členském státě, a v důsledku toho mu může být uložena sankce; </w:t>
      </w:r>
    </w:p>
    <w:p w14:paraId="1A473CCD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9.</w:t>
      </w:r>
      <w:r w:rsidRPr="00122BA1">
        <w:tab/>
        <w:t xml:space="preserve">vítá jako vyvážené a praktické řešení, které vychází vstříc poslankyním EP, iniciativu Parlamentu zavést provedením změny aktu o evropských volbách ustanovení umožňující poslankyním na mateřské dovolené hlasovat prostřednictvím zmocněnce a tím současně zajistit kontinuitu zastoupení;  </w:t>
      </w:r>
    </w:p>
    <w:p w14:paraId="39F43268" w14:textId="4A175079" w:rsidR="00532195" w:rsidRPr="00122BA1" w:rsidRDefault="00532195" w:rsidP="00783658">
      <w:pPr>
        <w:pStyle w:val="NormalHanging12a"/>
      </w:pPr>
      <w:r w:rsidRPr="00122BA1">
        <w:t>10.</w:t>
      </w:r>
      <w:r w:rsidRPr="00122BA1">
        <w:tab/>
        <w:t xml:space="preserve">zdůrazňuje, že rozhodnutí Rady (EU, Euratom) 2018/994 ještě není v platnosti, neboť v jednom zbývajícím členském státě stále probíhá ratifikační proces; konstatuje, že Německo sice ratifikovalo rozhodnutí Rady </w:t>
      </w:r>
      <w:r w:rsidR="00200410" w:rsidRPr="00122BA1">
        <w:t xml:space="preserve">(EU, Euratom) </w:t>
      </w:r>
      <w:r w:rsidRPr="00122BA1">
        <w:t>2018/994, ale německý volební zákon pro evropské volby nebyl změněn, protože dokud není dvouprocentní práh povinný podle práva EU, nemůže být zaveden do německého práva;</w:t>
      </w:r>
    </w:p>
    <w:p w14:paraId="683E8084" w14:textId="77777777" w:rsidR="00532195" w:rsidRPr="00122BA1" w:rsidRDefault="00532195" w:rsidP="00783658">
      <w:pPr>
        <w:pStyle w:val="NormalHanging12a"/>
      </w:pPr>
      <w:r w:rsidRPr="00122BA1">
        <w:t>11.</w:t>
      </w:r>
      <w:r w:rsidRPr="00122BA1">
        <w:tab/>
        <w:t xml:space="preserve">bere na vědomí úlohu Komise jako prostředníka při institucionálních jednáních mezi Parlamentem a Radou o novém návrhu reformy aktu o evropských volbách; považuje za nezbytné zahájit konstruktivní dialog s Radou s cílem vyhodnotit návrh Parlamentu z roku 2022 a dosáhnout pokroku; zdůrazňuje, že nedostatečný pokrok není způsoben technickými nebo právními překážkami, ale nedostatkem politické vůle členských států </w:t>
      </w:r>
      <w:r w:rsidRPr="00122BA1">
        <w:lastRenderedPageBreak/>
        <w:t xml:space="preserve">se návrhy Parlamentu zabývat; je přesvědčen, že tato zpráva by měla poskytnout nový impuls k neprodlenému zahájení interinstitucionálních jednání o návrhu z roku 2022, a naléhavě vyzývá nadcházející předsednictví Rady, aby splnila své povinnosti podle zásady vzájemné a loajální spolupráce; </w:t>
      </w:r>
    </w:p>
    <w:p w14:paraId="40D545C2" w14:textId="77777777" w:rsidR="00532195" w:rsidRPr="00122BA1" w:rsidRDefault="00532195" w:rsidP="000D5E1D">
      <w:pPr>
        <w:pStyle w:val="Subheading"/>
        <w:spacing w:before="240"/>
      </w:pPr>
      <w:r w:rsidRPr="00122BA1">
        <w:t>Doporučení</w:t>
      </w:r>
    </w:p>
    <w:p w14:paraId="50E1FC57" w14:textId="77777777" w:rsidR="00532195" w:rsidRPr="00122BA1" w:rsidRDefault="00532195" w:rsidP="00783658">
      <w:pPr>
        <w:pStyle w:val="NormalHanging12a"/>
      </w:pPr>
      <w:r w:rsidRPr="00122BA1">
        <w:t>12.</w:t>
      </w:r>
      <w:r w:rsidRPr="00122BA1">
        <w:tab/>
        <w:t xml:space="preserve">domnívá se, že transparentnost volebního procesu a přístup ke spolehlivým informacím jsou zásadními faktory pro zvyšování evropského politického povědomí a zajištění volební účasti dostatečně vysoké na to, aby reprezentovala mandát od voličů; zdůrazňuje, že kandidáti by měli mít stejné možnosti vést kampaň a že občané by měli být s dostatečným předstihem informováni o kandidátech, kteří se účastní evropských voleb; zdůrazňuje proto, že je důležité harmonizovat lhůty pro předkládání volebních seznamů ve všech členských státech, jak Parlament několikrát požadoval; </w:t>
      </w:r>
    </w:p>
    <w:p w14:paraId="089A7FC8" w14:textId="77777777" w:rsidR="00532195" w:rsidRPr="00122BA1" w:rsidRDefault="00532195" w:rsidP="00783658">
      <w:pPr>
        <w:pStyle w:val="NormalHanging12a"/>
      </w:pPr>
      <w:r w:rsidRPr="00122BA1">
        <w:t>13.</w:t>
      </w:r>
      <w:r w:rsidRPr="00122BA1">
        <w:tab/>
        <w:t xml:space="preserve">zdůrazňuje, že je nezbytné usnadnit přístup k volbám do Evropského parlamentu a zaručit, aby všichni, kdo mají právo volit, mohli toto právo uplatnit prostřednictvím korespondenčního hlasování nebo jiných doplňkových prostředků; vyzývá členské státy, aby zajistily rovný přístup k informacím a volebnímu procesu pro všechny občany, včetně osob se zdravotním postižením, zejména pokud nejsou veřejné struktury plně přístupné; dále vyzývá členské státy, aby osobám se zdravotním postižením zaručily právo volit a být voleni tím, že zavedou ustanovení, která harmonizují přístupnost volebních zařízení, volebních místností, volebních postupů a volebních materiálů pro osoby se zdravotním postižením a která jim umožní hlasovat nezávisle a tajně; konstatuje, že odpovědnost za regulaci přístupnosti nesou výhradně členské státy, a vyzývá je, aby spolupracovaly s organizacemi osob se zdravotním postižením s cílem posoudit a řešit právní a praktické překážky, které brání jejich účasti ve volbách, a to jak jako voličů, tak jako kandidátů; </w:t>
      </w:r>
    </w:p>
    <w:p w14:paraId="2A24DDE5" w14:textId="77777777" w:rsidR="00532195" w:rsidRPr="00122BA1" w:rsidRDefault="00532195" w:rsidP="00783658">
      <w:pPr>
        <w:pStyle w:val="NormalHanging12a"/>
      </w:pPr>
      <w:r w:rsidRPr="00122BA1">
        <w:t>14.</w:t>
      </w:r>
      <w:r w:rsidRPr="00122BA1">
        <w:tab/>
        <w:t xml:space="preserve">vyzývá všechny členské státy, aby provedly všechna nepovinná opatření obsažená v rozhodnutí Rady (EU, Euratom) 2018/994 a zejména aby více zviditelnily volební aliance pro volby do Evropského parlamentu i přidružení jednotlivých politických formací k evropským politickým stranám, evropským sdružením voličů a dalším evropským volebním subjektům prostřednictvím mediálních kampaní a aby zajistily distribuci jednotných hlasovacích lístků, na nichž bude jasně patrné, jaká spojenectví byla na území každého členského státu navázána, a aby byla tato skutečnost uváděna i na všech ostatních volebních materiálech; domnívá se, že národní strany a sdružení voličů by měly během volební kampaně případně uvést svou příslušnost k evropským politickým stranám nebo jiným evropským volebním subjektům, a to i na hlasovacích lístcích; </w:t>
      </w:r>
    </w:p>
    <w:p w14:paraId="6361638B" w14:textId="77777777" w:rsidR="00532195" w:rsidRPr="00122BA1" w:rsidRDefault="00532195" w:rsidP="00783658">
      <w:pPr>
        <w:pStyle w:val="NormalHanging12a"/>
        <w:rPr>
          <w:bCs/>
          <w:iCs/>
        </w:rPr>
      </w:pPr>
      <w:r w:rsidRPr="00122BA1">
        <w:t>15.</w:t>
      </w:r>
      <w:r w:rsidRPr="00122BA1">
        <w:tab/>
        <w:t xml:space="preserve">vyzývá všechny členské státy, aby přijaly konkrétní opatření k harmonizaci požadavků na kandidaturu s cílem zajistit spravedlivý a rovný přístup všech politických aktérů k volebnímu procesu v souladu se zásadami spravedlivé soutěže a demokratického pluralismu; </w:t>
      </w:r>
    </w:p>
    <w:p w14:paraId="2A34C508" w14:textId="77777777" w:rsidR="00532195" w:rsidRPr="00122BA1" w:rsidRDefault="00532195" w:rsidP="00783658">
      <w:pPr>
        <w:pStyle w:val="EPComma"/>
        <w:ind w:left="567" w:hanging="567"/>
      </w:pPr>
      <w:r w:rsidRPr="00122BA1">
        <w:t>16.</w:t>
      </w:r>
      <w:r w:rsidRPr="00122BA1">
        <w:tab/>
        <w:t>zdůrazňuje, že ratifikace rozhodnutí Rady (EU, Euratom) 2018/994 všemi členskými státy je i nadále povinná, aby mohlo vstoupit v platnost; vyzývá proto zbývající členské státy, aby zahájily ratifikační proces;</w:t>
      </w:r>
    </w:p>
    <w:p w14:paraId="45778F36" w14:textId="77777777" w:rsidR="00532195" w:rsidRPr="00122BA1" w:rsidRDefault="00532195" w:rsidP="00783658">
      <w:pPr>
        <w:tabs>
          <w:tab w:val="left" w:pos="567"/>
        </w:tabs>
        <w:spacing w:after="240"/>
        <w:ind w:left="709" w:hanging="425"/>
        <w:jc w:val="center"/>
      </w:pPr>
      <w:r w:rsidRPr="00122BA1">
        <w:lastRenderedPageBreak/>
        <w:t>°</w:t>
      </w:r>
    </w:p>
    <w:p w14:paraId="16BDD327" w14:textId="77777777" w:rsidR="00532195" w:rsidRPr="00122BA1" w:rsidRDefault="00532195" w:rsidP="00783658">
      <w:pPr>
        <w:tabs>
          <w:tab w:val="left" w:pos="567"/>
        </w:tabs>
        <w:spacing w:after="240"/>
        <w:ind w:left="709" w:hanging="425"/>
        <w:jc w:val="center"/>
      </w:pPr>
      <w:r w:rsidRPr="00122BA1">
        <w:t>°</w:t>
      </w:r>
      <w:r w:rsidRPr="00122BA1">
        <w:tab/>
        <w:t>°</w:t>
      </w:r>
    </w:p>
    <w:p w14:paraId="0B5A2C0E" w14:textId="0F033724" w:rsidR="00122BA1" w:rsidRPr="00122BA1" w:rsidRDefault="00532195" w:rsidP="00783658">
      <w:pPr>
        <w:pStyle w:val="NormalHanging12a"/>
      </w:pPr>
      <w:r w:rsidRPr="00122BA1">
        <w:t>17.</w:t>
      </w:r>
      <w:r w:rsidRPr="00122BA1">
        <w:tab/>
        <w:t>pověřuje svoji předsedkyni, aby předala toto usnesení Radě a Komisi.</w:t>
      </w:r>
    </w:p>
    <w:p w14:paraId="432905DB" w14:textId="68C2E18F" w:rsidR="00E365E1" w:rsidRPr="00122BA1" w:rsidRDefault="00E365E1" w:rsidP="0013158E"/>
    <w:sectPr w:rsidR="00E365E1" w:rsidRPr="00122BA1" w:rsidSect="00122B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7D90D" w14:textId="77777777" w:rsidR="0013158E" w:rsidRPr="00122BA1" w:rsidRDefault="0013158E">
      <w:r w:rsidRPr="00122BA1">
        <w:separator/>
      </w:r>
    </w:p>
  </w:endnote>
  <w:endnote w:type="continuationSeparator" w:id="0">
    <w:p w14:paraId="127285C3" w14:textId="77777777" w:rsidR="0013158E" w:rsidRPr="00122BA1" w:rsidRDefault="0013158E">
      <w:r w:rsidRPr="00122B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F0BC" w14:textId="77777777" w:rsidR="00064002" w:rsidRPr="00122B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12CE" w14:textId="77777777" w:rsidR="00064002" w:rsidRPr="00122B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B427" w14:textId="77777777" w:rsidR="00064002" w:rsidRPr="00122B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21EE6" w14:textId="77777777" w:rsidR="0013158E" w:rsidRPr="00122BA1" w:rsidRDefault="0013158E">
      <w:r w:rsidRPr="00122BA1">
        <w:separator/>
      </w:r>
    </w:p>
  </w:footnote>
  <w:footnote w:type="continuationSeparator" w:id="0">
    <w:p w14:paraId="49F4063D" w14:textId="77777777" w:rsidR="0013158E" w:rsidRPr="00122BA1" w:rsidRDefault="0013158E">
      <w:r w:rsidRPr="00122BA1">
        <w:continuationSeparator/>
      </w:r>
    </w:p>
  </w:footnote>
  <w:footnote w:id="1">
    <w:p w14:paraId="70F0BB0B" w14:textId="52C13D99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 xml:space="preserve">. 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 xml:space="preserve">. L 278, 8.10.1976, s. 5, ELI: </w:t>
      </w:r>
      <w:hyperlink r:id="rId1" w:history="1">
        <w:r w:rsidRPr="00122BA1">
          <w:rPr>
            <w:rStyle w:val="Hyperlink"/>
            <w:sz w:val="24"/>
            <w:lang w:val="cs-CZ"/>
          </w:rPr>
          <w:t>http://data.europa.eu/eli/dec/1976/787(2)/oj</w:t>
        </w:r>
      </w:hyperlink>
      <w:r w:rsidRPr="00122BA1">
        <w:rPr>
          <w:sz w:val="24"/>
          <w:lang w:val="cs-CZ"/>
        </w:rPr>
        <w:t>.</w:t>
      </w:r>
    </w:p>
  </w:footnote>
  <w:footnote w:id="2">
    <w:p w14:paraId="5E448EFA" w14:textId="6C377E9D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r w:rsidRPr="00122BA1">
        <w:rPr>
          <w:sz w:val="24"/>
          <w:lang w:val="cs-CZ"/>
        </w:rPr>
        <w:t>76/787/ESUO, EHS, Euratom: Rozhodnutí zástupců členských států zasedajících v Radě o aktu o volbě zástupců Shromáždění ve všeobecných a přímých volbách (</w:t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 xml:space="preserve">. 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 xml:space="preserve">. L 278, 8.10.1976, s. 1, ELI: </w:t>
      </w:r>
      <w:hyperlink r:id="rId2" w:history="1">
        <w:r w:rsidRPr="00122BA1">
          <w:rPr>
            <w:rStyle w:val="Hyperlink"/>
            <w:sz w:val="24"/>
            <w:lang w:val="cs-CZ"/>
          </w:rPr>
          <w:t>http://data.europa.eu/eli/dec/1976/787(1)/oj</w:t>
        </w:r>
      </w:hyperlink>
      <w:r w:rsidRPr="00122BA1">
        <w:rPr>
          <w:sz w:val="24"/>
          <w:lang w:val="cs-CZ"/>
        </w:rPr>
        <w:t>).</w:t>
      </w:r>
    </w:p>
  </w:footnote>
  <w:footnote w:id="3">
    <w:p w14:paraId="072E01F0" w14:textId="5165184A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 xml:space="preserve">. 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 xml:space="preserve">. L 304, 20.11.2010, s. 47, ELI: </w:t>
      </w:r>
      <w:hyperlink r:id="rId3" w:history="1">
        <w:r w:rsidRPr="00122BA1">
          <w:rPr>
            <w:rStyle w:val="Hyperlink"/>
            <w:sz w:val="24"/>
            <w:lang w:val="cs-CZ"/>
          </w:rPr>
          <w:t>http://data.europa.eu/eli/agree_interinstit/2010/1120/oj</w:t>
        </w:r>
      </w:hyperlink>
      <w:r w:rsidRPr="00122BA1">
        <w:rPr>
          <w:sz w:val="24"/>
          <w:lang w:val="cs-CZ"/>
        </w:rPr>
        <w:t>.</w:t>
      </w:r>
    </w:p>
  </w:footnote>
  <w:footnote w:id="4">
    <w:p w14:paraId="0B0D03FF" w14:textId="76B48ECB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hyperlink r:id="rId4" w:history="1">
        <w:proofErr w:type="spellStart"/>
        <w:r w:rsidRPr="00783658">
          <w:rPr>
            <w:sz w:val="24"/>
            <w:szCs w:val="24"/>
            <w:lang w:val="cs-CZ"/>
          </w:rPr>
          <w:t>Úř</w:t>
        </w:r>
        <w:proofErr w:type="spellEnd"/>
        <w:r w:rsidRPr="00783658">
          <w:rPr>
            <w:sz w:val="24"/>
            <w:szCs w:val="24"/>
            <w:lang w:val="cs-CZ"/>
          </w:rPr>
          <w:t xml:space="preserve">. </w:t>
        </w:r>
        <w:proofErr w:type="spellStart"/>
        <w:r w:rsidRPr="00783658">
          <w:rPr>
            <w:sz w:val="24"/>
            <w:szCs w:val="24"/>
            <w:lang w:val="cs-CZ"/>
          </w:rPr>
          <w:t>věst</w:t>
        </w:r>
        <w:proofErr w:type="spellEnd"/>
        <w:r w:rsidRPr="00783658">
          <w:rPr>
            <w:sz w:val="24"/>
            <w:szCs w:val="24"/>
            <w:lang w:val="cs-CZ"/>
          </w:rPr>
          <w:t>. C 366, 27.10.2017, s. 7</w:t>
        </w:r>
      </w:hyperlink>
      <w:r w:rsidRPr="00783658">
        <w:rPr>
          <w:sz w:val="24"/>
          <w:szCs w:val="24"/>
          <w:lang w:val="cs-CZ"/>
        </w:rPr>
        <w:t>.</w:t>
      </w:r>
    </w:p>
  </w:footnote>
  <w:footnote w:id="5">
    <w:p w14:paraId="0D5EFCC5" w14:textId="5E8C77C9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hyperlink r:id="rId5" w:history="1">
        <w:proofErr w:type="spellStart"/>
        <w:r w:rsidRPr="00783658">
          <w:rPr>
            <w:sz w:val="24"/>
            <w:szCs w:val="24"/>
            <w:lang w:val="cs-CZ"/>
          </w:rPr>
          <w:t>Úř</w:t>
        </w:r>
        <w:proofErr w:type="spellEnd"/>
        <w:r w:rsidRPr="00783658">
          <w:rPr>
            <w:sz w:val="24"/>
            <w:szCs w:val="24"/>
            <w:lang w:val="cs-CZ"/>
          </w:rPr>
          <w:t xml:space="preserve">. </w:t>
        </w:r>
        <w:proofErr w:type="spellStart"/>
        <w:r w:rsidRPr="00783658">
          <w:rPr>
            <w:sz w:val="24"/>
            <w:szCs w:val="24"/>
            <w:lang w:val="cs-CZ"/>
          </w:rPr>
          <w:t>věst</w:t>
        </w:r>
        <w:proofErr w:type="spellEnd"/>
        <w:r w:rsidRPr="00783658">
          <w:rPr>
            <w:sz w:val="24"/>
            <w:szCs w:val="24"/>
            <w:lang w:val="cs-CZ"/>
          </w:rPr>
          <w:t>. C 465, 6.12.2022, s. 171</w:t>
        </w:r>
      </w:hyperlink>
      <w:r w:rsidRPr="00783658">
        <w:rPr>
          <w:sz w:val="24"/>
          <w:szCs w:val="24"/>
          <w:lang w:val="cs-CZ"/>
        </w:rPr>
        <w:t>.</w:t>
      </w:r>
      <w:r w:rsidRPr="00122BA1">
        <w:rPr>
          <w:sz w:val="24"/>
          <w:lang w:val="cs-CZ"/>
        </w:rPr>
        <w:t xml:space="preserve"> </w:t>
      </w:r>
    </w:p>
  </w:footnote>
  <w:footnote w:id="6">
    <w:p w14:paraId="1013CEB6" w14:textId="13DDEF2D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>. 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 xml:space="preserve">. L 178, 16.7.2018, s. 1, ELI: </w:t>
      </w:r>
      <w:hyperlink r:id="rId6" w:history="1">
        <w:r w:rsidRPr="00122BA1">
          <w:rPr>
            <w:rStyle w:val="Hyperlink"/>
            <w:sz w:val="24"/>
            <w:lang w:val="cs-CZ"/>
          </w:rPr>
          <w:t>http://data.europa.eu/eli/dec/2018/994/oj</w:t>
        </w:r>
      </w:hyperlink>
      <w:r w:rsidRPr="00122BA1">
        <w:rPr>
          <w:sz w:val="24"/>
          <w:lang w:val="cs-CZ"/>
        </w:rPr>
        <w:t>.</w:t>
      </w:r>
    </w:p>
  </w:footnote>
  <w:footnote w:id="7">
    <w:p w14:paraId="62EDD7FC" w14:textId="3AC778C3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r w:rsidRPr="00122BA1">
        <w:rPr>
          <w:sz w:val="24"/>
          <w:lang w:val="cs-CZ"/>
        </w:rPr>
        <w:t>Nařízení Evropského parlamentu a Rady (EU, Euratom) č. 1141/2014 ze dne 22. října 2014 o statusu a financování evropských politických stran a evropských politických nadací (</w:t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>. 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 xml:space="preserve">. L 317, 4.11.2014, s. 1, ELI: </w:t>
      </w:r>
      <w:hyperlink r:id="rId7" w:history="1">
        <w:r w:rsidRPr="00122BA1">
          <w:rPr>
            <w:rStyle w:val="Hyperlink"/>
            <w:sz w:val="24"/>
            <w:lang w:val="cs-CZ"/>
          </w:rPr>
          <w:t>http://data.europa.eu/eli/reg/2014/1141/oj</w:t>
        </w:r>
      </w:hyperlink>
      <w:r w:rsidRPr="00122BA1">
        <w:rPr>
          <w:sz w:val="24"/>
          <w:lang w:val="cs-CZ"/>
        </w:rPr>
        <w:t xml:space="preserve">). </w:t>
      </w:r>
    </w:p>
  </w:footnote>
  <w:footnote w:id="8">
    <w:p w14:paraId="5983BD68" w14:textId="603A67A5" w:rsidR="00532195" w:rsidRPr="00122BA1" w:rsidRDefault="00532195" w:rsidP="00122BA1">
      <w:pPr>
        <w:pStyle w:val="FootnoteText"/>
        <w:ind w:left="567" w:hanging="567"/>
        <w:rPr>
          <w:sz w:val="24"/>
          <w:lang w:val="cs-CZ"/>
        </w:rPr>
      </w:pPr>
      <w:r w:rsidRPr="00122BA1">
        <w:rPr>
          <w:rStyle w:val="FootnoteReference"/>
          <w:sz w:val="24"/>
          <w:lang w:val="cs-CZ"/>
        </w:rPr>
        <w:footnoteRef/>
      </w:r>
      <w:r w:rsidR="00122BA1" w:rsidRPr="00122BA1">
        <w:rPr>
          <w:sz w:val="24"/>
          <w:lang w:val="cs-CZ"/>
        </w:rPr>
        <w:t xml:space="preserve"> </w:t>
      </w:r>
      <w:r w:rsidR="00122BA1" w:rsidRPr="00122BA1">
        <w:rPr>
          <w:sz w:val="24"/>
          <w:lang w:val="cs-CZ"/>
        </w:rPr>
        <w:tab/>
      </w:r>
      <w:r w:rsidRPr="00122BA1">
        <w:rPr>
          <w:sz w:val="24"/>
          <w:lang w:val="cs-CZ"/>
        </w:rPr>
        <w:t>Rozhodnutí Rady (EU, Euratom) 2018/994 ze dne 13. července 2018, kterým se mění Akt o volbě členů Evropského parlamentu ve všeobecných a přímých volbách, jenž je připojen k rozhodnutí Rady 76/787/ESUO, EHS, Euratom ze dne 20. září 1976 (</w:t>
      </w:r>
      <w:proofErr w:type="spellStart"/>
      <w:r w:rsidRPr="00122BA1">
        <w:rPr>
          <w:sz w:val="24"/>
          <w:lang w:val="cs-CZ"/>
        </w:rPr>
        <w:t>Úř</w:t>
      </w:r>
      <w:proofErr w:type="spellEnd"/>
      <w:r w:rsidRPr="00122BA1">
        <w:rPr>
          <w:sz w:val="24"/>
          <w:lang w:val="cs-CZ"/>
        </w:rPr>
        <w:t>. </w:t>
      </w:r>
      <w:proofErr w:type="spellStart"/>
      <w:r w:rsidRPr="00122BA1">
        <w:rPr>
          <w:sz w:val="24"/>
          <w:lang w:val="cs-CZ"/>
        </w:rPr>
        <w:t>věst</w:t>
      </w:r>
      <w:proofErr w:type="spellEnd"/>
      <w:r w:rsidRPr="00122BA1">
        <w:rPr>
          <w:sz w:val="24"/>
          <w:lang w:val="cs-CZ"/>
        </w:rPr>
        <w:t>. L 178, 16.7.2018, s. 1, ELI: </w:t>
      </w:r>
      <w:hyperlink r:id="rId8" w:tooltip="Umožňuje přístup k tomuto dokumentu prostřednictvím jeho identifikátoru URI používaného v rámci ELI." w:history="1">
        <w:r w:rsidRPr="00122BA1">
          <w:rPr>
            <w:rStyle w:val="Hyperlink"/>
            <w:sz w:val="24"/>
            <w:lang w:val="cs-CZ"/>
          </w:rPr>
          <w:t>http://data.europa.eu/</w:t>
        </w:r>
        <w:proofErr w:type="spellStart"/>
        <w:r w:rsidRPr="00122BA1">
          <w:rPr>
            <w:rStyle w:val="Hyperlink"/>
            <w:sz w:val="24"/>
            <w:lang w:val="cs-CZ"/>
          </w:rPr>
          <w:t>eli</w:t>
        </w:r>
        <w:proofErr w:type="spellEnd"/>
        <w:r w:rsidRPr="00122BA1">
          <w:rPr>
            <w:rStyle w:val="Hyperlink"/>
            <w:sz w:val="24"/>
            <w:lang w:val="cs-CZ"/>
          </w:rPr>
          <w:t>/dec/2018/994/oj</w:t>
        </w:r>
      </w:hyperlink>
      <w:r w:rsidRPr="00122BA1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B13C" w14:textId="77777777" w:rsidR="00064002" w:rsidRPr="00122B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5840" w14:textId="77777777" w:rsidR="00064002" w:rsidRPr="00122B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5F51" w14:textId="77777777" w:rsidR="00064002" w:rsidRPr="00122B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3418617">
    <w:abstractNumId w:val="9"/>
  </w:num>
  <w:num w:numId="2" w16cid:durableId="967972816">
    <w:abstractNumId w:val="9"/>
  </w:num>
  <w:num w:numId="3" w16cid:durableId="1682194860">
    <w:abstractNumId w:val="7"/>
  </w:num>
  <w:num w:numId="4" w16cid:durableId="1059481283">
    <w:abstractNumId w:val="7"/>
  </w:num>
  <w:num w:numId="5" w16cid:durableId="949314534">
    <w:abstractNumId w:val="6"/>
  </w:num>
  <w:num w:numId="6" w16cid:durableId="177817997">
    <w:abstractNumId w:val="6"/>
  </w:num>
  <w:num w:numId="7" w16cid:durableId="2047947109">
    <w:abstractNumId w:val="5"/>
  </w:num>
  <w:num w:numId="8" w16cid:durableId="1185168731">
    <w:abstractNumId w:val="5"/>
  </w:num>
  <w:num w:numId="9" w16cid:durableId="473331688">
    <w:abstractNumId w:val="4"/>
  </w:num>
  <w:num w:numId="10" w16cid:durableId="410549006">
    <w:abstractNumId w:val="4"/>
  </w:num>
  <w:num w:numId="11" w16cid:durableId="454756935">
    <w:abstractNumId w:val="8"/>
  </w:num>
  <w:num w:numId="12" w16cid:durableId="1802576678">
    <w:abstractNumId w:val="8"/>
  </w:num>
  <w:num w:numId="13" w16cid:durableId="305857377">
    <w:abstractNumId w:val="3"/>
  </w:num>
  <w:num w:numId="14" w16cid:durableId="1596789187">
    <w:abstractNumId w:val="3"/>
  </w:num>
  <w:num w:numId="15" w16cid:durableId="1608853329">
    <w:abstractNumId w:val="2"/>
  </w:num>
  <w:num w:numId="16" w16cid:durableId="1068529149">
    <w:abstractNumId w:val="2"/>
  </w:num>
  <w:num w:numId="17" w16cid:durableId="1139884719">
    <w:abstractNumId w:val="1"/>
  </w:num>
  <w:num w:numId="18" w16cid:durableId="1340423621">
    <w:abstractNumId w:val="1"/>
  </w:num>
  <w:num w:numId="19" w16cid:durableId="1408696369">
    <w:abstractNumId w:val="0"/>
  </w:num>
  <w:num w:numId="20" w16cid:durableId="1405764775">
    <w:abstractNumId w:val="0"/>
  </w:num>
  <w:num w:numId="21" w16cid:durableId="2013801985">
    <w:abstractNumId w:val="9"/>
  </w:num>
  <w:num w:numId="22" w16cid:durableId="372920592">
    <w:abstractNumId w:val="7"/>
  </w:num>
  <w:num w:numId="23" w16cid:durableId="1329627008">
    <w:abstractNumId w:val="6"/>
  </w:num>
  <w:num w:numId="24" w16cid:durableId="1347950697">
    <w:abstractNumId w:val="5"/>
  </w:num>
  <w:num w:numId="25" w16cid:durableId="633870721">
    <w:abstractNumId w:val="4"/>
  </w:num>
  <w:num w:numId="26" w16cid:durableId="1951468173">
    <w:abstractNumId w:val="8"/>
  </w:num>
  <w:num w:numId="27" w16cid:durableId="1408531809">
    <w:abstractNumId w:val="3"/>
  </w:num>
  <w:num w:numId="28" w16cid:durableId="382801693">
    <w:abstractNumId w:val="2"/>
  </w:num>
  <w:num w:numId="29" w16cid:durableId="32727883">
    <w:abstractNumId w:val="1"/>
  </w:num>
  <w:num w:numId="30" w16cid:durableId="81220635">
    <w:abstractNumId w:val="0"/>
  </w:num>
  <w:num w:numId="31" w16cid:durableId="193345564">
    <w:abstractNumId w:val="9"/>
  </w:num>
  <w:num w:numId="32" w16cid:durableId="1165633563">
    <w:abstractNumId w:val="7"/>
  </w:num>
  <w:num w:numId="33" w16cid:durableId="1920673168">
    <w:abstractNumId w:val="6"/>
  </w:num>
  <w:num w:numId="34" w16cid:durableId="2014919710">
    <w:abstractNumId w:val="5"/>
  </w:num>
  <w:num w:numId="35" w16cid:durableId="447117864">
    <w:abstractNumId w:val="4"/>
  </w:num>
  <w:num w:numId="36" w16cid:durableId="1272668658">
    <w:abstractNumId w:val="8"/>
  </w:num>
  <w:num w:numId="37" w16cid:durableId="185485813">
    <w:abstractNumId w:val="3"/>
  </w:num>
  <w:num w:numId="38" w16cid:durableId="2077967830">
    <w:abstractNumId w:val="2"/>
  </w:num>
  <w:num w:numId="39" w16cid:durableId="477189012">
    <w:abstractNumId w:val="1"/>
  </w:num>
  <w:num w:numId="40" w16cid:durableId="1375541839">
    <w:abstractNumId w:val="0"/>
  </w:num>
  <w:num w:numId="41" w16cid:durableId="956910020">
    <w:abstractNumId w:val="10"/>
  </w:num>
  <w:num w:numId="42" w16cid:durableId="815608739">
    <w:abstractNumId w:val="10"/>
  </w:num>
  <w:num w:numId="43" w16cid:durableId="486020841">
    <w:abstractNumId w:val="10"/>
  </w:num>
  <w:num w:numId="44" w16cid:durableId="913248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2/2025"/>
    <w:docVar w:name="dvlangue" w:val="CS"/>
    <w:docVar w:name="dvnumam" w:val="0"/>
    <w:docVar w:name="dvpe" w:val="767.970"/>
    <w:docVar w:name="dvrapporteur" w:val="Zpravodaj: "/>
    <w:docVar w:name="dvtitre" w:val="Usnesení Evropského parlamentu ze dne.... 2026 k reformě aktu o volbách do Evropského parlamentu – překážky ratifikace a provádění v členských státech(2025/2028(INI))"/>
  </w:docVars>
  <w:rsids>
    <w:rsidRoot w:val="0013158E"/>
    <w:rsid w:val="00002272"/>
    <w:rsid w:val="00064002"/>
    <w:rsid w:val="000677B9"/>
    <w:rsid w:val="000831BA"/>
    <w:rsid w:val="000A42CC"/>
    <w:rsid w:val="000D5E1D"/>
    <w:rsid w:val="000E7DD9"/>
    <w:rsid w:val="0010095E"/>
    <w:rsid w:val="00122BA1"/>
    <w:rsid w:val="00125B37"/>
    <w:rsid w:val="0013158E"/>
    <w:rsid w:val="0015576F"/>
    <w:rsid w:val="00187494"/>
    <w:rsid w:val="001F32AE"/>
    <w:rsid w:val="00200410"/>
    <w:rsid w:val="00210F52"/>
    <w:rsid w:val="002452C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195"/>
    <w:rsid w:val="00545827"/>
    <w:rsid w:val="00560270"/>
    <w:rsid w:val="005C2568"/>
    <w:rsid w:val="005F1B17"/>
    <w:rsid w:val="006037C0"/>
    <w:rsid w:val="006631B6"/>
    <w:rsid w:val="00680577"/>
    <w:rsid w:val="006D7CDD"/>
    <w:rsid w:val="006F74FA"/>
    <w:rsid w:val="00731ADD"/>
    <w:rsid w:val="00734777"/>
    <w:rsid w:val="00747932"/>
    <w:rsid w:val="00751A4A"/>
    <w:rsid w:val="00756632"/>
    <w:rsid w:val="00762C74"/>
    <w:rsid w:val="0078365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86B58"/>
  <w15:chartTrackingRefBased/>
  <w15:docId w15:val="{387E637C-5E0C-45FB-8C84-CC02F6C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2195"/>
    <w:pPr>
      <w:spacing w:after="240"/>
      <w:ind w:left="567" w:hanging="567"/>
    </w:pPr>
  </w:style>
  <w:style w:type="paragraph" w:customStyle="1" w:styleId="Subheading">
    <w:name w:val="Subheading"/>
    <w:basedOn w:val="Normal"/>
    <w:rsid w:val="00532195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532195"/>
    <w:pPr>
      <w:spacing w:before="480" w:after="240"/>
    </w:pPr>
  </w:style>
  <w:style w:type="character" w:styleId="Hyperlink">
    <w:name w:val="Hyperlink"/>
    <w:basedOn w:val="DefaultParagraphFont"/>
    <w:rsid w:val="005321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18/994/oj" TargetMode="External"/><Relationship Id="rId3" Type="http://schemas.openxmlformats.org/officeDocument/2006/relationships/hyperlink" Target="http://data.europa.eu/eli/agree_interinstit/2010/1120/oj" TargetMode="External"/><Relationship Id="rId7" Type="http://schemas.openxmlformats.org/officeDocument/2006/relationships/hyperlink" Target="http://data.europa.eu/eli/reg/2014/1141/oj" TargetMode="External"/><Relationship Id="rId2" Type="http://schemas.openxmlformats.org/officeDocument/2006/relationships/hyperlink" Target="http://data.europa.eu/eli/dec/1976/787(1)/oj" TargetMode="External"/><Relationship Id="rId1" Type="http://schemas.openxmlformats.org/officeDocument/2006/relationships/hyperlink" Target="http://data.europa.eu/eli/dec/1976/787(2)/oj" TargetMode="External"/><Relationship Id="rId6" Type="http://schemas.openxmlformats.org/officeDocument/2006/relationships/hyperlink" Target="http://data.europa.eu/eli/dec/2018/994/oj" TargetMode="External"/><Relationship Id="rId5" Type="http://schemas.openxmlformats.org/officeDocument/2006/relationships/hyperlink" Target="https://eur-lex.europa.eu/legal-content/CS/TXT/?uri=oj:JOC_2022_465_R_0018" TargetMode="External"/><Relationship Id="rId4" Type="http://schemas.openxmlformats.org/officeDocument/2006/relationships/hyperlink" Target="https://eur-lex.europa.eu/legal-content/CS/TXT/?uri=CELEX:52015IP0395&amp;qid=17496537264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2486</Words>
  <Characters>14771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SEMEDO Teresa</cp:lastModifiedBy>
  <cp:revision>3</cp:revision>
  <cp:lastPrinted>2004-11-19T15:42:00Z</cp:lastPrinted>
  <dcterms:created xsi:type="dcterms:W3CDTF">2026-01-20T12:53:00Z</dcterms:created>
  <dcterms:modified xsi:type="dcterms:W3CDTF">2026-05-26T10:13:00Z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A10-0252/2025</vt:lpwstr>
  </property>
  <property fmtid="{D5CDD505-2E9C-101B-9397-08002B2CF9AE}" pid="4" name="&lt;Type&gt;">
    <vt:lpwstr>RR</vt:lpwstr>
  </property>
</Properties>
</file>