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4A1" w14:paraId="3259F522" w14:textId="77777777" w:rsidTr="0010095E">
        <w:trPr>
          <w:trHeight w:hRule="exact" w:val="1418"/>
        </w:trPr>
        <w:tc>
          <w:tcPr>
            <w:tcW w:w="6804" w:type="dxa"/>
            <w:shd w:val="clear" w:color="auto" w:fill="auto"/>
            <w:vAlign w:val="center"/>
          </w:tcPr>
          <w:p w14:paraId="1D01A574" w14:textId="77777777" w:rsidR="00751A4A" w:rsidRPr="00D544A1" w:rsidRDefault="00F41989" w:rsidP="0010095E">
            <w:pPr>
              <w:pStyle w:val="EPName"/>
            </w:pPr>
            <w:r w:rsidRPr="00D544A1">
              <w:t>Ευρωπαϊκό Κοινοβούλιο</w:t>
            </w:r>
          </w:p>
          <w:p w14:paraId="633521E3" w14:textId="77777777" w:rsidR="00751A4A" w:rsidRPr="00D544A1" w:rsidRDefault="005F1B17" w:rsidP="005F1B17">
            <w:pPr>
              <w:pStyle w:val="EPTerm"/>
              <w:rPr>
                <w:rStyle w:val="HideTWBExt"/>
                <w:noProof w:val="0"/>
                <w:vanish w:val="0"/>
                <w:color w:val="auto"/>
              </w:rPr>
            </w:pPr>
            <w:r w:rsidRPr="00D544A1">
              <w:t>2024</w:t>
            </w:r>
            <w:r w:rsidR="00817416" w:rsidRPr="00D544A1">
              <w:t>-202</w:t>
            </w:r>
            <w:r w:rsidRPr="00D544A1">
              <w:t>9</w:t>
            </w:r>
          </w:p>
        </w:tc>
        <w:tc>
          <w:tcPr>
            <w:tcW w:w="2268" w:type="dxa"/>
            <w:shd w:val="clear" w:color="auto" w:fill="auto"/>
          </w:tcPr>
          <w:p w14:paraId="0861FE00" w14:textId="77777777" w:rsidR="00751A4A" w:rsidRPr="00D544A1" w:rsidRDefault="00187494" w:rsidP="0010095E">
            <w:pPr>
              <w:pStyle w:val="EPLogo"/>
            </w:pPr>
            <w:r w:rsidRPr="00D544A1">
              <w:rPr>
                <w:noProof/>
                <w:lang w:eastAsia="ja-JP"/>
              </w:rPr>
              <w:drawing>
                <wp:inline distT="0" distB="0" distL="0" distR="0" wp14:anchorId="78958AA2" wp14:editId="1BF46D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1DD67E" w14:textId="77777777" w:rsidR="00D058B8" w:rsidRPr="00D544A1" w:rsidRDefault="00D058B8" w:rsidP="004C5D52">
      <w:pPr>
        <w:pStyle w:val="LineTop"/>
      </w:pPr>
    </w:p>
    <w:p w14:paraId="53BA8201" w14:textId="77777777" w:rsidR="00680577" w:rsidRPr="00D544A1" w:rsidRDefault="00F41989" w:rsidP="00680577">
      <w:pPr>
        <w:pStyle w:val="EPBodyTA1"/>
      </w:pPr>
      <w:r w:rsidRPr="00D544A1">
        <w:t>ΚΕΙΜΕΝΑ ΠΟΥ ΕΓΚΡΙΘΗΚΑΝ</w:t>
      </w:r>
    </w:p>
    <w:p w14:paraId="351A3F39" w14:textId="77777777" w:rsidR="00D058B8" w:rsidRPr="00D544A1" w:rsidRDefault="00D058B8" w:rsidP="00D058B8">
      <w:pPr>
        <w:pStyle w:val="LineBottom"/>
      </w:pPr>
    </w:p>
    <w:p w14:paraId="4AF845E6" w14:textId="0CAB88FA" w:rsidR="00F41989" w:rsidRPr="00424DF8" w:rsidRDefault="00F41989" w:rsidP="00F41989">
      <w:pPr>
        <w:pStyle w:val="ATHeading1"/>
      </w:pPr>
      <w:bookmarkStart w:id="0" w:name="TANumber"/>
      <w:r w:rsidRPr="00D544A1">
        <w:t>P10_TA(2026)000</w:t>
      </w:r>
      <w:r w:rsidR="00424DF8" w:rsidRPr="00424DF8">
        <w:t>6</w:t>
      </w:r>
      <w:bookmarkEnd w:id="0"/>
    </w:p>
    <w:p w14:paraId="319E5A61" w14:textId="77777777" w:rsidR="00F41989" w:rsidRPr="00D544A1" w:rsidRDefault="00F41989" w:rsidP="00F41989">
      <w:pPr>
        <w:pStyle w:val="ATHeading2"/>
      </w:pPr>
      <w:bookmarkStart w:id="1" w:name="title"/>
      <w:r w:rsidRPr="00D544A1">
        <w:t>Μεταρρύθμιση της Ευρωπαϊκής Εκλογικής Πράξης — εμπόδια για την επικύρωση και την εφαρμογή της στα κράτη μέλη</w:t>
      </w:r>
      <w:bookmarkEnd w:id="1"/>
    </w:p>
    <w:p w14:paraId="22FDFC34" w14:textId="77777777" w:rsidR="00F41989" w:rsidRPr="00D544A1" w:rsidRDefault="00F41989" w:rsidP="00F41989">
      <w:pPr>
        <w:rPr>
          <w:i/>
          <w:vanish/>
        </w:rPr>
      </w:pPr>
      <w:r w:rsidRPr="00D544A1">
        <w:rPr>
          <w:i/>
        </w:rPr>
        <w:fldChar w:fldCharType="begin"/>
      </w:r>
      <w:r w:rsidRPr="00D544A1">
        <w:rPr>
          <w:i/>
        </w:rPr>
        <w:instrText xml:space="preserve"> TC"(</w:instrText>
      </w:r>
      <w:bookmarkStart w:id="2" w:name="DocNumber"/>
      <w:r w:rsidRPr="00D544A1">
        <w:rPr>
          <w:i/>
        </w:rPr>
        <w:instrText>A10-0252/2025</w:instrText>
      </w:r>
      <w:bookmarkEnd w:id="2"/>
      <w:r w:rsidRPr="00D544A1">
        <w:rPr>
          <w:i/>
        </w:rPr>
        <w:instrText xml:space="preserve"> - Εισηγητής: Borja Giménez Larraz)"\l3 \n&gt; \* MERGEFORMAT </w:instrText>
      </w:r>
      <w:r w:rsidRPr="00D544A1">
        <w:rPr>
          <w:i/>
        </w:rPr>
        <w:fldChar w:fldCharType="end"/>
      </w:r>
    </w:p>
    <w:p w14:paraId="04C11CE1" w14:textId="77777777" w:rsidR="00F41989" w:rsidRPr="00D544A1" w:rsidRDefault="00F41989" w:rsidP="00F41989">
      <w:pPr>
        <w:rPr>
          <w:vanish/>
        </w:rPr>
      </w:pPr>
      <w:bookmarkStart w:id="3" w:name="Commission"/>
      <w:r w:rsidRPr="00D544A1">
        <w:rPr>
          <w:vanish/>
        </w:rPr>
        <w:t>Επιτροπή Συνταγματικών Υποθέσεων</w:t>
      </w:r>
      <w:bookmarkEnd w:id="3"/>
    </w:p>
    <w:p w14:paraId="7F7D89E0" w14:textId="77777777" w:rsidR="00F41989" w:rsidRPr="00D544A1" w:rsidRDefault="00F41989" w:rsidP="00F41989">
      <w:pPr>
        <w:rPr>
          <w:vanish/>
        </w:rPr>
      </w:pPr>
      <w:bookmarkStart w:id="4" w:name="PE"/>
      <w:r w:rsidRPr="00D544A1">
        <w:rPr>
          <w:vanish/>
        </w:rPr>
        <w:t>PE767.970</w:t>
      </w:r>
      <w:bookmarkEnd w:id="4"/>
    </w:p>
    <w:p w14:paraId="0E1F41AD" w14:textId="4C1DA556" w:rsidR="00F41989" w:rsidRPr="00D544A1" w:rsidRDefault="00F41989" w:rsidP="00F41989">
      <w:pPr>
        <w:pStyle w:val="ATHeading3"/>
      </w:pPr>
      <w:bookmarkStart w:id="5" w:name="Sujet"/>
      <w:r w:rsidRPr="00D544A1">
        <w:t xml:space="preserve">Ψήφισμα του Ευρωπαϊκού Κοινοβουλίου της </w:t>
      </w:r>
      <w:r w:rsidR="004D3A9B">
        <w:t>20ής Ιανουαρίου</w:t>
      </w:r>
      <w:r w:rsidR="004D3A9B" w:rsidRPr="00D544A1">
        <w:t xml:space="preserve"> </w:t>
      </w:r>
      <w:r w:rsidRPr="00D544A1">
        <w:t>2026 σχετικά με τη μεταρρύθμιση της Ευρωπαϊκής Εκλογικής Πράξης — εμπόδια για την επικύρωση και την εφαρμογή της στα κράτη μέλη</w:t>
      </w:r>
      <w:bookmarkEnd w:id="5"/>
      <w:r w:rsidRPr="00D544A1">
        <w:t xml:space="preserve"> </w:t>
      </w:r>
      <w:bookmarkStart w:id="6" w:name="References"/>
      <w:r w:rsidRPr="00D544A1">
        <w:t>(2025/2028(INI))</w:t>
      </w:r>
      <w:bookmarkEnd w:id="6"/>
    </w:p>
    <w:p w14:paraId="213F57D1" w14:textId="77777777" w:rsidR="008B71CB" w:rsidRPr="00D544A1" w:rsidRDefault="008B71CB" w:rsidP="008B71CB">
      <w:pPr>
        <w:pStyle w:val="EPComma"/>
      </w:pPr>
      <w:bookmarkStart w:id="7" w:name="TextBodyBegin"/>
      <w:bookmarkEnd w:id="7"/>
      <w:r w:rsidRPr="00D544A1">
        <w:rPr>
          <w:i/>
          <w:iCs/>
        </w:rPr>
        <w:t>Το Ευρωπαϊκό Κοινοβούλιο,</w:t>
      </w:r>
    </w:p>
    <w:p w14:paraId="1618A7D3" w14:textId="77777777" w:rsidR="008B71CB" w:rsidRPr="00D544A1" w:rsidRDefault="008B71CB" w:rsidP="008B71CB">
      <w:pPr>
        <w:pStyle w:val="NormalHanging12a"/>
      </w:pPr>
      <w:r w:rsidRPr="00D544A1">
        <w:t>–</w:t>
      </w:r>
      <w:r w:rsidRPr="00D544A1">
        <w:tab/>
        <w:t>έχοντας υπόψη τις Συνθήκες, καθώς ιδίως τα άρθρα 9, 10, 14 και 17 παράγραφος 7 της Συνθήκης για την Ευρωπαϊκή Ένωση (ΣΕΕ), και τα άρθρα 22, 223 παράγραφος 1 και 225 της Συνθήκης για τη λειτουργία της Ευρωπαϊκής Ένωσης (ΣΛΕΕ),</w:t>
      </w:r>
    </w:p>
    <w:p w14:paraId="4AEAF449" w14:textId="77777777" w:rsidR="008B71CB" w:rsidRPr="00D544A1" w:rsidRDefault="008B71CB" w:rsidP="008B71CB">
      <w:pPr>
        <w:pStyle w:val="NormalHanging12a"/>
      </w:pPr>
      <w:r w:rsidRPr="00D544A1">
        <w:t>–</w:t>
      </w:r>
      <w:r w:rsidRPr="00D544A1">
        <w:tab/>
        <w:t>έχοντας υπόψη την πράξη περί εκλογής των μελών του Ευρωπαϊκού Κοινοβουλίου με άμεση και καθολική ψηφοφορία</w:t>
      </w:r>
      <w:r w:rsidRPr="00D544A1">
        <w:rPr>
          <w:rStyle w:val="FootnoteReference"/>
        </w:rPr>
        <w:footnoteReference w:id="1"/>
      </w:r>
      <w:r w:rsidRPr="00D544A1">
        <w:t xml:space="preserve"> («ευρωπαϊκή εκλογική πράξη»), που προσαρτάται στην απόφαση του Συμβουλίου της 20ής Σεπτεμβρίου 1976</w:t>
      </w:r>
      <w:r w:rsidRPr="00D544A1">
        <w:rPr>
          <w:rStyle w:val="FootnoteReference"/>
        </w:rPr>
        <w:footnoteReference w:id="2"/>
      </w:r>
      <w:r w:rsidRPr="00D544A1">
        <w:t>, όπως τροποποιήθηκε,</w:t>
      </w:r>
    </w:p>
    <w:p w14:paraId="32AA7BEC" w14:textId="77777777" w:rsidR="008B71CB" w:rsidRPr="00D544A1" w:rsidRDefault="008B71CB" w:rsidP="008B71CB">
      <w:pPr>
        <w:pStyle w:val="NormalHanging12a"/>
      </w:pPr>
      <w:r w:rsidRPr="00D544A1">
        <w:t>–</w:t>
      </w:r>
      <w:r w:rsidRPr="00D544A1">
        <w:tab/>
        <w:t>έχοντας υπόψη τη συμφωνία-πλαίσιο της 20ής Οκτωβρίου 2010 για τις σχέσεις μεταξύ του Ευρωπαϊκού Κοινοβουλίου και της Ευρωπαϊκής Επιτροπής</w:t>
      </w:r>
      <w:r w:rsidRPr="00D544A1">
        <w:rPr>
          <w:rStyle w:val="FootnoteReference"/>
        </w:rPr>
        <w:footnoteReference w:id="3"/>
      </w:r>
      <w:r w:rsidRPr="00D544A1">
        <w:t>,</w:t>
      </w:r>
    </w:p>
    <w:p w14:paraId="5160D9AF" w14:textId="77777777" w:rsidR="008B71CB" w:rsidRPr="00D544A1" w:rsidRDefault="008B71CB" w:rsidP="008B71CB">
      <w:pPr>
        <w:pStyle w:val="NormalHanging12a"/>
      </w:pPr>
      <w:r w:rsidRPr="00D544A1">
        <w:t>–</w:t>
      </w:r>
      <w:r w:rsidRPr="00D544A1">
        <w:tab/>
        <w:t>έχοντας υπόψη το ψήφισμά του της 11ης Νοεμβρίου 2015 σχετικά με την αναθεώρηση της εκλογικής νομοθεσίας της Ευρωπαϊκής Ένωσης</w:t>
      </w:r>
      <w:r w:rsidRPr="00D544A1">
        <w:rPr>
          <w:rStyle w:val="FootnoteReference"/>
        </w:rPr>
        <w:footnoteReference w:id="4"/>
      </w:r>
      <w:r w:rsidRPr="00D544A1">
        <w:t>,</w:t>
      </w:r>
    </w:p>
    <w:p w14:paraId="0B8BFD52" w14:textId="77777777" w:rsidR="008B71CB" w:rsidRPr="00D544A1" w:rsidRDefault="008B71CB" w:rsidP="008B71CB">
      <w:pPr>
        <w:pStyle w:val="NormalHanging12a"/>
      </w:pPr>
      <w:r w:rsidRPr="00D544A1">
        <w:t>–</w:t>
      </w:r>
      <w:r w:rsidRPr="00D544A1">
        <w:tab/>
        <w:t>έχοντας υπόψη τη θέση του της 3ης Μαΐου 2022 σχετικά με την πρόταση κανονισμού του Συμβουλίου για την εκλογή των μελών του Ευρωπαϊκού Κοινοβουλίου με άμεση καθολική ψηφοφορία, και την κατάργηση της απόφασης (76/787/ΕΚΑΧ, ΕΟΚ, Ευρατόμ) του Συμβουλίου, καθώς και της πράξης περί εκλογής των μελών στο Ευρωπαϊκό Κοινοβούλιο με άμεση καθολική ψηφοφορία που προσαρτάται στην εν λόγω απόφαση (2020/2220(INL) – 2022/0902(APP))</w:t>
      </w:r>
      <w:r w:rsidRPr="00D544A1">
        <w:rPr>
          <w:rStyle w:val="FootnoteReference"/>
        </w:rPr>
        <w:footnoteReference w:id="5"/>
      </w:r>
      <w:r w:rsidRPr="00D544A1">
        <w:t>,</w:t>
      </w:r>
    </w:p>
    <w:p w14:paraId="1481F81A" w14:textId="77777777" w:rsidR="008B71CB" w:rsidRPr="00D544A1" w:rsidRDefault="008B71CB" w:rsidP="008B71CB">
      <w:pPr>
        <w:pStyle w:val="NormalHanging12a"/>
      </w:pPr>
      <w:r w:rsidRPr="00D544A1">
        <w:lastRenderedPageBreak/>
        <w:t>–</w:t>
      </w:r>
      <w:r w:rsidRPr="00D544A1">
        <w:tab/>
        <w:t>έχοντας υπόψη την απόφαση (ΕΕ, Ευρατόμ) 2018/994 του Συμβουλίου, της 13ης Ιουλίου 2018, για την τροποποίηση της πράξης περί εκλογής των μελών του Ευρωπαϊκού Κοινοβουλίου με άμεση και καθολική ψηφοφορία, που προσαρτάται στην απόφαση 76/787/ΕΚΑΧ, ΕΟΚ, Ευρατόμ της 20ής Σεπτεμβρίου 1976 του Συμβουλίου</w:t>
      </w:r>
      <w:r w:rsidRPr="00D544A1">
        <w:rPr>
          <w:rStyle w:val="FootnoteReference"/>
        </w:rPr>
        <w:footnoteReference w:id="6"/>
      </w:r>
      <w:r w:rsidRPr="00D544A1">
        <w:t>,</w:t>
      </w:r>
    </w:p>
    <w:p w14:paraId="5917B198" w14:textId="77777777" w:rsidR="008B71CB" w:rsidRPr="00D544A1" w:rsidRDefault="008B71CB" w:rsidP="008B71CB">
      <w:pPr>
        <w:pStyle w:val="NormalHanging12a"/>
      </w:pPr>
      <w:r w:rsidRPr="00D544A1">
        <w:t>–</w:t>
      </w:r>
      <w:r w:rsidRPr="00D544A1">
        <w:rPr>
          <w:b/>
          <w:i/>
        </w:rPr>
        <w:tab/>
      </w:r>
      <w:r w:rsidRPr="00D544A1">
        <w:t>έχοντας υπόψη τη Σύμβαση των Ηνωμένων Εθνών για τα δικαιώματα των ατόμων με αναπηρία·</w:t>
      </w:r>
    </w:p>
    <w:p w14:paraId="7D04FE3D" w14:textId="77777777" w:rsidR="008B71CB" w:rsidRPr="00D544A1" w:rsidRDefault="008B71CB" w:rsidP="008B71CB">
      <w:pPr>
        <w:pStyle w:val="NormalHanging12a"/>
      </w:pPr>
      <w:r w:rsidRPr="00D544A1">
        <w:t>–</w:t>
      </w:r>
      <w:r w:rsidRPr="00D544A1">
        <w:tab/>
        <w:t>έχοντας υπόψη το άρθρο 55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 διαδικασία εξουσιοδότησης της κατάρτισης εκθέσεων πρωτοβουλίας,</w:t>
      </w:r>
    </w:p>
    <w:p w14:paraId="439A6B30" w14:textId="77777777" w:rsidR="008B71CB" w:rsidRPr="00D544A1" w:rsidRDefault="008B71CB" w:rsidP="004D3A9B">
      <w:pPr>
        <w:pStyle w:val="NormalHanging12a"/>
      </w:pPr>
      <w:r w:rsidRPr="00D544A1">
        <w:t>–</w:t>
      </w:r>
      <w:r w:rsidRPr="00D544A1">
        <w:tab/>
        <w:t>έχοντας υπόψη την έκθεση της Επιτροπής Συνταγματικών Υποθέσεων (A10-0252/2025),</w:t>
      </w:r>
    </w:p>
    <w:p w14:paraId="160EE230" w14:textId="77777777" w:rsidR="008B71CB" w:rsidRPr="00D544A1" w:rsidRDefault="008B71CB" w:rsidP="004D3A9B">
      <w:pPr>
        <w:pStyle w:val="NormalHanging12a"/>
        <w:tabs>
          <w:tab w:val="left" w:pos="567"/>
        </w:tabs>
      </w:pPr>
      <w:r w:rsidRPr="00D544A1">
        <w:t>Α.</w:t>
      </w:r>
      <w:r w:rsidRPr="00D544A1">
        <w:tab/>
        <w:t xml:space="preserve">λαμβάνοντας υπόψη ότι με το άρθρο 223 ΣΛΕΕ παρέχεται στο Κοινοβούλιο το δικαίωμα να δρομολογήσει τη μεταρρύθμιση της εκλογικής του διαδικασίας, με στόχο τη θέσπιση ενιαίας διαδικασίας που να εφαρμόζεται σε ολόκληρη την ΕΕ ή μιας διαδικασίας που να βασίζεται σε κοινές αρχές όλων των κρατών μελών, και να δώσει την έγκρισή του· λαμβάνοντας υπόψη ότι τα θεσμικά όργανα της ΕΕ και τα κράτη μέλη δεσμεύονται από την αρχή της αμοιβαίας καλόπιστης συνεργασίας, όπως ορίζεται στο άρθρο 4 παράγραφος 3 ΣΕΕ· </w:t>
      </w:r>
    </w:p>
    <w:p w14:paraId="5408056E" w14:textId="77777777" w:rsidR="008B71CB" w:rsidRPr="00D544A1" w:rsidRDefault="008B71CB" w:rsidP="008B71CB">
      <w:pPr>
        <w:pStyle w:val="NormalHanging12a"/>
        <w:ind w:hanging="570"/>
        <w:rPr>
          <w:bCs/>
          <w:iCs/>
        </w:rPr>
      </w:pPr>
      <w:r w:rsidRPr="00D544A1">
        <w:t>Β.</w:t>
      </w:r>
      <w:r w:rsidRPr="00D544A1">
        <w:tab/>
        <w:t xml:space="preserve">λαμβάνοντας υπόψη ότι μια ενιαία εκλογική διαδικασία όχι μόνο θα διασφάλιζε μεγαλύτερη ισότητα και διαφάνεια της ψηφοφορίας, αλλά θα ενίσχυε επίσης την ανάδυση μιας ευρωπαϊκής πολιτικής και δημόσιας σφαίρας, ενισχύοντας τη νομιμότητα της ΕΕ και των θεσμικών της οργάνων· </w:t>
      </w:r>
    </w:p>
    <w:p w14:paraId="52C53D6D" w14:textId="77777777" w:rsidR="008B71CB" w:rsidRPr="00D544A1" w:rsidRDefault="008B71CB" w:rsidP="004D3A9B">
      <w:pPr>
        <w:pStyle w:val="NormalHanging12a"/>
      </w:pPr>
      <w:r w:rsidRPr="00D544A1">
        <w:t>Γ.</w:t>
      </w:r>
      <w:r w:rsidRPr="00D544A1">
        <w:tab/>
        <w:t xml:space="preserve">λαμβάνοντας υπόψη ότι, σύμφωνα με το άρθρο 223 παράγραφος 1 ΣΛΕΕ, η έναρξη ισχύος της τροποποιημένης ευρωπαϊκής εκλογικής πράξης υπόκειται στην έγκριση όλων των κρατών μελών σύμφωνα με τους αντίστοιχους συνταγματικούς τους κανόνες, ενώ κάθε κράτος μέλος διατηρεί πλήρη διακριτική ευχέρεια όσον αφορά την επικύρωσή της· </w:t>
      </w:r>
    </w:p>
    <w:p w14:paraId="73D27116" w14:textId="77777777" w:rsidR="008B71CB" w:rsidRPr="00D544A1" w:rsidRDefault="008B71CB" w:rsidP="004D3A9B">
      <w:pPr>
        <w:pStyle w:val="NormalHanging12a"/>
      </w:pPr>
      <w:r w:rsidRPr="00D544A1">
        <w:t>Δ.</w:t>
      </w:r>
      <w:r w:rsidRPr="00D544A1">
        <w:tab/>
        <w:t>λαμβάνοντας υπόψη ότι η δυνατότητα καθιέρωσης ενιαίας εκλογικής διαδικασίας βασιζόμενης στην άμεση και καθολική ψηφοφορία έχει κατοχυρωθεί στις Συνθήκες από το 1957·</w:t>
      </w:r>
    </w:p>
    <w:p w14:paraId="6B4947CF" w14:textId="77777777" w:rsidR="008B71CB" w:rsidRPr="00D544A1" w:rsidRDefault="008B71CB" w:rsidP="004D3A9B">
      <w:pPr>
        <w:pStyle w:val="NormalHanging12a"/>
        <w:rPr>
          <w:bCs/>
          <w:iCs/>
        </w:rPr>
      </w:pPr>
      <w:r w:rsidRPr="00D544A1">
        <w:t>Ε.</w:t>
      </w:r>
      <w:r w:rsidRPr="00D544A1">
        <w:tab/>
        <w:t xml:space="preserve">λαμβάνοντας υπόψη ότι η ευρωπαϊκή εκλογική πράξη του 1976 ανέφερε σαφώς τον στόχο της θέσπισης μιας τέτοιας ενιαίας διαδικασίας και ανέθετε ρητά στο Κοινοβούλιο να λάβει τα αναγκαία μέτρα για τον σκοπό αυτόν· λαμβάνοντας υπόψη ότι η δυνατότητα θέσπισης «κοινών αρχών» αντί εναρμονισμένης διαδικασίας εισήχθη μόνο σε μεταγενέστερο στάδιο, ως ρεαλιστική απάντηση στις συνεχιζόμενες δυσκολίες για την επίτευξη ομόφωνης συμφωνίας σχετικά με μια ενιαία εκλογική διαδικασία· λαμβάνοντας υπόψη ότι αυτή η αλλαγή προσέγγισης έχει οδηγήσει σε μια επίμονη, άνιση εφαρμογή των εκλογικών μεταρρυθμίσεων, υπονομεύοντας έτσι το αρχικό πνεύμα των Συνθηκών και της ευρωπαϊκής εκλογικής πράξης του 1976, και </w:t>
      </w:r>
      <w:r w:rsidRPr="00D544A1">
        <w:lastRenderedPageBreak/>
        <w:t>καθυστερώντας τη θέσπιση ενός ευρωπαϊκού εκλογικού πλαισίου·</w:t>
      </w:r>
    </w:p>
    <w:p w14:paraId="7554C2E9" w14:textId="77777777" w:rsidR="008B71CB" w:rsidRPr="00D544A1" w:rsidRDefault="008B71CB" w:rsidP="004D3A9B">
      <w:pPr>
        <w:pStyle w:val="NormalHanging12a"/>
      </w:pPr>
      <w:r w:rsidRPr="00D544A1">
        <w:t>ΣΤ.</w:t>
      </w:r>
      <w:r w:rsidRPr="00D544A1">
        <w:tab/>
        <w:t xml:space="preserve">λαμβάνοντας υπόψη ότι η μεταρρύθμιση της εκλογικής διαδικασίας του Κοινοβουλίου θα πρέπει να αποσκοπεί στην ενίσχυση της δημοκρατικής διάστασης των ευρωπαϊκών εκλογών και της νομιμότητας της διαδικασίας λήψης αποφάσεων της ΕΕ, διασφαλίζοντας ισότιμη συμμετοχή για όλους τους πολίτες της ΕΕ, προκειμένου να ευθυγραμμιστεί το εκλογικό πλαίσιο με τον ρόλο του Κοινοβουλίου ως συννομοθέτη που εκλέγεται άμεσα από τους πολίτες της ΕΕ· λαμβάνοντας υπόψη ότι η μεταρρύθμιση αυτή θα πρέπει να συμβάλει στην ενίσχυση της έννοιας της ιθαγένειας της ΕΕ, στη βελτίωση της λειτουργίας του Κοινοβουλίου και της διακυβέρνησης της ΕΕ και στην ενδυνάμωση των αρχών της εκλογικής ισότητας, των ίσων ευκαιριών και της συμπερίληψης· λαμβάνοντας υπόψη ότι θα πρέπει να ενισχύει τη διαφάνεια, την προσβασιμότητα και τη συμμετοχή των νέων· </w:t>
      </w:r>
    </w:p>
    <w:p w14:paraId="4FC66871" w14:textId="77777777" w:rsidR="008B71CB" w:rsidRPr="00D544A1" w:rsidRDefault="008B71CB" w:rsidP="004D3A9B">
      <w:pPr>
        <w:pStyle w:val="NormalHanging12a"/>
      </w:pPr>
      <w:r w:rsidRPr="00D544A1">
        <w:t>Ζ.</w:t>
      </w:r>
      <w:r w:rsidRPr="00D544A1">
        <w:tab/>
        <w:t xml:space="preserve">λαμβάνοντας υπόψη ότι δεν έχει ακόμη επιτευχθεί συνολική συμφωνία για μια πραγματικά ενιαία εκλογική διαδικασία και ότι το ισχύον πλαίσιο παραμένει σε μεγάλο βαθμό κατακερματισμένο· λαμβάνοντας υπόψη ότι έχει σημειωθεί σταδιακή σύγκλιση σε ορισμένες πτυχές, αλλά ότι οι ισχύοντες εθνικοί κανόνες εξακολουθούν να δημιουργούν σημαντικές αποκλίσεις σε βασικούς τομείς μεταξύ των κρατών μελών, με αποτέλεσμα να υπονομεύεται η εκλογική ισότητα και να αποδυναμώνεται τόσο η αντίληψη για ενιαίες, κοινές ευρωπαϊκές εκλογές όσο και η εμπιστοσύνη των πολιτών στην ευρωπαϊκή δημοκρατική διαδικασία· </w:t>
      </w:r>
    </w:p>
    <w:p w14:paraId="09A1A460" w14:textId="77777777" w:rsidR="008B71CB" w:rsidRPr="00D544A1" w:rsidRDefault="008B71CB" w:rsidP="004D3A9B">
      <w:pPr>
        <w:pStyle w:val="NormalHanging12a"/>
      </w:pPr>
      <w:r w:rsidRPr="00D544A1">
        <w:t>Η.</w:t>
      </w:r>
      <w:r w:rsidRPr="00D544A1">
        <w:tab/>
        <w:t>λαμβάνοντας υπόψη ότι, παρά τις διάφορες μεταρρυθμίσεις, οι ευρωπαϊκές εκλογές εξακολουθούν να διέπονται κυρίως από εθνικούς νόμους, οι προεκλογικές εκστρατείες έχουν σε μεγάλο βαθμό εθνικό χαρακτήρα και τα ευρωπαϊκά πολιτικά κόμματα δεν μπορούν να ασκήσουν πλήρως τη θεσμική εντολή τους και να «συμβάλλουν στην διαμόρφωση της ευρωπαϊκής πολιτικής συνείδησης και στην έκφραση της βούλησης των πολιτών της Ένωσης», όπως απαιτεί το άρθρο 10 παράγραφος 4 ΣΕΕ· λαμβάνοντας υπόψη ότι η αναδιατύπωση του κανονισμού σχετικά με το καθεστώς και τη χρηματοδότηση των ευρωπαϊκών πολιτικών κομμάτων και των ευρωπαϊκών πολιτικών ιδρυμάτων</w:t>
      </w:r>
      <w:r w:rsidRPr="00D544A1">
        <w:rPr>
          <w:rStyle w:val="FootnoteReference"/>
        </w:rPr>
        <w:footnoteReference w:id="7"/>
      </w:r>
      <w:r w:rsidRPr="00D544A1">
        <w:t xml:space="preserve"> έχει επιφέρει ένα επίπεδο σαφήνειας ως προς αυτό· </w:t>
      </w:r>
    </w:p>
    <w:p w14:paraId="192BAAE1" w14:textId="77777777" w:rsidR="008B71CB" w:rsidRPr="00D544A1" w:rsidRDefault="008B71CB" w:rsidP="004D3A9B">
      <w:pPr>
        <w:pStyle w:val="NormalHanging12a"/>
      </w:pPr>
      <w:r w:rsidRPr="00D544A1">
        <w:t>Θ.</w:t>
      </w:r>
      <w:r w:rsidRPr="00D544A1">
        <w:tab/>
        <w:t>λαμβάνοντας υπόψη ότι ένα εκλογικό όριο για την κατανομή των εδρών είναι το ελάχιστο ποσοστό ψήφων που απαιτείται να συγκεντρώσει ένα πολιτικό κόμμα ή ένας συνασπισμός προκειμένου να αποκτήσει έδρα στη νομοθετική συνέλευση·</w:t>
      </w:r>
    </w:p>
    <w:p w14:paraId="3B472F76" w14:textId="5D2E0C42" w:rsidR="008B71CB" w:rsidRPr="00D544A1" w:rsidRDefault="008B71CB" w:rsidP="004D3A9B">
      <w:pPr>
        <w:pStyle w:val="NormalHanging12a"/>
      </w:pPr>
      <w:r w:rsidRPr="00D544A1">
        <w:t>Ι.</w:t>
      </w:r>
      <w:r w:rsidRPr="00D544A1">
        <w:tab/>
        <w:t xml:space="preserve">λαμβάνοντας υπόψη ότι η απόφαση </w:t>
      </w:r>
      <w:r w:rsidR="009710D3" w:rsidRPr="00D544A1">
        <w:t xml:space="preserve">(ΕΕ, </w:t>
      </w:r>
      <w:proofErr w:type="spellStart"/>
      <w:r w:rsidR="009710D3" w:rsidRPr="00D544A1">
        <w:t>Ευρατόμ</w:t>
      </w:r>
      <w:proofErr w:type="spellEnd"/>
      <w:r w:rsidR="009710D3" w:rsidRPr="00D544A1">
        <w:t xml:space="preserve">) </w:t>
      </w:r>
      <w:r w:rsidRPr="00D544A1">
        <w:t>2018/994 του Συμβουλίου</w:t>
      </w:r>
      <w:r w:rsidRPr="00D544A1">
        <w:rPr>
          <w:rStyle w:val="FootnoteReference"/>
        </w:rPr>
        <w:footnoteReference w:id="8"/>
      </w:r>
      <w:r w:rsidRPr="00D544A1">
        <w:t xml:space="preserve"> θεσπίζει εκλογικό όριο μεταξύ 2 % και 5 % για τα κράτη μέλη με εκλογικές περιφέρειες άνω των 35 εδρών· λαμβάνοντας υπόψη ότι τα εκλογικά κατώτατα όρια πρέπει να επιτυγχάνουν ισορροπία μεταξύ </w:t>
      </w:r>
      <w:proofErr w:type="spellStart"/>
      <w:r w:rsidRPr="00D544A1">
        <w:t>κυβερνητικότητας</w:t>
      </w:r>
      <w:proofErr w:type="spellEnd"/>
      <w:r w:rsidRPr="00D544A1">
        <w:t xml:space="preserve"> και πολιτικού πλουραλισμού·</w:t>
      </w:r>
    </w:p>
    <w:p w14:paraId="34F4A4C6" w14:textId="77777777" w:rsidR="008B71CB" w:rsidRPr="00D544A1" w:rsidRDefault="008B71CB" w:rsidP="004D3A9B">
      <w:pPr>
        <w:pStyle w:val="NormalHanging12a"/>
        <w:rPr>
          <w:bCs/>
          <w:iCs/>
        </w:rPr>
      </w:pPr>
      <w:r w:rsidRPr="00D544A1">
        <w:lastRenderedPageBreak/>
        <w:t>ΙΑ.</w:t>
      </w:r>
      <w:r w:rsidRPr="00D544A1">
        <w:tab/>
        <w:t xml:space="preserve">λαμβάνοντας υπόψη ότι η διαδικασία επικύρωσης της μεταρρύθμισης του 2018 έχει σημειώσει καθυστερήσεις, καθώς ορισμένα κράτη μέλη δεν είχαν ολοκληρώσει εγκαίρως τις αναγκαίες διαδικασίες επικύρωσης πριν από τις ευρωπαϊκές εκλογές του 2024· </w:t>
      </w:r>
    </w:p>
    <w:p w14:paraId="286210C7" w14:textId="65838115" w:rsidR="008B71CB" w:rsidRPr="00D544A1" w:rsidRDefault="008B71CB" w:rsidP="004D3A9B">
      <w:pPr>
        <w:pStyle w:val="NormalHanging12a"/>
        <w:rPr>
          <w:bCs/>
          <w:iCs/>
        </w:rPr>
      </w:pPr>
      <w:r w:rsidRPr="00D544A1">
        <w:t>ΙΒ.</w:t>
      </w:r>
      <w:r w:rsidRPr="00D544A1">
        <w:tab/>
        <w:t xml:space="preserve">λαμβάνοντας υπόψη ότι κάθε πολίτης της ΕΕ έχει ίσες ευκαιρίες να συμμετάσχει στη δημοκρατική διαδικασία, ώστε να διασφαλιστεί μια πιο συμπεριληπτική εκλογική διαδικασία· λαμβάνοντας υπόψη ότι μερικοί μόνο βουλευτές του Ευρωπαϊκού Κοινοβουλίου ανήκουν σε εθνικές και εθνοτικές μειονότητες που αναγνωρίζονται επίσημα ως μειονότητες στα οικεία κράτη μέλη τους σύμφωνα με το οικείο συνταγματικό ή νομικό τους πλαίσιο και τις σχετικές πράξεις του Συμβουλίου της Ευρώπης· λαμβάνοντας υπόψη ότι η έκθεση της Επιτροπής της Βενετίας και του Συμβουλίου Δημοκρατικών Εκλογών της 15ης Μαρτίου 2005 σχετικά με τους εκλογικούς κανόνες και τη θετική δράση για την συμμετοχή των εθνικών μειονοτήτων στις διαδικασίες λήψης αποφάσεων στις ευρωπαϊκές χώρες συνέστησε μια σειρά μέτρων για τη διασφάλιση της δίκαιης εκπροσώπησης των μειονοτήτων· </w:t>
      </w:r>
    </w:p>
    <w:p w14:paraId="552A7BC2" w14:textId="77777777" w:rsidR="008B71CB" w:rsidRPr="00D544A1" w:rsidRDefault="008B71CB" w:rsidP="004D3A9B">
      <w:pPr>
        <w:pStyle w:val="NormalHanging12a"/>
      </w:pPr>
      <w:r w:rsidRPr="00D544A1">
        <w:t>ΙΓ.</w:t>
      </w:r>
      <w:r w:rsidRPr="00D544A1">
        <w:tab/>
        <w:t xml:space="preserve">λαμβάνοντας υπόψη ότι η μεταρρύθμιση της εκλογικής διαδικασίας βάσει του άρθρου 223 παράγραφος 1 ΣΛΕΕ πρέπει να σέβεται πλήρως τις αρχές της επικουρικότητας και της αναλογικότητας και τα προνόμια ελέγχου και επικύρωσης των εθνικών κοινοβουλίων· </w:t>
      </w:r>
    </w:p>
    <w:p w14:paraId="59DA96AB" w14:textId="77777777" w:rsidR="008B71CB" w:rsidRPr="00D544A1" w:rsidRDefault="008B71CB" w:rsidP="008B71CB">
      <w:pPr>
        <w:pStyle w:val="Subheading"/>
      </w:pPr>
      <w:r w:rsidRPr="00D544A1">
        <w:t>Κύρια συμπεράσματα</w:t>
      </w:r>
    </w:p>
    <w:p w14:paraId="0884A741" w14:textId="7F69F15B" w:rsidR="008B71CB" w:rsidRPr="00D544A1" w:rsidRDefault="00424DF8" w:rsidP="00424DF8">
      <w:pPr>
        <w:pStyle w:val="NormalHanging12a"/>
        <w:ind w:hanging="570"/>
      </w:pPr>
      <w:r w:rsidRPr="00D544A1">
        <w:t>1.</w:t>
      </w:r>
      <w:r w:rsidRPr="00D544A1">
        <w:tab/>
      </w:r>
      <w:r w:rsidR="008B71CB" w:rsidRPr="00D544A1">
        <w:t xml:space="preserve">υπενθυμίζει ότι η πορεία προς τον εξευρωπαϊσμό των εθνικών εκλογικών κανόνων όσον αφορά τις εκλογές για το Ευρωπαϊκό Κοινοβούλιο θα επωφελούταν από περαιτέρω ενίσχυση, ιδίως όσον αφορά την προσβασιμότητα για τις μειονεκτούσες ομάδες, κοινές προθεσμίες για την οριστικοποίηση των εκλογικών καταλόγων, την πρόληψη της διπλής ψήφου και την ενίσχυση της προβολής και του ρόλου των ευρωπαϊκών πολιτικών κομμάτων στις εκλογικές διαδικασίες· υπενθυμίζει, ωστόσο, ότι πολλές διατάξεις της ισχύουσας ευρωπαϊκής εκλογικής πράξης έχουν εφαρμοστεί σε όλα τα κράτη μέλη, και συγκεκριμένα ένα σύστημα αναλογικής εκπροσώπησης, ανώτατο εκλογικό όριο 5 % και απαγόρευση στους βουλευτές του Ευρωπαϊκού Κοινοβουλίου να έχουν διπλή εντολή στα εθνικά κοινοβούλια και στο Ευρωπαϊκό Κοινοβούλιο· θεωρεί, ωστόσο, ότι η ολοκλήρωση ενός ευρωπαϊκού «δήμου» κάθε άλλο παρά έχει πραγματοποιηθεί, ενώ οι προσπάθειες σε επίπεδο πολιτικής πρέπει να ενταθούν για να καταστεί η ΕΕ λιγότερο γραφειοκρατική και περισσότερο δημοκρατική· </w:t>
      </w:r>
    </w:p>
    <w:p w14:paraId="64111F9C" w14:textId="5B705496" w:rsidR="008B71CB" w:rsidRPr="00D544A1" w:rsidRDefault="00424DF8" w:rsidP="00424DF8">
      <w:pPr>
        <w:pStyle w:val="NormalHanging12a"/>
        <w:ind w:hanging="570"/>
        <w:rPr>
          <w:bCs/>
          <w:iCs/>
        </w:rPr>
      </w:pPr>
      <w:r w:rsidRPr="00D544A1">
        <w:rPr>
          <w:bCs/>
          <w:iCs/>
        </w:rPr>
        <w:t>2.</w:t>
      </w:r>
      <w:r w:rsidRPr="00D544A1">
        <w:rPr>
          <w:bCs/>
          <w:iCs/>
        </w:rPr>
        <w:tab/>
      </w:r>
      <w:r w:rsidR="008B71CB" w:rsidRPr="00D544A1">
        <w:t>επαναλαμβάνει ότι οι ευρωπαϊκές εκλογές εξακολουθούν να διεξάγονται σε μεγάλο βαθμό βάσει εθνικών νομικών και θεσμικών πλαισίων, τα οποία σχεδιάστηκαν σε μια σαφώς διαφορετική φάση της ευρωπαϊκής ολοκλήρωσης· τονίζει ότι οι κανόνες αυτοί δεν αντιστοιχούν πλέον στον ενισχυμένο ρόλο και τις νομοθετικές εξουσίες του Ευρωπαϊκού Κοινοβουλίου, ιδίως μετά την έναρξη ισχύος της Συνθήκης της Λισαβόνας·</w:t>
      </w:r>
    </w:p>
    <w:p w14:paraId="7FF689F2" w14:textId="289E4957" w:rsidR="008B71CB" w:rsidRPr="00D544A1" w:rsidRDefault="00424DF8" w:rsidP="00424DF8">
      <w:pPr>
        <w:pStyle w:val="NormalHanging12a"/>
        <w:ind w:hanging="570"/>
      </w:pPr>
      <w:r w:rsidRPr="00D544A1">
        <w:t>3.</w:t>
      </w:r>
      <w:r w:rsidRPr="00D544A1">
        <w:tab/>
      </w:r>
      <w:r w:rsidR="008B71CB" w:rsidRPr="00D544A1">
        <w:t xml:space="preserve">υπενθυμίζει ότι η απόφαση </w:t>
      </w:r>
      <w:r w:rsidR="00AD1B7C" w:rsidRPr="00D544A1">
        <w:t xml:space="preserve">(EΕ, </w:t>
      </w:r>
      <w:proofErr w:type="spellStart"/>
      <w:r w:rsidR="00AD1B7C" w:rsidRPr="00D544A1">
        <w:t>Ευρατόμ</w:t>
      </w:r>
      <w:proofErr w:type="spellEnd"/>
      <w:r w:rsidR="00AD1B7C" w:rsidRPr="00D544A1">
        <w:t xml:space="preserve">) </w:t>
      </w:r>
      <w:r w:rsidR="008B71CB" w:rsidRPr="00D544A1">
        <w:t xml:space="preserve">2018/994 του Συμβουλίου περιέχει ορισμένες διατάξεις τις οποίες τα κράτη μέλη είτε υποχρεούνται είτε καλούνται να εφαρμόσουν· επισημαίνει ότι τα προαιρετικά μέτρα δεν έχουν εφαρμοστεί από ορισμένα κράτη μέλη, ενώ κάποια υποχρεωτικά μέτρα έχουν εφαρμοστεί με </w:t>
      </w:r>
      <w:r w:rsidR="008B71CB" w:rsidRPr="00D544A1">
        <w:lastRenderedPageBreak/>
        <w:t xml:space="preserve">διαφορετικό τρόπο, όπως αυτά που αφορούν την πρόληψη της διπλής ψήφου· σημειώνει ότι οι περισσότερες διατάξεις που προβλέπονται στην απόφαση (ΕΕ, Ευρατόμ) 2018/994 του Συμβουλίου παραμένουν προαιρετικές· θεωρεί ότι η περιορισμένη μεταφορά στο εθνικό δίκαιο αυτών των μη δεσμευτικών διατάξεων καταδεικνύει την έλλειψη πολιτικής βούλησης να ξεπεραστεί η εθνική αντίσταση και να υπάρξει δέσμευση για μια δημοκρατική διαδικασία που αντανακλά την ευρωπαϊκή διάσταση· </w:t>
      </w:r>
    </w:p>
    <w:p w14:paraId="301706CB" w14:textId="1B6263E0" w:rsidR="008B71CB" w:rsidRPr="00D544A1" w:rsidRDefault="00424DF8" w:rsidP="00424DF8">
      <w:pPr>
        <w:pStyle w:val="NormalHanging12a"/>
        <w:ind w:hanging="570"/>
      </w:pPr>
      <w:r w:rsidRPr="00D544A1">
        <w:t>4.</w:t>
      </w:r>
      <w:r w:rsidRPr="00D544A1">
        <w:tab/>
      </w:r>
      <w:r w:rsidR="008B71CB" w:rsidRPr="00D544A1">
        <w:t>υπενθυμίζει ότι οι προθεσμίες για την ολοκλήρωση των εκλογικών συνδυασμών εν όψει ευρωπαϊκών εκλογών ποικίλλουν σημαντικά μεταξύ κρατών μελών, κυμαινόμενες επί του παρόντος από 21 έως 90 ημέρες, θέτοντας τους υποψήφιους και τους ψηφοφόρους της ΕΕ σε άνιση θέση ως προς τον χρόνο που διαθέτουν για προεκλογική εκστρατεία ή για περισυλλογή όσον αφορά την επιλογή ψήφου τους·</w:t>
      </w:r>
    </w:p>
    <w:p w14:paraId="7E6C7993" w14:textId="61176CCF" w:rsidR="008B71CB" w:rsidRPr="00D544A1" w:rsidRDefault="00424DF8" w:rsidP="00424DF8">
      <w:pPr>
        <w:pStyle w:val="NormalHanging12a"/>
        <w:ind w:hanging="570"/>
        <w:rPr>
          <w:bCs/>
          <w:iCs/>
        </w:rPr>
      </w:pPr>
      <w:r w:rsidRPr="00D544A1">
        <w:rPr>
          <w:bCs/>
          <w:iCs/>
        </w:rPr>
        <w:t>5.</w:t>
      </w:r>
      <w:r w:rsidRPr="00D544A1">
        <w:rPr>
          <w:bCs/>
          <w:iCs/>
        </w:rPr>
        <w:tab/>
      </w:r>
      <w:r w:rsidR="008B71CB" w:rsidRPr="00D544A1">
        <w:t>επισημαίνει ότι η δημιουργία μιας ευρωπαϊκής δημόσιας σφαίρας και ενός πολιτικού διαλόγου πέραν των εθνικών συνόρων, ιδίως στο πλαίσιο των ευρωπαϊκών εκλογών, είναι ουσιαστικής σημασίας για την ενίσχυση της ευρωπαϊκής δημοκρατίας· υπογραμμίζει ότι τα ευρωπαϊκά πολιτικά κόμματα αποτελούν βασικό μέσο για την προώθηση αυτού του διαλόγου· θεωρεί ότι όλα τα ψηφοδέλτια πρέπει να περιλαμβάνουν τα ονόματα των υποψηφίων και το λογότυπο του ευρωπαϊκού πολιτικού κόμματος με το οποίο συνδέεται κάθε εθνικό κόμμα και ότι οι υποψήφιοι θα πρέπει να έχουν κατάλληλη προβολή σε διαδικτυακές, τηλεοπτικές και ραδιοφωνικές εκπομπές, αφίσες και άλλο υλικό που χρησιμοποιείται στις εκστρατείες για τις ευρωπαϊκές εκλογές· θεωρεί ότι τα μέτρα αυτά αποτελούν ελάχιστη απαίτηση για την ενημέρωση των ψηφοφόρων σχετικά με την ευρωπαϊκή διάσταση της ψήφου τους και τη δυνατότητα των ευρωπαϊκών πολιτικών κομμάτων να εκπληρώσουν τον ρόλο τους σύμφωνα με το άρθρο 10 παράγραφος 4 ΣΕΕ· πιστεύει ότι τα μέτρα αυτά θα καταστήσουν τις ευρωπαϊκές εκλογές πιο διαφανείς, θα αποτρέψουν οποιαδήποτε στρέβλωση του δικαιώματος των ψηφοφόρων να ενημερώνονται σχετικά με την ύπαρξη συμφωνιών συνασπισμού μεταξύ πολιτικών κομμάτων στις ευρωπαϊκές εκλογές και θα δώσουν στους πολίτες τη δυνατότητα να ψηφίσουν συνειδητά για ένα πολιτικό κόμμα που ανήκει στην πολιτική ομάδα της προτίμησής τους στο Ευρωπαϊκό Κοινοβούλιο· αποδοκιμάζει το γεγονός ότι πρόκειται μόνο για προαιρετικό μέτρο βάσει της απόφασης (ΕΕ, Ευρατόμ) 2018/</w:t>
      </w:r>
      <w:r w:rsidR="009710D3">
        <w:t>994</w:t>
      </w:r>
      <w:r w:rsidR="008B71CB" w:rsidRPr="00D544A1">
        <w:t xml:space="preserve"> του Συμβουλίου και ότι δεν έχει μεταφερθεί σε καμία εθνική νομοθεσία μέχρι σήμερα· </w:t>
      </w:r>
    </w:p>
    <w:p w14:paraId="228108D2" w14:textId="6AA2B553" w:rsidR="008B71CB" w:rsidRPr="00D544A1" w:rsidRDefault="00424DF8" w:rsidP="00424DF8">
      <w:pPr>
        <w:pStyle w:val="NormalHanging12a"/>
        <w:ind w:hanging="570"/>
        <w:rPr>
          <w:bCs/>
          <w:iCs/>
        </w:rPr>
      </w:pPr>
      <w:r w:rsidRPr="00D544A1">
        <w:rPr>
          <w:bCs/>
          <w:iCs/>
        </w:rPr>
        <w:t>6.</w:t>
      </w:r>
      <w:r w:rsidRPr="00D544A1">
        <w:rPr>
          <w:bCs/>
          <w:iCs/>
        </w:rPr>
        <w:tab/>
      </w:r>
      <w:r w:rsidR="008B71CB" w:rsidRPr="00D544A1">
        <w:t xml:space="preserve">αναγνωρίζει την ανάγκη να συνεχιστεί η πρόοδος ώστε η εκλογική διαδικασία να καταστεί πιο συμπεριληπτική, ώστε να διασφαλιστεί ότι κάθε πολίτης, ανεξαρτήτως των περιστάσεων, έχει ίσες ευκαιρίες συμμετοχής στη δημοκρατική διαδικασία· επισημαίνει ότι σε ορισμένα κράτη μέλη, οι εθνικοί κανόνες εξακολουθούν να μην επιτρέπουν στους ψηφοφόρους με αναπηρία να αλλάξουν το εκλογικό κέντρο στο οποίο έχουν καταχωριστεί με άλλο το οποίο θα ανταποκρίνεται καλύτερα στις ανάγκες τους ή να έχουν πρόσβαση πληροφορίες που αφορούν τις εκλογές σε προσβάσιμη μορφή· τονίζει ότι τυχόν εμπόδια στο δικαίωμα του εκλέγειν και του εκλέγεσθαι για τα άτομα με αναπηρία είναι ασυμβίβαστα με τις υποχρεώσεις που απορρέουν από τη Σύμβαση των Ηνωμένων Εθνών για τα δικαιώματα των ατόμων με αναπηρία, και θα πρέπει να αρθούν προκειμένου να διασφαλιστεί η προσβασιμότητα σε όλους καθ’ όλη τη διάρκεια της εκλογικής διαδικασίας· </w:t>
      </w:r>
    </w:p>
    <w:p w14:paraId="4B3C230D" w14:textId="2E5E16F0" w:rsidR="008B71CB" w:rsidRPr="00D544A1" w:rsidRDefault="00424DF8" w:rsidP="00424DF8">
      <w:pPr>
        <w:pStyle w:val="NormalHanging12a"/>
        <w:ind w:hanging="570"/>
        <w:rPr>
          <w:bCs/>
          <w:iCs/>
        </w:rPr>
      </w:pPr>
      <w:r w:rsidRPr="00D544A1">
        <w:rPr>
          <w:bCs/>
          <w:iCs/>
        </w:rPr>
        <w:t>7.</w:t>
      </w:r>
      <w:r w:rsidRPr="00D544A1">
        <w:rPr>
          <w:bCs/>
          <w:iCs/>
        </w:rPr>
        <w:tab/>
      </w:r>
      <w:r w:rsidR="008B71CB" w:rsidRPr="00D544A1">
        <w:t xml:space="preserve">σημειώνει ότι η επιστολική ψήφος και τα συμπληρωματικά της μέσα παρουσιάζονται στην απόφαση (ΕΕ, Ευρατόμ) 2018/994 του Συμβουλίου ως προαιρετικό μέτρο που </w:t>
      </w:r>
      <w:r w:rsidR="008B71CB" w:rsidRPr="00D544A1">
        <w:lastRenderedPageBreak/>
        <w:t>αποσκοπεί στη διευκόλυνση της προσβασιμότητας για τα άτομα με αναπηρία· υπογραμμίζει ότι, ενώ ο στόχος αυτός είναι απαραίτητος, η επιστολική ψήφος διαδραματίζει επίσης ευρύτερο ρόλο στο να καταστεί η εκλογική συμμετοχή πιο ευέλικτη και χωρίς αποκλεισμούς· τονίζει ότι η παροχή της επιστολικής ψήφου ως εγγυημένης επιλογής σε όλα τα κράτη μέλη θα ωφελήσει όχι μόνο τα άτομα με αναπηρία, αλλά και τους πολίτες που αδυνατούν να ψηφίσουν αυτοπροσώπως λόγω έκτακτων περιστάσεων· θεωρεί ότι η εξασφάλιση ευρύτερης πρόσβασης στην επιστολική ψήφο θα ενισχύσει τη συμμετοχή, ιδίως μεταξύ των μετακινούμενων πολιτών της ΕΕ και των νεότερων ψηφοφόρων, και θα συμβάλει στην αύξηση της συνολικής συμμετοχής των ψηφοφόρων·</w:t>
      </w:r>
    </w:p>
    <w:p w14:paraId="5D197D7E" w14:textId="4820D37C" w:rsidR="008B71CB" w:rsidRPr="00D544A1" w:rsidRDefault="00424DF8" w:rsidP="00424DF8">
      <w:pPr>
        <w:pStyle w:val="NormalHanging12a"/>
        <w:ind w:hanging="570"/>
      </w:pPr>
      <w:r w:rsidRPr="00D544A1">
        <w:t>8.</w:t>
      </w:r>
      <w:r w:rsidRPr="00D544A1">
        <w:tab/>
      </w:r>
      <w:r w:rsidR="008B71CB" w:rsidRPr="00D544A1">
        <w:t xml:space="preserve">υπενθυμίζει ότι η κατάσταση των πολιτών της ΕΕ με διπλή ιθαγένεια δεν έχει ακόμη επιλυθεί, καθώς εξακολουθεί να είναι δυνατή η αυτόματη εγγραφή ενός πολίτη με διπλή ιθαγένεια της ΕΕ στους εκλογικούς καταλόγους περισσότερων του ενός κρατών μελών, χωρίς κανένα διαθέσιμο μέσο διαγραφής· σημειώνει ότι ένας πολίτης της ΕΕ με διπλή ιθαγένεια, ο οποίος εγγράφεται αυτόματα σε περισσότερους από έναν εκλογικούς καταλόγους, αλλά ψηφίζει μόνο σε ένα κράτος μέλος, όπως απαιτείται, μπορεί παρ’ όλα αυτά να θεωρηθεί ότι δεν έχει ψηφίσει στο άλλο κράτος μέλος και, επομένως, να υποστεί κυρώσεις· </w:t>
      </w:r>
    </w:p>
    <w:p w14:paraId="35F02776" w14:textId="30CD1EBC" w:rsidR="008B71CB" w:rsidRPr="00D544A1" w:rsidRDefault="00424DF8" w:rsidP="00424DF8">
      <w:pPr>
        <w:pStyle w:val="NormalHanging12a"/>
        <w:ind w:hanging="570"/>
        <w:rPr>
          <w:bCs/>
          <w:iCs/>
        </w:rPr>
      </w:pPr>
      <w:r w:rsidRPr="00D544A1">
        <w:rPr>
          <w:bCs/>
          <w:iCs/>
        </w:rPr>
        <w:t>9.</w:t>
      </w:r>
      <w:r w:rsidRPr="00D544A1">
        <w:rPr>
          <w:bCs/>
          <w:iCs/>
        </w:rPr>
        <w:tab/>
      </w:r>
      <w:r w:rsidR="008B71CB" w:rsidRPr="00D544A1">
        <w:t xml:space="preserve">επικροτεί την πρωτοβουλία του Κοινοβουλίου να θεσπίσει ρυθμίσεις ψηφοφορίας δια πληρεξουσίου για περιπτώσεις άδειας μητρότητας μέσω τροποποίησης της ευρωπαϊκής εκλογικής πράξης, ως ισορροπημένη και πρακτική λύση για τη στήριξη των </w:t>
      </w:r>
      <w:proofErr w:type="spellStart"/>
      <w:r w:rsidR="008B71CB" w:rsidRPr="00D544A1">
        <w:t>βουλευτριών</w:t>
      </w:r>
      <w:proofErr w:type="spellEnd"/>
      <w:r w:rsidR="008B71CB" w:rsidRPr="00D544A1">
        <w:t xml:space="preserve"> του ΕΚ, διασφαλίζοντας παράλληλα τη συνέχεια της εκπροσώπησης· </w:t>
      </w:r>
    </w:p>
    <w:p w14:paraId="5926A7CB" w14:textId="60B592C9" w:rsidR="008B71CB" w:rsidRPr="00D544A1" w:rsidRDefault="00424DF8" w:rsidP="00424DF8">
      <w:pPr>
        <w:pStyle w:val="NormalHanging12a"/>
        <w:ind w:hanging="570"/>
      </w:pPr>
      <w:r w:rsidRPr="00D544A1">
        <w:t>10.</w:t>
      </w:r>
      <w:r w:rsidRPr="00D544A1">
        <w:tab/>
      </w:r>
      <w:r w:rsidR="008B71CB" w:rsidRPr="00D544A1">
        <w:t>τονίζει ότι η απόφαση (EΕ, Ευρατόμ) 2018/994 του Συμβουλίου δεν έχει ακόμη τεθεί σε ισχύ, καθώς η διαδικασία επικύρωσης βρίσκεται ακόμη σε εξέλιξη σε ένα εναπομείναν κράτος μέλος· σημειώνει ότι, ενώ η Γερμανία έχει επικυρώσει την απόφαση (ΕΕ, Ευρατόμ) 2018/994 του Συμβουλίου, ο γερμανικός εκλογικός νόμος για τις ευρωπαϊκές εκλογές δεν έχει τροποποιηθεί διότι όσο το εκλογικό όριο του 2 % δεν είναι υποχρεωτικό βάσει του δικαίου της ΕΕ, δεν μπορεί να εισαχθεί στο γερμανικό δίκαιο·</w:t>
      </w:r>
    </w:p>
    <w:p w14:paraId="3AFFECFD" w14:textId="66A19A9E" w:rsidR="008B71CB" w:rsidRPr="00D544A1" w:rsidRDefault="00424DF8" w:rsidP="00424DF8">
      <w:pPr>
        <w:pStyle w:val="NormalHanging12a"/>
        <w:ind w:hanging="570"/>
      </w:pPr>
      <w:r w:rsidRPr="00D544A1">
        <w:t>11.</w:t>
      </w:r>
      <w:r w:rsidRPr="00D544A1">
        <w:tab/>
      </w:r>
      <w:r w:rsidR="008B71CB" w:rsidRPr="00D544A1">
        <w:t xml:space="preserve">σημειώνει τον ρόλο της Επιτροπής ως διαμεσολαβητή στις θεσμικές συνομιλίες μεταξύ του Κοινοβουλίου και του Συμβουλίου σχετικά με τη νέα πρόταση για τη μεταρρύθμιση της ευρωπαϊκής εκλογικής πράξης· θεωρεί απαραίτητη τη διεξαγωγή εποικοδομητικού διαλόγου με το Συμβούλιο για την αξιολόγηση της πρότασης του Κοινοβουλίου του 2022 και την επίτευξη προόδου· υπογραμμίζει ότι η έλλειψη προόδου δεν οφείλεται σε τεχνικά ή νομικά εμπόδια, αλλά στην έλλειψη πολιτικής βούλησης μεταξύ των κρατών μελών να λάβουν υπόψη τις προτάσεις του Κοινοβουλίου· είναι πεπεισμένο ότι η έκθεση αυτή θα πρέπει να δώσει νέα ώθηση για την έναρξη διοργανικών διαπραγματεύσεων σχετικά με την πρόταση του 2022 χωρίς καθυστέρηση και παροτρύνει τις επικείμενες Προεδρίες του Συμβουλίου να συμμορφωθούν με τις υποχρεώσεις τους βάσει της αρχής της αμοιβαίας και καλόπιστης συνεργασίας· </w:t>
      </w:r>
    </w:p>
    <w:p w14:paraId="07338260" w14:textId="77777777" w:rsidR="008B71CB" w:rsidRPr="00D544A1" w:rsidRDefault="008B71CB" w:rsidP="008B71CB">
      <w:pPr>
        <w:pStyle w:val="Subheading"/>
      </w:pPr>
      <w:r w:rsidRPr="00D544A1">
        <w:t>Συστάσεις</w:t>
      </w:r>
    </w:p>
    <w:p w14:paraId="5E1D55E5" w14:textId="0368CD88" w:rsidR="008B71CB" w:rsidRPr="00D544A1" w:rsidRDefault="00424DF8" w:rsidP="00424DF8">
      <w:pPr>
        <w:pStyle w:val="NormalHanging12a"/>
        <w:ind w:hanging="570"/>
      </w:pPr>
      <w:r w:rsidRPr="00D544A1">
        <w:t>12.</w:t>
      </w:r>
      <w:r w:rsidRPr="00D544A1">
        <w:tab/>
      </w:r>
      <w:r w:rsidR="008B71CB" w:rsidRPr="00D544A1">
        <w:t xml:space="preserve">θεωρεί ότι η διαφάνεια της εκλογικής διαδικασίας και η πρόσβαση σε αξιόπιστες πληροφορίες αποτελούν ουσιώδεις παράγοντες για την ενίσχυση της ευρωπαϊκής πολιτικής συνείδησης και την εξασφάλιση επαρκούς ποσοστού συμμετοχής στις </w:t>
      </w:r>
      <w:r w:rsidR="008B71CB" w:rsidRPr="00D544A1">
        <w:lastRenderedPageBreak/>
        <w:t xml:space="preserve">εκλογές ώστε να αποτελεί εντολή από το εκλογικό σώμα· επισημαίνει ότι οι υποψήφιοι θα πρέπει να έχουν τις ίδιες ευκαιρίες προεκλογικής εκστρατείας και ότι οι πολίτες θα πρέπει να ενημερώνονται εγκαίρως σχετικά με τους υποψηφίους που υποβάλλουν υποψηφιότητα στις ευρωπαϊκές εκλογές· τονίζει, επομένως, τη σημασία της εναρμόνισης των προθεσμιών για την υποβολή των εκλογικών καταλόγων σε όλα τα κράτη μέλη, όπως έχει ζητήσει επανειλημμένα το Κοινοβούλιο· </w:t>
      </w:r>
    </w:p>
    <w:p w14:paraId="267514CD" w14:textId="51C4BBE3" w:rsidR="008B71CB" w:rsidRPr="00D544A1" w:rsidRDefault="00424DF8" w:rsidP="00424DF8">
      <w:pPr>
        <w:pStyle w:val="NormalHanging12a"/>
        <w:ind w:hanging="570"/>
      </w:pPr>
      <w:r w:rsidRPr="00D544A1">
        <w:t>13.</w:t>
      </w:r>
      <w:r w:rsidRPr="00D544A1">
        <w:tab/>
      </w:r>
      <w:r w:rsidR="008B71CB" w:rsidRPr="00D544A1">
        <w:t xml:space="preserve">τονίζει ότι είναι σημαντικό να διευκολυνθεί η πρόσβαση στην ψηφοφορία στις ευρωπαϊκές εκλογές και να διασφαλιστεί ότι όλοι όσοι έχουν δικαίωμα ψήφου είναι σε θέση να ασκήσουν το δικαίωμα αυτό μέσω επιστολικής ψήφου ή άλλων συμπληρωματικών μέσων· καλεί τα κράτη μέλη να διασφαλίσουν την ισότιμη πρόσβαση στην ενημέρωση και την εκλογική διαδικασία για όλους τους πολίτες, συμπεριλαμβανομένων των ατόμων με αναπηρία, ιδίως όταν οι δημόσιες δομές δεν είναι πλήρως προσβάσιμες· καλεί, επιπλέον, τα κράτη μέλη να εγγυηθούν το δικαίωμα του εκλέγειν και του εκλέγεσθαι για τα άτομα με αναπηρία θεσπίζοντας διατάξεις που εναρμονίζουν την προσβασιμότητα των εκλογικών εγκαταστάσεων, των εκλογικών τμημάτων, των εκλογικών διαδικασιών και του εκλογικού υλικού για τα άτομα με αναπηρία, και που τους επιτρέπουν να ψηφίζουν ανεξάρτητα και μυστικά· σημειώνει ότι η ευθύνη για τη ρύθμιση της προσβασιμότητας παραμένει εξ ολοκλήρου στα κράτη μέλη και τα καλεί να συνεργαστούν με οργανώσεις ατόμων με αναπηρία για την αξιολόγηση και την αντιμετώπιση των νομικών και πρακτικών φραγμών που εμποδίζουν τη συμμετοχή τους στις εκλογές, τόσο ως ψηφοφόροι όσο και ως υποψήφιοι· </w:t>
      </w:r>
    </w:p>
    <w:p w14:paraId="74ABB172" w14:textId="0F051A0A" w:rsidR="008B71CB" w:rsidRPr="00D544A1" w:rsidRDefault="00424DF8" w:rsidP="00424DF8">
      <w:pPr>
        <w:pStyle w:val="NormalHanging12a"/>
        <w:ind w:hanging="570"/>
      </w:pPr>
      <w:r w:rsidRPr="00D544A1">
        <w:t>14.</w:t>
      </w:r>
      <w:r w:rsidRPr="00D544A1">
        <w:tab/>
      </w:r>
      <w:r w:rsidR="008B71CB" w:rsidRPr="00D544A1">
        <w:t xml:space="preserve">καλεί όλα τα κράτη μέλη να εφαρμόσουν όλα τα προαιρετικά μέτρα που περιλαμβάνονται στην απόφαση (ΕΕ, Ευρατόμ) 2018/994 του Συμβουλίου και κυρίως να ενισχύσουν την προβολή των εκλογικών συμμαχιών για τις ευρωπαϊκές εκλογές, τη σύνδεση των εθνικών πολιτικών κομμάτων με τα ευρωπαϊκά πολιτικά κόμματα, τις ευρωπαϊκές ενώσεις ψηφοφόρων και άλλες ευρωπαϊκές εκλογικές οντότητες, μέσω εκστρατειών στα μέσα ενημέρωσης και τη διανομή ενιαίων εκλογικών ψηφοδελτίων που αναφέρουν με σαφή τρόπο τις ευρωπαϊκές συμμαχίες σε ολόκληρη την επικράτεια κάθε κράτους μέλους και σε όλο το υπόλοιπο εκλογικό υλικό· θεωρεί ότι τα εθνικά κόμματα και οι ενώσεις ψηφοφόρων θα πρέπει να αναφέρουν, κατά περίπτωση, τη σύνδεσή τους με τα ευρωπαϊκά πολιτικά κόμματα ή άλλες ευρωπαϊκές εκλογικές οντότητες κατά τη διάρκεια της προεκλογικής εκστρατείας, μεταξύ άλλων στα ψηφοδέλτια· </w:t>
      </w:r>
    </w:p>
    <w:p w14:paraId="79C34C5C" w14:textId="55CC05BD" w:rsidR="008B71CB" w:rsidRPr="00D544A1" w:rsidRDefault="00424DF8" w:rsidP="00424DF8">
      <w:pPr>
        <w:pStyle w:val="NormalHanging12a"/>
        <w:ind w:hanging="570"/>
        <w:rPr>
          <w:bCs/>
          <w:iCs/>
        </w:rPr>
      </w:pPr>
      <w:r w:rsidRPr="00D544A1">
        <w:rPr>
          <w:bCs/>
          <w:iCs/>
        </w:rPr>
        <w:t>15.</w:t>
      </w:r>
      <w:r w:rsidRPr="00D544A1">
        <w:rPr>
          <w:bCs/>
          <w:iCs/>
        </w:rPr>
        <w:tab/>
      </w:r>
      <w:r w:rsidR="008B71CB" w:rsidRPr="00D544A1">
        <w:t xml:space="preserve">καλεί όλα τα κράτη μέλη να λάβουν συγκεκριμένα μέτρα για την εναρμόνιση των απαιτήσεων υποψηφιότητας, προκειμένου να διασφαλιστεί η δίκαιη και ισότιμη πρόσβαση όλων των πολιτικών παραγόντων στην εκλογική διαδικασία, σύμφωνα με τις αρχή του θεμιτού ανταγωνισμού και του δημοκρατικού πλουραλισμού· </w:t>
      </w:r>
    </w:p>
    <w:p w14:paraId="54555FA1" w14:textId="0BFBCBF4" w:rsidR="008B71CB" w:rsidRPr="00D544A1" w:rsidRDefault="00424DF8" w:rsidP="00424DF8">
      <w:pPr>
        <w:pStyle w:val="NormalHanging12a"/>
        <w:ind w:hanging="570"/>
        <w:rPr>
          <w:bCs/>
          <w:iCs/>
        </w:rPr>
      </w:pPr>
      <w:r w:rsidRPr="00D544A1">
        <w:rPr>
          <w:bCs/>
          <w:iCs/>
        </w:rPr>
        <w:t>16.</w:t>
      </w:r>
      <w:r w:rsidRPr="00D544A1">
        <w:rPr>
          <w:bCs/>
          <w:iCs/>
        </w:rPr>
        <w:tab/>
      </w:r>
      <w:r w:rsidR="008B71CB" w:rsidRPr="00D544A1">
        <w:t>υπογραμμίζει ότι η επικύρωση της απόφασης (ΕΕ, Ευρατόμ) 2018/994 του Συμβουλίου από όλα τα κράτη μέλη παραμένει υποχρεωτική ώστε να μπορέσει να τεθεί σε ισχύ· καλεί, επομένως, τα υπόλοιπα κράτη μέλη να κινήσουν τη διαδικασία επικύρωσης·</w:t>
      </w:r>
    </w:p>
    <w:p w14:paraId="6A428737" w14:textId="77777777" w:rsidR="008B71CB" w:rsidRPr="00D544A1" w:rsidRDefault="008B71CB" w:rsidP="008B71CB">
      <w:pPr>
        <w:pStyle w:val="NormalHanging12a"/>
        <w:jc w:val="center"/>
        <w:rPr>
          <w:bCs/>
          <w:iCs/>
        </w:rPr>
      </w:pPr>
      <w:r w:rsidRPr="00D544A1">
        <w:t>°</w:t>
      </w:r>
    </w:p>
    <w:p w14:paraId="154A401F" w14:textId="77777777" w:rsidR="008B71CB" w:rsidRPr="00D544A1" w:rsidRDefault="008B71CB" w:rsidP="008B71CB">
      <w:pPr>
        <w:pStyle w:val="NormalHanging12a"/>
        <w:jc w:val="center"/>
        <w:rPr>
          <w:bCs/>
          <w:iCs/>
        </w:rPr>
      </w:pPr>
      <w:r w:rsidRPr="00D544A1">
        <w:t>°</w:t>
      </w:r>
      <w:r w:rsidRPr="00D544A1">
        <w:tab/>
      </w:r>
      <w:r w:rsidRPr="00D544A1">
        <w:tab/>
        <w:t>°</w:t>
      </w:r>
    </w:p>
    <w:p w14:paraId="4AF8A901" w14:textId="01E3673A" w:rsidR="00D544A1" w:rsidRPr="00D544A1" w:rsidRDefault="00424DF8" w:rsidP="00424DF8">
      <w:pPr>
        <w:pStyle w:val="NormalHanging12a"/>
        <w:ind w:hanging="570"/>
      </w:pPr>
      <w:r w:rsidRPr="00D544A1">
        <w:t>17.</w:t>
      </w:r>
      <w:r w:rsidRPr="00D544A1">
        <w:tab/>
      </w:r>
      <w:r w:rsidR="008B71CB" w:rsidRPr="00D544A1">
        <w:t xml:space="preserve">αναθέτει στην Πρόεδρό του να διαβιβάσει το παρόν ψήφισμα στο </w:t>
      </w:r>
      <w:r w:rsidR="00D544A1" w:rsidRPr="00D544A1">
        <w:t xml:space="preserve">Συμβούλιο και στην </w:t>
      </w:r>
      <w:r w:rsidR="00D544A1" w:rsidRPr="00D544A1">
        <w:lastRenderedPageBreak/>
        <w:t>Επιτροπή.</w:t>
      </w:r>
    </w:p>
    <w:p w14:paraId="4C3E23EB" w14:textId="2495FB89" w:rsidR="00E365E1" w:rsidRPr="00D544A1" w:rsidRDefault="00E365E1" w:rsidP="00F41989"/>
    <w:sectPr w:rsidR="00E365E1" w:rsidRPr="00D544A1" w:rsidSect="00D544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AC261" w14:textId="77777777" w:rsidR="00F41989" w:rsidRPr="00D544A1" w:rsidRDefault="00F41989">
      <w:r w:rsidRPr="00D544A1">
        <w:separator/>
      </w:r>
    </w:p>
  </w:endnote>
  <w:endnote w:type="continuationSeparator" w:id="0">
    <w:p w14:paraId="0B408702" w14:textId="77777777" w:rsidR="00F41989" w:rsidRPr="00D544A1" w:rsidRDefault="00F41989">
      <w:r w:rsidRPr="00D544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CCFB" w14:textId="77777777" w:rsidR="00064002" w:rsidRPr="00D544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E52B1" w14:textId="77777777" w:rsidR="00064002" w:rsidRPr="00D544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E74A7" w14:textId="77777777" w:rsidR="00064002" w:rsidRPr="00D544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6689E" w14:textId="77777777" w:rsidR="00F41989" w:rsidRPr="00D544A1" w:rsidRDefault="00F41989">
      <w:r w:rsidRPr="00D544A1">
        <w:separator/>
      </w:r>
    </w:p>
  </w:footnote>
  <w:footnote w:type="continuationSeparator" w:id="0">
    <w:p w14:paraId="385E21FF" w14:textId="77777777" w:rsidR="00F41989" w:rsidRPr="00D544A1" w:rsidRDefault="00F41989">
      <w:r w:rsidRPr="00D544A1">
        <w:continuationSeparator/>
      </w:r>
    </w:p>
  </w:footnote>
  <w:footnote w:id="1">
    <w:p w14:paraId="157C99D7" w14:textId="0AAE0E4A"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 xml:space="preserve">ΕΕ L 278 της 8.10.1976, σ. 5, ELI: </w:t>
      </w:r>
      <w:hyperlink r:id="rId1" w:history="1">
        <w:r w:rsidRPr="00D544A1">
          <w:rPr>
            <w:rStyle w:val="Hyperlink"/>
            <w:sz w:val="24"/>
            <w:lang w:val="el-GR"/>
          </w:rPr>
          <w:t>http://data.europa.eu/eli/dec/1976/787(2)/oj</w:t>
        </w:r>
      </w:hyperlink>
      <w:r w:rsidRPr="00D544A1">
        <w:rPr>
          <w:sz w:val="24"/>
          <w:lang w:val="el-GR"/>
        </w:rPr>
        <w:t>.</w:t>
      </w:r>
    </w:p>
  </w:footnote>
  <w:footnote w:id="2">
    <w:p w14:paraId="68268B25" w14:textId="50F06D20"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 xml:space="preserve">76/787/ΕΚΑΧ, ΕΟΚ, Ευρατόμ: Απόφαση των αντιπροσώπων των κρατών μελών συνελθόντων στα πλαίσια του Συμβουλίου, σχετικά με την πράξη εκλογής των αντιπροσώπων στο Κοινοβούλιο με άμεση καθολική ψηφοφορία (ΕΕ L 278 της 8.10.1976, σ. 1, ELI: </w:t>
      </w:r>
      <w:hyperlink r:id="rId2" w:history="1">
        <w:r w:rsidRPr="00D544A1">
          <w:rPr>
            <w:rStyle w:val="Hyperlink"/>
            <w:sz w:val="24"/>
            <w:lang w:val="el-GR"/>
          </w:rPr>
          <w:t>http://data.europa.eu/eli/dec/1976/787(1)/oj</w:t>
        </w:r>
      </w:hyperlink>
      <w:r w:rsidRPr="00D544A1">
        <w:rPr>
          <w:sz w:val="24"/>
          <w:lang w:val="el-GR"/>
        </w:rPr>
        <w:t>).</w:t>
      </w:r>
    </w:p>
  </w:footnote>
  <w:footnote w:id="3">
    <w:p w14:paraId="29B4F391" w14:textId="717D534B"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 xml:space="preserve">ΕΕ L 304 της 20.11.2010, σ. 47, ELI: </w:t>
      </w:r>
      <w:hyperlink r:id="rId3" w:history="1">
        <w:r w:rsidRPr="00D544A1">
          <w:rPr>
            <w:rStyle w:val="Hyperlink"/>
            <w:sz w:val="24"/>
            <w:lang w:val="el-GR"/>
          </w:rPr>
          <w:t>http://data.europa.eu/eli/agree_interinstit/2010/1120/oj</w:t>
        </w:r>
      </w:hyperlink>
      <w:r w:rsidRPr="00D544A1">
        <w:rPr>
          <w:sz w:val="24"/>
          <w:lang w:val="el-GR"/>
        </w:rPr>
        <w:t>.</w:t>
      </w:r>
    </w:p>
  </w:footnote>
  <w:footnote w:id="4">
    <w:p w14:paraId="1DF0D573" w14:textId="2AA99B03"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00AD1B7C" w:rsidRPr="00AD1B7C">
        <w:rPr>
          <w:sz w:val="24"/>
          <w:lang w:val="el-GR"/>
        </w:rPr>
        <w:t>ΕΕ C 366 της 27.10.2017, σ. 7</w:t>
      </w:r>
      <w:r w:rsidRPr="00D544A1">
        <w:rPr>
          <w:sz w:val="24"/>
          <w:lang w:val="el-GR"/>
        </w:rPr>
        <w:t>.</w:t>
      </w:r>
    </w:p>
  </w:footnote>
  <w:footnote w:id="5">
    <w:p w14:paraId="3B39531A" w14:textId="47AC99AE"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00AD1B7C" w:rsidRPr="00AD1B7C">
        <w:rPr>
          <w:sz w:val="24"/>
          <w:lang w:val="el-GR"/>
        </w:rPr>
        <w:t>ΕΕ C 465 της 6.12.2022, σ. 171</w:t>
      </w:r>
      <w:r w:rsidRPr="00D544A1">
        <w:rPr>
          <w:sz w:val="24"/>
          <w:lang w:val="el-GR"/>
        </w:rPr>
        <w:t xml:space="preserve">. </w:t>
      </w:r>
    </w:p>
  </w:footnote>
  <w:footnote w:id="6">
    <w:p w14:paraId="2135DA5F" w14:textId="0F2BEC84"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 xml:space="preserve">ΕΕ L 178 της 16.7.2018, σ. 1, ELI: </w:t>
      </w:r>
      <w:hyperlink r:id="rId4" w:history="1">
        <w:r w:rsidRPr="00D544A1">
          <w:rPr>
            <w:rStyle w:val="Hyperlink"/>
            <w:sz w:val="24"/>
            <w:lang w:val="el-GR"/>
          </w:rPr>
          <w:t>http://data.europa.eu/eli/dec/2018/994/oj</w:t>
        </w:r>
      </w:hyperlink>
      <w:r w:rsidRPr="00D544A1">
        <w:rPr>
          <w:sz w:val="24"/>
          <w:lang w:val="el-GR"/>
        </w:rPr>
        <w:t>.</w:t>
      </w:r>
    </w:p>
  </w:footnote>
  <w:footnote w:id="7">
    <w:p w14:paraId="2A0744C1" w14:textId="35E6A5F9"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 xml:space="preserve">Κανονισμός (ΕΕ, Ευρατόμ) αριθ. 1141/2014 του Ευρωπαϊκού Κοινοβουλίου και του Συμβουλίου, της 22ας Οκτωβρίου 2014, σχετικά με το καθεστώς και τη χρηματοδότηση των ευρωπαϊκών πολιτικών κομμάτων και των ευρωπαϊκών πολιτικών ιδρυμάτων (ΕΕ L 317 της 4.11.2014, σ. 1, ELI:  </w:t>
      </w:r>
      <w:hyperlink r:id="rId5" w:history="1">
        <w:r w:rsidRPr="00D544A1">
          <w:rPr>
            <w:rStyle w:val="Hyperlink"/>
            <w:sz w:val="24"/>
            <w:lang w:val="el-GR"/>
          </w:rPr>
          <w:t>http://data.europa.eu/eli/reg/2014/1141/oj</w:t>
        </w:r>
      </w:hyperlink>
      <w:r w:rsidRPr="00D544A1">
        <w:rPr>
          <w:sz w:val="24"/>
          <w:lang w:val="el-GR"/>
        </w:rPr>
        <w:t xml:space="preserve">). </w:t>
      </w:r>
    </w:p>
  </w:footnote>
  <w:footnote w:id="8">
    <w:p w14:paraId="73E57C92" w14:textId="249B3718" w:rsidR="008B71CB" w:rsidRPr="00D544A1" w:rsidRDefault="008B71CB" w:rsidP="00D544A1">
      <w:pPr>
        <w:pStyle w:val="FootnoteText"/>
        <w:ind w:left="567" w:hanging="567"/>
        <w:rPr>
          <w:sz w:val="24"/>
          <w:lang w:val="el-GR"/>
        </w:rPr>
      </w:pPr>
      <w:r w:rsidRPr="00D544A1">
        <w:rPr>
          <w:rStyle w:val="FootnoteReference"/>
          <w:sz w:val="24"/>
          <w:lang w:val="el-GR"/>
        </w:rPr>
        <w:footnoteRef/>
      </w:r>
      <w:r w:rsidR="00D544A1" w:rsidRPr="00D544A1">
        <w:rPr>
          <w:sz w:val="24"/>
          <w:lang w:val="el-GR"/>
        </w:rPr>
        <w:t xml:space="preserve"> </w:t>
      </w:r>
      <w:r w:rsidR="00D544A1" w:rsidRPr="00D544A1">
        <w:rPr>
          <w:sz w:val="24"/>
          <w:lang w:val="el-GR"/>
        </w:rPr>
        <w:tab/>
      </w:r>
      <w:r w:rsidRPr="00D544A1">
        <w:rPr>
          <w:sz w:val="24"/>
          <w:lang w:val="el-GR"/>
        </w:rPr>
        <w:t>Απόφαση (ΕΕ, Ευρατόμ) 2018/994 του Συμβουλίου, της 13ης Ιουλίου 2018, για την τροποποίηση της πράξης περί εκλογής των μελών του Ευρωπαϊκού Κοινοβουλίου με άμεση και καθολική ψηφοφορία, που προσαρτάται στην απόφαση 76/787/ΕΚΑΧ, ΕΟΚ, Ευρατόμ του Συμβουλίου, της 20ής Σεπτεμβρίου 1976 (ΕΕ L 178 της 16.7.2018, σ. 1, ELI: </w:t>
      </w:r>
      <w:hyperlink r:id="rId6" w:tooltip="Παρέχει πρόσβαση στο εν λόγω έγγραφο μέσω του ELI URI." w:history="1">
        <w:r w:rsidRPr="00D544A1">
          <w:rPr>
            <w:rStyle w:val="Hyperlink"/>
            <w:sz w:val="24"/>
            <w:lang w:val="el-GR"/>
          </w:rPr>
          <w:t>http://data.europa.eu/eli/dec/2018/994/oj</w:t>
        </w:r>
      </w:hyperlink>
      <w:r w:rsidRPr="00D544A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C0DE" w14:textId="77777777" w:rsidR="00064002" w:rsidRPr="00D544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93B4E" w14:textId="77777777" w:rsidR="00064002" w:rsidRPr="00D544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73DDB" w14:textId="77777777" w:rsidR="00064002" w:rsidRPr="00D544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0923A2"/>
    <w:multiLevelType w:val="hybridMultilevel"/>
    <w:tmpl w:val="81B21C2A"/>
    <w:lvl w:ilvl="0" w:tplc="A572B0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D43ADE"/>
    <w:multiLevelType w:val="hybridMultilevel"/>
    <w:tmpl w:val="F2A064BA"/>
    <w:lvl w:ilvl="0" w:tplc="A572B0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65364B"/>
    <w:multiLevelType w:val="hybridMultilevel"/>
    <w:tmpl w:val="20D841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7959500">
    <w:abstractNumId w:val="9"/>
  </w:num>
  <w:num w:numId="2" w16cid:durableId="1833059597">
    <w:abstractNumId w:val="9"/>
  </w:num>
  <w:num w:numId="3" w16cid:durableId="197936259">
    <w:abstractNumId w:val="7"/>
  </w:num>
  <w:num w:numId="4" w16cid:durableId="1528254822">
    <w:abstractNumId w:val="7"/>
  </w:num>
  <w:num w:numId="5" w16cid:durableId="846670887">
    <w:abstractNumId w:val="6"/>
  </w:num>
  <w:num w:numId="6" w16cid:durableId="1488982933">
    <w:abstractNumId w:val="6"/>
  </w:num>
  <w:num w:numId="7" w16cid:durableId="874077520">
    <w:abstractNumId w:val="5"/>
  </w:num>
  <w:num w:numId="8" w16cid:durableId="1339313063">
    <w:abstractNumId w:val="5"/>
  </w:num>
  <w:num w:numId="9" w16cid:durableId="1648315849">
    <w:abstractNumId w:val="4"/>
  </w:num>
  <w:num w:numId="10" w16cid:durableId="2137483869">
    <w:abstractNumId w:val="4"/>
  </w:num>
  <w:num w:numId="11" w16cid:durableId="1034423585">
    <w:abstractNumId w:val="8"/>
  </w:num>
  <w:num w:numId="12" w16cid:durableId="1634480052">
    <w:abstractNumId w:val="8"/>
  </w:num>
  <w:num w:numId="13" w16cid:durableId="1049065458">
    <w:abstractNumId w:val="3"/>
  </w:num>
  <w:num w:numId="14" w16cid:durableId="1983923523">
    <w:abstractNumId w:val="3"/>
  </w:num>
  <w:num w:numId="15" w16cid:durableId="756363882">
    <w:abstractNumId w:val="2"/>
  </w:num>
  <w:num w:numId="16" w16cid:durableId="1644967531">
    <w:abstractNumId w:val="2"/>
  </w:num>
  <w:num w:numId="17" w16cid:durableId="93405389">
    <w:abstractNumId w:val="1"/>
  </w:num>
  <w:num w:numId="18" w16cid:durableId="2021809627">
    <w:abstractNumId w:val="1"/>
  </w:num>
  <w:num w:numId="19" w16cid:durableId="505511664">
    <w:abstractNumId w:val="0"/>
  </w:num>
  <w:num w:numId="20" w16cid:durableId="1021513555">
    <w:abstractNumId w:val="0"/>
  </w:num>
  <w:num w:numId="21" w16cid:durableId="1146121805">
    <w:abstractNumId w:val="9"/>
  </w:num>
  <w:num w:numId="22" w16cid:durableId="1455249118">
    <w:abstractNumId w:val="7"/>
  </w:num>
  <w:num w:numId="23" w16cid:durableId="1749109927">
    <w:abstractNumId w:val="6"/>
  </w:num>
  <w:num w:numId="24" w16cid:durableId="1481462931">
    <w:abstractNumId w:val="5"/>
  </w:num>
  <w:num w:numId="25" w16cid:durableId="1425222039">
    <w:abstractNumId w:val="4"/>
  </w:num>
  <w:num w:numId="26" w16cid:durableId="2130659837">
    <w:abstractNumId w:val="8"/>
  </w:num>
  <w:num w:numId="27" w16cid:durableId="1492481034">
    <w:abstractNumId w:val="3"/>
  </w:num>
  <w:num w:numId="28" w16cid:durableId="1680086262">
    <w:abstractNumId w:val="2"/>
  </w:num>
  <w:num w:numId="29" w16cid:durableId="223567705">
    <w:abstractNumId w:val="1"/>
  </w:num>
  <w:num w:numId="30" w16cid:durableId="316418335">
    <w:abstractNumId w:val="0"/>
  </w:num>
  <w:num w:numId="31" w16cid:durableId="749078075">
    <w:abstractNumId w:val="9"/>
  </w:num>
  <w:num w:numId="32" w16cid:durableId="1595548338">
    <w:abstractNumId w:val="7"/>
  </w:num>
  <w:num w:numId="33" w16cid:durableId="2141485838">
    <w:abstractNumId w:val="6"/>
  </w:num>
  <w:num w:numId="34" w16cid:durableId="1960451538">
    <w:abstractNumId w:val="5"/>
  </w:num>
  <w:num w:numId="35" w16cid:durableId="1502425934">
    <w:abstractNumId w:val="4"/>
  </w:num>
  <w:num w:numId="36" w16cid:durableId="849024864">
    <w:abstractNumId w:val="8"/>
  </w:num>
  <w:num w:numId="37" w16cid:durableId="1058358187">
    <w:abstractNumId w:val="3"/>
  </w:num>
  <w:num w:numId="38" w16cid:durableId="1265651898">
    <w:abstractNumId w:val="2"/>
  </w:num>
  <w:num w:numId="39" w16cid:durableId="390424495">
    <w:abstractNumId w:val="1"/>
  </w:num>
  <w:num w:numId="40" w16cid:durableId="1270352523">
    <w:abstractNumId w:val="0"/>
  </w:num>
  <w:num w:numId="41" w16cid:durableId="1074669107">
    <w:abstractNumId w:val="10"/>
  </w:num>
  <w:num w:numId="42" w16cid:durableId="41440842">
    <w:abstractNumId w:val="10"/>
  </w:num>
  <w:num w:numId="43" w16cid:durableId="926571532">
    <w:abstractNumId w:val="10"/>
  </w:num>
  <w:num w:numId="44" w16cid:durableId="1926496911">
    <w:abstractNumId w:val="12"/>
  </w:num>
  <w:num w:numId="45" w16cid:durableId="1931574119">
    <w:abstractNumId w:val="14"/>
  </w:num>
  <w:num w:numId="46" w16cid:durableId="881482005">
    <w:abstractNumId w:val="13"/>
  </w:num>
  <w:num w:numId="47" w16cid:durableId="586116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EL"/>
    <w:docVar w:name="dvnumam" w:val="0"/>
    <w:docVar w:name="dvpe" w:val="767.970"/>
    <w:docVar w:name="dvrapporteur" w:val="Εισηγητής: "/>
    <w:docVar w:name="dvtitre" w:val="Ψήφισμα του Ευρωπαϊκού Κοινοβουλίου της ... 2026 σχετικά με τη μεταρρύθμιση της Ευρωπαϊκής Εκλογικής Πράξης — εμπόδια για την επικύρωση και την εφαρμογή της στα κράτη μέλη(2025/2028(INI))"/>
  </w:docVars>
  <w:rsids>
    <w:rsidRoot w:val="00F41989"/>
    <w:rsid w:val="00002272"/>
    <w:rsid w:val="00064002"/>
    <w:rsid w:val="000677B9"/>
    <w:rsid w:val="000831BA"/>
    <w:rsid w:val="00086F5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DF8"/>
    <w:rsid w:val="00471C19"/>
    <w:rsid w:val="004867E3"/>
    <w:rsid w:val="00494A28"/>
    <w:rsid w:val="004C0004"/>
    <w:rsid w:val="004C5D52"/>
    <w:rsid w:val="004D3A9B"/>
    <w:rsid w:val="0050519A"/>
    <w:rsid w:val="005072A1"/>
    <w:rsid w:val="00514517"/>
    <w:rsid w:val="00545827"/>
    <w:rsid w:val="00560270"/>
    <w:rsid w:val="005C2568"/>
    <w:rsid w:val="005F1B17"/>
    <w:rsid w:val="005F74B1"/>
    <w:rsid w:val="006037C0"/>
    <w:rsid w:val="006631B6"/>
    <w:rsid w:val="00680577"/>
    <w:rsid w:val="006F74FA"/>
    <w:rsid w:val="00731ADD"/>
    <w:rsid w:val="00734777"/>
    <w:rsid w:val="00747932"/>
    <w:rsid w:val="00751A4A"/>
    <w:rsid w:val="00756632"/>
    <w:rsid w:val="00762C74"/>
    <w:rsid w:val="00786EC0"/>
    <w:rsid w:val="007D1690"/>
    <w:rsid w:val="007E22AD"/>
    <w:rsid w:val="007E3E14"/>
    <w:rsid w:val="00817416"/>
    <w:rsid w:val="00842779"/>
    <w:rsid w:val="00865F67"/>
    <w:rsid w:val="00881A7B"/>
    <w:rsid w:val="008840E5"/>
    <w:rsid w:val="00887B3E"/>
    <w:rsid w:val="008B0AF1"/>
    <w:rsid w:val="008B71CB"/>
    <w:rsid w:val="008C2AC6"/>
    <w:rsid w:val="00930C23"/>
    <w:rsid w:val="0093193B"/>
    <w:rsid w:val="009509D8"/>
    <w:rsid w:val="00950B64"/>
    <w:rsid w:val="009710D3"/>
    <w:rsid w:val="00981893"/>
    <w:rsid w:val="00A1687D"/>
    <w:rsid w:val="00A43E52"/>
    <w:rsid w:val="00A4678D"/>
    <w:rsid w:val="00A778C7"/>
    <w:rsid w:val="00AB441E"/>
    <w:rsid w:val="00AB6293"/>
    <w:rsid w:val="00AD1B7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4A1"/>
    <w:rsid w:val="00D56C11"/>
    <w:rsid w:val="00D834A0"/>
    <w:rsid w:val="00D872DF"/>
    <w:rsid w:val="00D91E21"/>
    <w:rsid w:val="00DA7FCD"/>
    <w:rsid w:val="00DF0632"/>
    <w:rsid w:val="00E365E1"/>
    <w:rsid w:val="00E820A4"/>
    <w:rsid w:val="00EB006A"/>
    <w:rsid w:val="00EB4772"/>
    <w:rsid w:val="00ED169E"/>
    <w:rsid w:val="00ED4235"/>
    <w:rsid w:val="00F04346"/>
    <w:rsid w:val="00F075DC"/>
    <w:rsid w:val="00F149E9"/>
    <w:rsid w:val="00F4198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7A5CC"/>
  <w15:chartTrackingRefBased/>
  <w15:docId w15:val="{73BB7125-6EDB-4610-B236-1DB085FE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B71CB"/>
    <w:pPr>
      <w:spacing w:after="240"/>
      <w:ind w:left="567" w:hanging="567"/>
    </w:pPr>
  </w:style>
  <w:style w:type="paragraph" w:customStyle="1" w:styleId="Subheading">
    <w:name w:val="Subheading"/>
    <w:basedOn w:val="Normal"/>
    <w:rsid w:val="008B71CB"/>
    <w:pPr>
      <w:spacing w:before="480" w:after="240"/>
    </w:pPr>
    <w:rPr>
      <w:b/>
      <w:i/>
    </w:rPr>
  </w:style>
  <w:style w:type="paragraph" w:customStyle="1" w:styleId="EPComma">
    <w:name w:val="EPComma"/>
    <w:basedOn w:val="Normal"/>
    <w:rsid w:val="008B71CB"/>
    <w:pPr>
      <w:spacing w:before="480" w:after="240"/>
    </w:pPr>
  </w:style>
  <w:style w:type="character" w:styleId="Hyperlink">
    <w:name w:val="Hyperlink"/>
    <w:basedOn w:val="DefaultParagraphFont"/>
    <w:rsid w:val="008B71CB"/>
    <w:rPr>
      <w:color w:val="0563C1" w:themeColor="hyperlink"/>
      <w:u w:val="single"/>
    </w:rPr>
  </w:style>
  <w:style w:type="paragraph" w:styleId="Revision">
    <w:name w:val="Revision"/>
    <w:hidden/>
    <w:uiPriority w:val="99"/>
    <w:semiHidden/>
    <w:rsid w:val="004D3A9B"/>
    <w:rPr>
      <w:sz w:val="24"/>
      <w:lang w:val="el-GR"/>
    </w:rPr>
  </w:style>
  <w:style w:type="character" w:styleId="FollowedHyperlink">
    <w:name w:val="FollowedHyperlink"/>
    <w:basedOn w:val="DefaultParagraphFont"/>
    <w:rsid w:val="00AD1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2882</Words>
  <Characters>17031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2026-03-02T08:47:00Z</dcterms:created>
  <dcterms:modified xsi:type="dcterms:W3CDTF">2026-03-02T08:47:00Z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A10-0252/2025</vt:lpwstr>
  </property>
  <property fmtid="{D5CDD505-2E9C-101B-9397-08002B2CF9AE}" pid="4" name="&lt;Type&gt;">
    <vt:lpwstr>RR</vt:lpwstr>
  </property>
</Properties>
</file>