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2A40" w14:paraId="6273919B" w14:textId="77777777" w:rsidTr="0010095E">
        <w:trPr>
          <w:trHeight w:hRule="exact" w:val="1418"/>
        </w:trPr>
        <w:tc>
          <w:tcPr>
            <w:tcW w:w="6804" w:type="dxa"/>
            <w:shd w:val="clear" w:color="auto" w:fill="auto"/>
            <w:vAlign w:val="center"/>
          </w:tcPr>
          <w:p w14:paraId="6474DEB9" w14:textId="77777777" w:rsidR="00751A4A" w:rsidRPr="00C62A40" w:rsidRDefault="00ED69CD" w:rsidP="0010095E">
            <w:pPr>
              <w:pStyle w:val="EPName"/>
            </w:pPr>
            <w:r w:rsidRPr="00C62A40">
              <w:t>Euroopan parlamentti</w:t>
            </w:r>
          </w:p>
          <w:p w14:paraId="72913E5D" w14:textId="77777777" w:rsidR="00751A4A" w:rsidRPr="00C62A40" w:rsidRDefault="005F1B17" w:rsidP="005F1B17">
            <w:pPr>
              <w:pStyle w:val="EPTerm"/>
              <w:rPr>
                <w:rStyle w:val="HideTWBExt"/>
                <w:noProof w:val="0"/>
                <w:vanish w:val="0"/>
                <w:color w:val="auto"/>
              </w:rPr>
            </w:pPr>
            <w:r w:rsidRPr="00C62A40">
              <w:t>2024</w:t>
            </w:r>
            <w:r w:rsidR="00817416" w:rsidRPr="00C62A40">
              <w:t>-202</w:t>
            </w:r>
            <w:r w:rsidRPr="00C62A40">
              <w:t>9</w:t>
            </w:r>
          </w:p>
        </w:tc>
        <w:tc>
          <w:tcPr>
            <w:tcW w:w="2268" w:type="dxa"/>
            <w:shd w:val="clear" w:color="auto" w:fill="auto"/>
          </w:tcPr>
          <w:p w14:paraId="491269D9" w14:textId="77777777" w:rsidR="00751A4A" w:rsidRPr="00C62A40" w:rsidRDefault="00187494" w:rsidP="0010095E">
            <w:pPr>
              <w:pStyle w:val="EPLogo"/>
            </w:pPr>
            <w:r w:rsidRPr="00C62A40">
              <w:rPr>
                <w:noProof/>
                <w:lang w:eastAsia="ja-JP"/>
              </w:rPr>
              <w:drawing>
                <wp:inline distT="0" distB="0" distL="0" distR="0" wp14:anchorId="0333B01D" wp14:editId="70F7FF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A5D71B" w14:textId="77777777" w:rsidR="00D058B8" w:rsidRPr="00C62A40" w:rsidRDefault="00D058B8" w:rsidP="004C5D52">
      <w:pPr>
        <w:pStyle w:val="LineTop"/>
      </w:pPr>
    </w:p>
    <w:p w14:paraId="2339DA96" w14:textId="77777777" w:rsidR="00680577" w:rsidRPr="00C62A40" w:rsidRDefault="00ED69CD" w:rsidP="00680577">
      <w:pPr>
        <w:pStyle w:val="EPBodyTA1"/>
      </w:pPr>
      <w:r w:rsidRPr="00C62A40">
        <w:t>HYVÄKSYTYT TEKSTIT</w:t>
      </w:r>
    </w:p>
    <w:p w14:paraId="7D8373AC" w14:textId="77777777" w:rsidR="00D058B8" w:rsidRPr="00C62A40" w:rsidRDefault="00D058B8" w:rsidP="00D058B8">
      <w:pPr>
        <w:pStyle w:val="LineBottom"/>
      </w:pPr>
    </w:p>
    <w:p w14:paraId="36F97CC1" w14:textId="1F595E13" w:rsidR="00ED69CD" w:rsidRPr="00C62A40" w:rsidRDefault="00ED69CD" w:rsidP="00ED69CD">
      <w:pPr>
        <w:pStyle w:val="ATHeading1"/>
      </w:pPr>
      <w:bookmarkStart w:id="0" w:name="TANumber"/>
      <w:r w:rsidRPr="00C62A40">
        <w:t>P10_TA(2026)000</w:t>
      </w:r>
      <w:bookmarkEnd w:id="0"/>
      <w:r w:rsidR="000F074E" w:rsidRPr="00C62A40">
        <w:t>6</w:t>
      </w:r>
    </w:p>
    <w:p w14:paraId="1C33C7EA" w14:textId="039FABC1" w:rsidR="00ED69CD" w:rsidRPr="00C62A40" w:rsidRDefault="00001A97" w:rsidP="00001A97">
      <w:pPr>
        <w:pStyle w:val="ATHeading2"/>
      </w:pPr>
      <w:bookmarkStart w:id="1" w:name="title"/>
      <w:r w:rsidRPr="00C62A40">
        <w:t>Euroopan parlamentin vaaleista annetun säädöksen uudistaminen – ratifioinnin ja täytäntöönpanon esteet jäsenvaltioissa</w:t>
      </w:r>
      <w:bookmarkEnd w:id="1"/>
    </w:p>
    <w:p w14:paraId="098920A5" w14:textId="77777777" w:rsidR="00ED69CD" w:rsidRPr="00C62A40" w:rsidRDefault="00ED69CD" w:rsidP="00ED69CD">
      <w:pPr>
        <w:rPr>
          <w:i/>
          <w:vanish/>
        </w:rPr>
      </w:pPr>
      <w:r w:rsidRPr="00C62A40">
        <w:rPr>
          <w:i/>
        </w:rPr>
        <w:fldChar w:fldCharType="begin"/>
      </w:r>
      <w:r w:rsidRPr="00C62A40">
        <w:rPr>
          <w:i/>
        </w:rPr>
        <w:instrText xml:space="preserve"> TC"(</w:instrText>
      </w:r>
      <w:bookmarkStart w:id="2" w:name="DocNumber"/>
      <w:r w:rsidRPr="00C62A40">
        <w:rPr>
          <w:i/>
        </w:rPr>
        <w:instrText>A10-0252/2025</w:instrText>
      </w:r>
      <w:bookmarkEnd w:id="2"/>
      <w:r w:rsidRPr="00C62A40">
        <w:rPr>
          <w:i/>
        </w:rPr>
        <w:instrText xml:space="preserve"> - Esittelijä: Borja Giménez Larraz)"\l3 \n&gt; \* MERGEFORMAT </w:instrText>
      </w:r>
      <w:r w:rsidRPr="00C62A40">
        <w:rPr>
          <w:i/>
        </w:rPr>
        <w:fldChar w:fldCharType="end"/>
      </w:r>
    </w:p>
    <w:p w14:paraId="6CB61C1A" w14:textId="77777777" w:rsidR="00ED69CD" w:rsidRPr="00C62A40" w:rsidRDefault="00ED69CD" w:rsidP="00ED69CD">
      <w:pPr>
        <w:rPr>
          <w:vanish/>
        </w:rPr>
      </w:pPr>
      <w:bookmarkStart w:id="3" w:name="Commission"/>
      <w:r w:rsidRPr="00C62A40">
        <w:rPr>
          <w:vanish/>
        </w:rPr>
        <w:t>Perussopimus-, työjärjestys- ja toimielinasioiden valiokunta</w:t>
      </w:r>
      <w:bookmarkEnd w:id="3"/>
    </w:p>
    <w:p w14:paraId="2160FA33" w14:textId="77777777" w:rsidR="00ED69CD" w:rsidRPr="00C62A40" w:rsidRDefault="00ED69CD" w:rsidP="00ED69CD">
      <w:pPr>
        <w:rPr>
          <w:vanish/>
        </w:rPr>
      </w:pPr>
      <w:bookmarkStart w:id="4" w:name="PE"/>
      <w:r w:rsidRPr="00C62A40">
        <w:rPr>
          <w:vanish/>
        </w:rPr>
        <w:t>PE767.970</w:t>
      </w:r>
      <w:bookmarkEnd w:id="4"/>
    </w:p>
    <w:p w14:paraId="206B279C" w14:textId="1847B74A" w:rsidR="00ED69CD" w:rsidRPr="00C62A40" w:rsidRDefault="00ED69CD" w:rsidP="00ED69CD">
      <w:pPr>
        <w:pStyle w:val="ATHeading3"/>
      </w:pPr>
      <w:bookmarkStart w:id="5" w:name="Sujet"/>
      <w:r w:rsidRPr="00C62A40">
        <w:t xml:space="preserve">Euroopan parlamentin päätöslauselma </w:t>
      </w:r>
      <w:r w:rsidR="0099570D" w:rsidRPr="00C62A40">
        <w:t>20</w:t>
      </w:r>
      <w:r w:rsidRPr="00C62A40">
        <w:t>. tammikuuta 2026 Euroopan parlamentin vaaleista annetun säädöksen uudistamisesta – ratifioinnin ja täytäntöönpanon esteet jäsenvaltioissa</w:t>
      </w:r>
      <w:bookmarkEnd w:id="5"/>
      <w:r w:rsidRPr="00C62A40">
        <w:t xml:space="preserve"> </w:t>
      </w:r>
      <w:bookmarkStart w:id="6" w:name="References"/>
      <w:r w:rsidRPr="00C62A40">
        <w:t>(2025/2028(INI))</w:t>
      </w:r>
      <w:bookmarkEnd w:id="6"/>
    </w:p>
    <w:p w14:paraId="1F01D556" w14:textId="77777777" w:rsidR="00B60B6C" w:rsidRPr="00C62A40" w:rsidRDefault="00B60B6C" w:rsidP="00001A97">
      <w:pPr>
        <w:pStyle w:val="EPComma"/>
        <w:widowControl/>
      </w:pPr>
      <w:bookmarkStart w:id="7" w:name="TextBodyBegin"/>
      <w:bookmarkEnd w:id="7"/>
      <w:r w:rsidRPr="00C62A40">
        <w:rPr>
          <w:i/>
          <w:iCs/>
        </w:rPr>
        <w:t>Euroopan parlamentti</w:t>
      </w:r>
      <w:r w:rsidRPr="00C62A40">
        <w:t>, joka</w:t>
      </w:r>
    </w:p>
    <w:p w14:paraId="2461FCD1" w14:textId="77777777" w:rsidR="00B60B6C" w:rsidRPr="00C62A40" w:rsidRDefault="00B60B6C" w:rsidP="00001A97">
      <w:pPr>
        <w:pStyle w:val="NormalHanging12a"/>
        <w:widowControl/>
      </w:pPr>
      <w:r w:rsidRPr="00C62A40">
        <w:t>–</w:t>
      </w:r>
      <w:r w:rsidRPr="00C62A40">
        <w:tab/>
        <w:t>ottaa huomioon perussopimukset ja erityisesti Euroopan unionista tehdyn sopimuksen (SEU) 9, 10 ja 14 artiklan ja 17 artiklan 7 kohdan sekä Euroopan unionin toiminnasta tehdyn sopimuksen (SEUT) 22 artiklan, 223 artiklan 1 kohdan ja 225 artiklan,</w:t>
      </w:r>
    </w:p>
    <w:p w14:paraId="5E2C96B8" w14:textId="77777777" w:rsidR="00B60B6C" w:rsidRPr="00C62A40" w:rsidRDefault="00B60B6C" w:rsidP="00001A97">
      <w:pPr>
        <w:pStyle w:val="NormalHanging12a"/>
        <w:widowControl/>
      </w:pPr>
      <w:r w:rsidRPr="00C62A40">
        <w:t>–</w:t>
      </w:r>
      <w:r w:rsidRPr="00C62A40">
        <w:tab/>
        <w:t>ottaa huomioon Euroopan parlamentin jäsenten valitsemisesta yleisillä, välittömillä vaaleilla tehdyn säädöksen</w:t>
      </w:r>
      <w:r w:rsidRPr="00C62A40">
        <w:rPr>
          <w:rStyle w:val="FootnoteReference"/>
        </w:rPr>
        <w:footnoteReference w:id="1"/>
      </w:r>
      <w:r w:rsidRPr="00C62A40">
        <w:t>, jäljempänä ’EU:n vaalisäädös’, joka on liitetty neuvoston 20. syyskuuta 1976 tekemään päätökseen</w:t>
      </w:r>
      <w:r w:rsidRPr="00C62A40">
        <w:rPr>
          <w:rStyle w:val="FootnoteReference"/>
        </w:rPr>
        <w:footnoteReference w:id="2"/>
      </w:r>
      <w:r w:rsidRPr="00C62A40">
        <w:t>, sellaisena kuin se on muutettuna,</w:t>
      </w:r>
    </w:p>
    <w:p w14:paraId="6F9F04E8" w14:textId="77777777" w:rsidR="00B60B6C" w:rsidRPr="00C62A40" w:rsidRDefault="00B60B6C" w:rsidP="00001A97">
      <w:pPr>
        <w:pStyle w:val="NormalHanging12a"/>
        <w:widowControl/>
      </w:pPr>
      <w:r w:rsidRPr="00C62A40">
        <w:t>–</w:t>
      </w:r>
      <w:r w:rsidRPr="00C62A40">
        <w:tab/>
        <w:t>ottaa huomioon Euroopan parlamentin ja Euroopan komission välisistä suhteista 20. lokakuuta 2010 tehdyn puitesopimuksen</w:t>
      </w:r>
      <w:r w:rsidRPr="00C62A40">
        <w:rPr>
          <w:rStyle w:val="FootnoteReference"/>
        </w:rPr>
        <w:footnoteReference w:id="3"/>
      </w:r>
      <w:r w:rsidRPr="00C62A40">
        <w:t>,</w:t>
      </w:r>
    </w:p>
    <w:p w14:paraId="428C1FFB" w14:textId="77777777" w:rsidR="00B60B6C" w:rsidRPr="00C62A40" w:rsidRDefault="00B60B6C" w:rsidP="00001A97">
      <w:pPr>
        <w:pStyle w:val="NormalHanging12a"/>
        <w:widowControl/>
      </w:pPr>
      <w:r w:rsidRPr="00C62A40">
        <w:t>–</w:t>
      </w:r>
      <w:r w:rsidRPr="00C62A40">
        <w:tab/>
        <w:t>ottaa huomioon 11. marraskuuta 2015 antamansa päätöslauselman Euroopan unionin vaalilain uudistuksesta</w:t>
      </w:r>
      <w:r w:rsidRPr="00C62A40">
        <w:rPr>
          <w:rStyle w:val="FootnoteReference"/>
        </w:rPr>
        <w:footnoteReference w:id="4"/>
      </w:r>
      <w:r w:rsidRPr="00C62A40">
        <w:t>,</w:t>
      </w:r>
    </w:p>
    <w:p w14:paraId="14B3C903" w14:textId="77777777" w:rsidR="00B60B6C" w:rsidRPr="00C62A40" w:rsidRDefault="00B60B6C" w:rsidP="00001A97">
      <w:pPr>
        <w:pStyle w:val="NormalHanging12a"/>
        <w:widowControl/>
      </w:pPr>
      <w:r w:rsidRPr="00C62A40">
        <w:t>–</w:t>
      </w:r>
      <w:r w:rsidRPr="00C62A40">
        <w:tab/>
        <w:t>ottaa huomioon 3. toukokuuta 2022 vahvistamansa kannan ehdotukseen neuvoston asetukseksi Euroopan parlamentin jäsenten valitsemisesta yleisillä, välittömillä vaaleilla sekä neuvoston päätöksen 76/787/EHTY, ETY, Euratom ja kyseisen päätöksen liitteenä olevan, Euroopan parlamentin jäsenten valitsemisesta Euroopan parlamenttiin yleisillä välittömillä vaaleilla annetun säädöksen kumoamisesta (2020/2220(INL) – 2022/0902(APP))</w:t>
      </w:r>
      <w:r w:rsidRPr="00C62A40">
        <w:rPr>
          <w:rStyle w:val="FootnoteReference"/>
        </w:rPr>
        <w:footnoteReference w:id="5"/>
      </w:r>
      <w:r w:rsidRPr="00C62A40">
        <w:t>,</w:t>
      </w:r>
    </w:p>
    <w:p w14:paraId="50332FFC" w14:textId="77777777" w:rsidR="00B60B6C" w:rsidRPr="00C62A40" w:rsidRDefault="00B60B6C" w:rsidP="00001A97">
      <w:pPr>
        <w:pStyle w:val="NormalHanging12a"/>
        <w:widowControl/>
      </w:pPr>
      <w:r w:rsidRPr="00C62A40">
        <w:lastRenderedPageBreak/>
        <w:t>–</w:t>
      </w:r>
      <w:r w:rsidRPr="00C62A40">
        <w:tab/>
        <w:t>ottaa huomioon 13. heinäkuuta 2018 annetun neuvoston päätöksen (EU, Euratom) 2018/994 20 päivänä syyskuuta 1976 annetun neuvoston päätöksen 76/787/EHTY, ETY, Euratom liitteenä olevan, edustajien valitsemisesta Euroopan parlamenttiin yleisillä välittömillä vaaleilla annetun säädöksen muuttamisesta</w:t>
      </w:r>
      <w:r w:rsidRPr="00C62A40">
        <w:rPr>
          <w:rStyle w:val="FootnoteReference"/>
        </w:rPr>
        <w:footnoteReference w:id="6"/>
      </w:r>
      <w:r w:rsidRPr="00C62A40">
        <w:t>,</w:t>
      </w:r>
    </w:p>
    <w:p w14:paraId="56C4C3B7" w14:textId="77777777" w:rsidR="00B60B6C" w:rsidRPr="00C62A40" w:rsidRDefault="00B60B6C" w:rsidP="00001A97">
      <w:pPr>
        <w:pStyle w:val="NormalHanging12a"/>
        <w:widowControl/>
      </w:pPr>
      <w:r w:rsidRPr="00C62A40">
        <w:t>–</w:t>
      </w:r>
      <w:r w:rsidRPr="00C62A40">
        <w:rPr>
          <w:b/>
          <w:i/>
        </w:rPr>
        <w:tab/>
      </w:r>
      <w:r w:rsidRPr="00C62A40">
        <w:t>ottaa huomioon YK:n yleissopimuksen vammaisten henkilöiden oikeuksista,</w:t>
      </w:r>
    </w:p>
    <w:p w14:paraId="55953645" w14:textId="77777777" w:rsidR="00B60B6C" w:rsidRPr="00C62A40" w:rsidRDefault="00B60B6C" w:rsidP="00001A97">
      <w:pPr>
        <w:pStyle w:val="NormalHanging12a"/>
        <w:widowControl/>
      </w:pPr>
      <w:r w:rsidRPr="00C62A40">
        <w:t>–</w:t>
      </w:r>
      <w:r w:rsidRPr="00C62A40">
        <w:tab/>
        <w:t>ottaa huomioon työjärjestyksen 55 artiklan sekä valiokunta-aloitteisten mietintöjen laatimista koskevasta lupamenettelystä 12. joulukuuta 2002 tehdyn puheenjohtajakokouksen päätöksen 1 artiklan 1 kohdan e alakohdan ja liitteen 3,</w:t>
      </w:r>
    </w:p>
    <w:p w14:paraId="584FD965" w14:textId="77777777" w:rsidR="00B60B6C" w:rsidRPr="00C62A40" w:rsidRDefault="00B60B6C" w:rsidP="00001A97">
      <w:pPr>
        <w:pStyle w:val="NormalHanging12a"/>
        <w:widowControl/>
      </w:pPr>
      <w:r w:rsidRPr="00C62A40">
        <w:t>–</w:t>
      </w:r>
      <w:r w:rsidRPr="00C62A40">
        <w:tab/>
        <w:t>ottaa huomioon perussopimus-, työjärjestys- ja toimielinasioiden valiokunnan mietinnön (A10-0252/2025),</w:t>
      </w:r>
    </w:p>
    <w:p w14:paraId="0A53D9DA" w14:textId="5853DA2B" w:rsidR="00B60B6C" w:rsidRPr="00C62A40" w:rsidRDefault="00B60B6C" w:rsidP="00001A97">
      <w:pPr>
        <w:pStyle w:val="NormalHanging12a"/>
        <w:widowControl/>
      </w:pPr>
      <w:r w:rsidRPr="00C62A40">
        <w:t>A.</w:t>
      </w:r>
      <w:r w:rsidRPr="00C62A40">
        <w:tab/>
        <w:t xml:space="preserve">ottaa huomioon, että parlamentilla on SEUT 223 artiklan nojalla oikeus panna alulle oman vaalimenettelynsä uudistus, jotta voidaan laatia yhdenmukainen menettely, jota noudatetaan koko EU:ssa, tai menettely, joka perustuu kaikille jäsenvaltioille yhteisiin periaatteisiin, ja antaa sille hyväksyntänsä; ottaa huomioon, että EU:n toimielimiä ja jäsenvaltioita sitoo SEU 4 artiklan 3 kohdassa vahvistettu keskinäisen vilpittömän yhteistyön periaate; </w:t>
      </w:r>
    </w:p>
    <w:p w14:paraId="4DD931B9" w14:textId="77777777" w:rsidR="00B60B6C" w:rsidRPr="00C62A40" w:rsidRDefault="00B60B6C" w:rsidP="00001A97">
      <w:pPr>
        <w:pStyle w:val="NormalHanging12a"/>
        <w:widowControl/>
        <w:ind w:hanging="570"/>
        <w:rPr>
          <w:bCs/>
          <w:iCs/>
        </w:rPr>
      </w:pPr>
      <w:r w:rsidRPr="00C62A40">
        <w:t>B.</w:t>
      </w:r>
      <w:r w:rsidRPr="00C62A40">
        <w:tab/>
        <w:t xml:space="preserve">katsoo, että yhdenmukainen vaalimenettely varmistaisi paremmin yhdenvertaisuuden ja avoimuuden vaaliprosessissa sekä myös edistäisi eurooppalaisen poliittisen ja julkisen tilan syntymistä ja vahvistaisi siten EU:n ja sen toimielinten legitimiteettiä; </w:t>
      </w:r>
    </w:p>
    <w:p w14:paraId="20556285" w14:textId="23E5858E" w:rsidR="00B60B6C" w:rsidRPr="00C62A40" w:rsidRDefault="00B60B6C" w:rsidP="00001A97">
      <w:pPr>
        <w:pStyle w:val="NormalHanging12a"/>
        <w:widowControl/>
      </w:pPr>
      <w:r w:rsidRPr="00C62A40">
        <w:t>C.</w:t>
      </w:r>
      <w:r w:rsidRPr="00C62A40">
        <w:tab/>
        <w:t xml:space="preserve">ottaa huomioon, että SEUT 223 artiklan 1 kohdan mukaisesti muutetun EU:n vaalisäädöksen voimaantulo edellyttää kaikkien jäsenvaltioiden niiden valtiosääntöjen asettamien vaatimusten mukaisesti antamaa hyväksyntää ja kullakin jäsenvaltiolla on täysi harkintavalta päättää, milloin se ratifioidaan; </w:t>
      </w:r>
    </w:p>
    <w:p w14:paraId="06B159C4" w14:textId="77777777" w:rsidR="00B60B6C" w:rsidRPr="00C62A40" w:rsidRDefault="00B60B6C" w:rsidP="00001A97">
      <w:pPr>
        <w:pStyle w:val="NormalHanging12a"/>
        <w:widowControl/>
      </w:pPr>
      <w:r w:rsidRPr="00C62A40">
        <w:t>D.</w:t>
      </w:r>
      <w:r w:rsidRPr="00C62A40">
        <w:tab/>
        <w:t>muistuttaa, että perussopimuksiin on jo vuodesta 1957 sisältynyt mahdollisuus kehittää yhdenmukainen menettely yleisiä välittömiä vaaleja varten;</w:t>
      </w:r>
    </w:p>
    <w:p w14:paraId="5CCD78B0" w14:textId="77777777" w:rsidR="00B60B6C" w:rsidRPr="00C62A40" w:rsidRDefault="00B60B6C" w:rsidP="00001A97">
      <w:pPr>
        <w:pStyle w:val="NormalHanging12a"/>
        <w:widowControl/>
        <w:rPr>
          <w:bCs/>
          <w:iCs/>
        </w:rPr>
      </w:pPr>
      <w:r w:rsidRPr="00C62A40">
        <w:t>E.</w:t>
      </w:r>
      <w:r w:rsidRPr="00C62A40">
        <w:tab/>
        <w:t>ottaa huomioon, että vuonna 1976 annetussa EU:n vaalisäädöksessä asetettiin tavoitteeksi ottaa käyttöön tällainen yhdenmukainen menettely ja valtuutettiin parlamentti nimenomaisesti toteuttamaan tätä varten tarvittavat toimet; ottaa huomioon, että mahdollisuus vahvistaa ”yhteiset periaatteet” yhdenmukaistetun menettelyn sijaan otettiin käyttöön vasta myöhemmässä vaiheessa käytännöllisenä vastauksena jatkuviin vaikeuksiin päästä yksimielisyyteen yhdenmukaisesta vaalimenettelystä; ottaa huomioon, että tämä lähestymistavan muutos on johtanut vaaliuudistusten jatkuvaan epätasaiseen täytäntöönpanoon, mikä on heikentänyt perussopimusten ja vuonna 1976 annetun EU:n vaalisäädöksen alkuperäistä henkeä ja viivästyttänyt EU:n vaalikehyksen luomista;</w:t>
      </w:r>
    </w:p>
    <w:p w14:paraId="519BD286" w14:textId="2C69D25F" w:rsidR="00B60B6C" w:rsidRPr="00C62A40" w:rsidRDefault="00B60B6C" w:rsidP="00001A97">
      <w:pPr>
        <w:pStyle w:val="NormalHanging12a"/>
        <w:widowControl/>
      </w:pPr>
      <w:r w:rsidRPr="00C62A40">
        <w:t>F.</w:t>
      </w:r>
      <w:r w:rsidRPr="00C62A40">
        <w:tab/>
        <w:t xml:space="preserve">katsoo, että parlamentin vaalimenettelyn uudistuksen tavoitteena olisi oltava lujittaa EU-vaalien demokraattista ulottuvuutta ja EU:n päätöksentekoprosessin legitiimiyttä varmistamalla kaikille EU:n kansalaisille yhdenvertainen mahdollisuus osallistua ja mukauttamalla vaalikehystä parlamentin rooliin EU:n kansalaisten suorilla vaaleilla valitsemana toisena lainsäätäjänä; katsoo, että tällaisella uudistuksella olisi vahvistettava EU:n kansalaisuuden käsitettä, parannettava parlamentin toimintaa ja </w:t>
      </w:r>
      <w:r w:rsidRPr="00C62A40">
        <w:lastRenderedPageBreak/>
        <w:t>EU:n hallintotapaa sekä lujitettava periaatteita yhdenvertaisuudesta ja yhtäläisistä mahdollisuuksista vaaleissa ja osallistavuudesta; katsoo, että sen olisi lisättävä avoimuutta, saavutettavuutta ja nuorten osallistumista;</w:t>
      </w:r>
    </w:p>
    <w:p w14:paraId="61E84FAB" w14:textId="625D3291" w:rsidR="00B60B6C" w:rsidRPr="00C62A40" w:rsidRDefault="00B60B6C" w:rsidP="00001A97">
      <w:pPr>
        <w:pStyle w:val="NormalHanging12a"/>
        <w:widowControl/>
      </w:pPr>
      <w:r w:rsidRPr="00C62A40">
        <w:t>G.</w:t>
      </w:r>
      <w:r w:rsidRPr="00C62A40">
        <w:tab/>
        <w:t>ottaa huomioon, että aidosti yhdenmukaisesta vaalimenettelystä ei ole vielä saatu aikaan kattavaa sopimusta ja että nykyinen kehys on edelleen hyvin pirstoutunut; ottaa huomioon, että asteittaista lähentymistä on saavutettu joiltakin osin, mutta nykyiset kansalliset säännöt aiheuttavat edelleen merkittäviä eroja keskeisillä aloilla eri jäsenvaltioissa, mikä horjuttaa yhdenvertaisuutta vaaleissa ja heikentää sekä käsitystä yhdenmukaisista ja yhteisistä EU-vaaleista että kansalaisten luottamusta Euroopan demokraattiseen prosessiin;</w:t>
      </w:r>
    </w:p>
    <w:p w14:paraId="28455007" w14:textId="72B85D5A" w:rsidR="00B60B6C" w:rsidRPr="00C62A40" w:rsidRDefault="00B60B6C" w:rsidP="00001A97">
      <w:pPr>
        <w:pStyle w:val="NormalHanging12a"/>
        <w:widowControl/>
      </w:pPr>
      <w:r w:rsidRPr="00C62A40">
        <w:t>H.</w:t>
      </w:r>
      <w:r w:rsidRPr="00C62A40">
        <w:tab/>
        <w:t>ottaa huomioon, että useista uudistuksista huolimatta EU-vaaleja säännellään edelleen pääasiassa kansallisella lainsäädännöllä, vaalikampanjat toteutetaan edelleen suurelta osin kansallisella tasolla ja Euroopan tason poliittiset puolueet eivät pysty riittävässä määrin täyttämään perussopimusten mukaista tehtäväänsä ja myötävaikuttamaan ”eurooppalaisen poliittisen tietoisuuden muodostumiseen ja unionin kansalaisten tahdon ilmaisemiseen”, kuten SEU:n 10 artiklan 4 kohdassa edellytetään; toteaa, että Euroopan tason poliittisten puolueiden ja Euroopan tason poliittisten säätiöiden perussäännöstä ja rahoituksesta annetun asetuksen</w:t>
      </w:r>
      <w:r w:rsidRPr="00C62A40">
        <w:rPr>
          <w:rStyle w:val="FootnoteReference"/>
        </w:rPr>
        <w:footnoteReference w:id="7"/>
      </w:r>
      <w:r w:rsidRPr="00C62A40">
        <w:t xml:space="preserve"> uudelleenlaatiminen on jonkin verran selkeyttänyt tilannetta;</w:t>
      </w:r>
    </w:p>
    <w:p w14:paraId="061BEE85" w14:textId="77777777" w:rsidR="00B60B6C" w:rsidRPr="00C62A40" w:rsidRDefault="00B60B6C" w:rsidP="00001A97">
      <w:pPr>
        <w:pStyle w:val="NormalHanging12a"/>
        <w:widowControl/>
      </w:pPr>
      <w:r w:rsidRPr="00C62A40">
        <w:t>I.</w:t>
      </w:r>
      <w:r w:rsidRPr="00C62A40">
        <w:tab/>
        <w:t>toteaa, että paikkojen jakamiseen sovellettava äänikynnys on niiden äänten vähimmäismäärä, jotka poliittinen puolue tai vaaliliitto tarvitsee saadakseen paikan lainsäädäntöelimessä;</w:t>
      </w:r>
    </w:p>
    <w:p w14:paraId="789A0CD9" w14:textId="70EEF45F" w:rsidR="00B60B6C" w:rsidRPr="00C62A40" w:rsidRDefault="00B60B6C" w:rsidP="00001A97">
      <w:pPr>
        <w:pStyle w:val="NormalHanging12a"/>
        <w:widowControl/>
      </w:pPr>
      <w:r w:rsidRPr="00C62A40">
        <w:t>J.</w:t>
      </w:r>
      <w:r w:rsidRPr="00C62A40">
        <w:tab/>
        <w:t>ottaa huomioon, että neuvoston päätöksessä (EU, Euratom) 2018/994</w:t>
      </w:r>
      <w:r w:rsidRPr="00C62A40">
        <w:rPr>
          <w:rStyle w:val="FootnoteReference"/>
        </w:rPr>
        <w:footnoteReference w:id="8"/>
      </w:r>
      <w:r w:rsidRPr="00C62A40">
        <w:t xml:space="preserve"> säädetään 2–5 prosentin äänikynnyksestä jäsenvaltioissa, joiden vaalipiireissä on enemmän kuin 35 paikkaa; katsoo, että äänikynnyksissä on löydettävä tasapaino hallittavuuden ja poliittisen moniarvoisuuden välillä;</w:t>
      </w:r>
    </w:p>
    <w:p w14:paraId="48EBEB4D" w14:textId="25E2338B" w:rsidR="00B60B6C" w:rsidRPr="00C62A40" w:rsidRDefault="00B60B6C" w:rsidP="00001A97">
      <w:pPr>
        <w:pStyle w:val="NormalHanging12a"/>
        <w:widowControl/>
        <w:rPr>
          <w:bCs/>
          <w:iCs/>
        </w:rPr>
      </w:pPr>
      <w:r w:rsidRPr="00C62A40">
        <w:t>K.</w:t>
      </w:r>
      <w:r w:rsidRPr="00C62A40">
        <w:tab/>
        <w:t>ottaa huomioon, että vuoden 2018 uudistuksen ratifiointiprosessi on viivästynyt, sillä jotkut jäsenvaltioista eivät saaneet tarvittavia ratifiointimenettelyjä päätökseen ajoissa ennen vuoden 2024 EU-vaaleja;</w:t>
      </w:r>
    </w:p>
    <w:p w14:paraId="1DAEB63A" w14:textId="3D54A4FD" w:rsidR="00B60B6C" w:rsidRPr="00C62A40" w:rsidRDefault="00B60B6C" w:rsidP="00001A97">
      <w:pPr>
        <w:pStyle w:val="NormalHanging12a"/>
        <w:widowControl/>
        <w:rPr>
          <w:bCs/>
          <w:iCs/>
        </w:rPr>
      </w:pPr>
      <w:r w:rsidRPr="00C62A40">
        <w:t>L.</w:t>
      </w:r>
      <w:r w:rsidRPr="00C62A40">
        <w:tab/>
        <w:t xml:space="preserve">ottaa huomioon, että kaikilla EU:n kansalaisilla on yhtäläinen mahdollisuus osallistua demokraattiseen prosessiin, jotta voidaan taata osallistavampi vaaliprosessi; toteaa, että vain harvat Euroopan parlamentin jäsenet kuuluvat sellaisiin kansallisiin ja etnisiin vähemmistöihin, jotka tunnustetaan virallisesti vähemmistöiksi heidän omissa jäsenvaltioissaan niiden perustuslaillisten tai oikeudellisten kehysten ja asiaankuuluvien Euroopan neuvoston asiakirjojen mukaisesti; ottaa huomioon, että Venetsian komission ja </w:t>
      </w:r>
      <w:proofErr w:type="spellStart"/>
      <w:r w:rsidRPr="00C62A40">
        <w:t>Council</w:t>
      </w:r>
      <w:proofErr w:type="spellEnd"/>
      <w:r w:rsidRPr="00C62A40">
        <w:t xml:space="preserve"> for </w:t>
      </w:r>
      <w:proofErr w:type="spellStart"/>
      <w:r w:rsidRPr="00C62A40">
        <w:t>Democratic</w:t>
      </w:r>
      <w:proofErr w:type="spellEnd"/>
      <w:r w:rsidRPr="00C62A40">
        <w:t xml:space="preserve"> </w:t>
      </w:r>
      <w:proofErr w:type="spellStart"/>
      <w:r w:rsidRPr="00C62A40">
        <w:t>Elections</w:t>
      </w:r>
      <w:proofErr w:type="spellEnd"/>
      <w:r w:rsidRPr="00C62A40">
        <w:t xml:space="preserve"> -vaalineuvoston 15. maaliskuuta 2005 vaalisäännöistä ja kansallisten vähemmistöjen osallistumista Euroopan maiden </w:t>
      </w:r>
      <w:r w:rsidRPr="00C62A40">
        <w:lastRenderedPageBreak/>
        <w:t>päätöksentekoprosessiin edistävistä positiivisista erityistoimista antamassa raportissa suositellaan useita toimenpiteitä, jotta voidaan varmistaa vähemmistöjen tasapuolinen edustus;</w:t>
      </w:r>
    </w:p>
    <w:p w14:paraId="52918CF6" w14:textId="734A5B58" w:rsidR="00B60B6C" w:rsidRPr="00C62A40" w:rsidRDefault="00B60B6C" w:rsidP="00001A97">
      <w:pPr>
        <w:pStyle w:val="NormalHanging12a"/>
        <w:widowControl/>
      </w:pPr>
      <w:r w:rsidRPr="00C62A40">
        <w:t>M.</w:t>
      </w:r>
      <w:r w:rsidRPr="00C62A40">
        <w:tab/>
        <w:t>toteaa, että SEUT 223 artiklan 1 kohtaan perustuvassa vaalimenettelyn uudistuksessa on noudatettava kaikilta osin toissijaisuus- ja suhteellisuusperiaatteita sekä kansallisten parlamenttien valvonta- ja ratifiointioikeuksia;</w:t>
      </w:r>
    </w:p>
    <w:p w14:paraId="34D9948E" w14:textId="77777777" w:rsidR="00B60B6C" w:rsidRPr="00C62A40" w:rsidRDefault="00B60B6C" w:rsidP="00001A97">
      <w:pPr>
        <w:pStyle w:val="Subheading"/>
        <w:keepNext/>
        <w:widowControl/>
        <w:spacing w:before="0"/>
      </w:pPr>
      <w:r w:rsidRPr="00C62A40">
        <w:t>Keskeiset päätelmät</w:t>
      </w:r>
    </w:p>
    <w:p w14:paraId="1A24E79A" w14:textId="069F2C38" w:rsidR="00B60B6C" w:rsidRPr="00C62A40" w:rsidRDefault="00B60B6C" w:rsidP="00001A97">
      <w:pPr>
        <w:pStyle w:val="NormalHanging12a"/>
        <w:widowControl/>
      </w:pPr>
      <w:r w:rsidRPr="00C62A40">
        <w:t>1.</w:t>
      </w:r>
      <w:r w:rsidRPr="00C62A40">
        <w:tab/>
        <w:t>muistuttaa, että pyrkimyksiä eurooppalaistaa kansallisia vaalisääntöjä Euroopan parlamentin vaalien osalta olisi hyvä edelleen vahvistaa, erityisesti kun on kyse saavutettavuuden varmistamisesta heikommassa asemassa oleville ryhmille, ehdokaslistojen vahvistamista koskevista yhteisistä määräajoista, kahteen kertaan äänestämisen estämisestä sekä Euroopan tason poliittisten puolueiden näkyvyyden ja roolin lisäämisestä vaaliprosesseissa; palauttaa kuitenkin mieliin, että monet nykyisessä EU:n vaalisäädöksessä voimassa olevat säännökset on pantu täytäntöön kaikissa jäsenvaltioissa, nimittäin suhteellinen vaalitapa, viiden prosentin vähimmäisäänikynnys ja Euroopan parlamentin jäsenten kaksoismandaatin eli kansallisen parlamentin ja Euroopan parlamentin samanaikaisen jäsenyyden kielto; katsoo kuitenkin, että eurooppalaisen ”</w:t>
      </w:r>
      <w:proofErr w:type="spellStart"/>
      <w:r w:rsidRPr="00C62A40">
        <w:t>demoksen</w:t>
      </w:r>
      <w:proofErr w:type="spellEnd"/>
      <w:r w:rsidRPr="00C62A40">
        <w:t>” kehittymiseen on vielä matkaa ja että politiikkatoimia on tehostettava, jotta EU:sta voidaan tehdä vähemmän byrokraattinen ja demokraattisempi;</w:t>
      </w:r>
    </w:p>
    <w:p w14:paraId="14D5B486" w14:textId="77777777" w:rsidR="00B60B6C" w:rsidRPr="00C62A40" w:rsidRDefault="00B60B6C" w:rsidP="00001A97">
      <w:pPr>
        <w:pStyle w:val="NormalHanging12a"/>
        <w:widowControl/>
        <w:rPr>
          <w:bCs/>
          <w:iCs/>
        </w:rPr>
      </w:pPr>
      <w:r w:rsidRPr="00C62A40">
        <w:t>2.</w:t>
      </w:r>
      <w:r w:rsidRPr="00C62A40">
        <w:tab/>
        <w:t>toistaa, että EU-vaalit järjestetään edelleen pitkälti sellaisten kansallisten oikeudellisten ja institutionaalisten kehysten puitteissa, jotka laadittiin hyvin erilaisessa Euroopan yhdentymisen vaiheessa; korostaa, että nämä säännöt eivät enää vastaa Euroopan parlamentin vahvistettua roolia ja lainsäädäntövaltaa etenkään Lissabonin sopimuksen tultua voimaan;</w:t>
      </w:r>
    </w:p>
    <w:p w14:paraId="657B2748" w14:textId="23700D87" w:rsidR="00B60B6C" w:rsidRPr="00C62A40" w:rsidRDefault="00B60B6C" w:rsidP="00001A97">
      <w:pPr>
        <w:pStyle w:val="NormalHanging12a"/>
        <w:widowControl/>
      </w:pPr>
      <w:r w:rsidRPr="00C62A40">
        <w:t>3.</w:t>
      </w:r>
      <w:r w:rsidRPr="00C62A40">
        <w:tab/>
        <w:t>muistuttaa, että neuvoston päätöksessä (EU, Euratom) 2018/994 on eräitä säännöksiä, jotka jäsenvaltioita joko vaaditaan tai kehotetaan panemaan täytäntöön; huomauttaa, että valinnaisia toimenpiteitä ei ole pantu täytäntöön joissakin jäsenvaltioissa ja että joitakin pakollisia toimenpiteitä on pantu täytäntöön eri tavalla joissakin jäsenvaltioissa, esimerkiksi kahteen kertaan äänestämisen estämisen kohdalla; panee merkille, että suurin osa neuvoston päätöksessä (EU, Euratom) 2018/994 vahvistetuista säännöksistä on edelleen vapaaehtoisia; katsoo, että se, että näitä ei-sitovia säännöksiä on saatettu vain rajoitetussa määrin osaksi kansallista lainsäädäntöä, on osoitus puuttuvasta poliittisesta tahdosta voittaa kansallinen vastarinta ja sitoutua sellaiseen demokraattiseen prosessiin, jossa otetaan paremmin huomioon eurooppalainen ulottuvuus;</w:t>
      </w:r>
    </w:p>
    <w:p w14:paraId="409EF49C" w14:textId="77777777" w:rsidR="00B60B6C" w:rsidRPr="00C62A40" w:rsidRDefault="00B60B6C" w:rsidP="00001A97">
      <w:pPr>
        <w:pStyle w:val="NormalHanging12a"/>
        <w:widowControl/>
      </w:pPr>
      <w:r w:rsidRPr="00C62A40">
        <w:t>4.</w:t>
      </w:r>
      <w:r w:rsidRPr="00C62A40">
        <w:tab/>
        <w:t>toteaa jälleen, että määräajat ehdokaslistojen vahvistamiselle ennen EU-vaaleja vaihtelevat suuresti jäsenvaltioiden kesken ja ovat nykyään lyhimmillään 21 ja enimmillään 90 päivää, mikä asettaa ehdokkaat ja äänestäjät eri puolilla EU:ta eriarvoiseen asemaan kampanjaan tai äänestyspäätöksen harkintaan käytettävissä olevan ajan suhteen;</w:t>
      </w:r>
    </w:p>
    <w:p w14:paraId="2D1ADD63" w14:textId="1CC3BBD4" w:rsidR="00B60B6C" w:rsidRPr="00C62A40" w:rsidRDefault="00B60B6C" w:rsidP="00001A97">
      <w:pPr>
        <w:pStyle w:val="NormalHanging12a"/>
        <w:widowControl/>
        <w:rPr>
          <w:bCs/>
          <w:iCs/>
        </w:rPr>
      </w:pPr>
      <w:r w:rsidRPr="00C62A40">
        <w:t>5.</w:t>
      </w:r>
      <w:r w:rsidRPr="00C62A40">
        <w:tab/>
        <w:t xml:space="preserve">huomauttaa, että EU:n demokratian vahvistamiseksi on olennaisen tärkeää luoda eurooppalainen julkinen tila ja käydä kansalliset rajat ylittävää poliittista keskustelua, erityisesti EU-vaalien yhteydessä; korostaa, että Euroopan tason poliittiset puolueet ovat keskeinen väline tällaisen keskustelun edistämisessä; katsoo, että kaikissa äänestyslipuissa olisi oltava ehdokkaiden nimet ja sen Euroopan tason poliittisen </w:t>
      </w:r>
      <w:r w:rsidRPr="00C62A40">
        <w:lastRenderedPageBreak/>
        <w:t>puolueen logo, johon kukin kansallinen puolue kuuluu, ja että ehdokkaiden pitäisi saada kunnolla näkyvyyttä internetissä, televisio- ja radiokampanjalähetyksissä, julisteissa ja muussa Euroopan parlamentin vaalikampanjoissa käytettävässä aineistossa; katsoo, että nämä toimenpiteet ovat vähimmäisvaatimus, jotta äänestäjille voidaan tiedottaa heidän äänensä eurooppalaisesta ulottuvuudesta ja jotta Euroopan tason poliittisilla puolueilla on mahdollisuus täyttää SEU 10 artiklan 4 kohdan mukainen tehtävänsä; katsoo, että nämä toimenpiteet tekisivät EU-vaaleista avoimemmat, estäisivät vääristelemästä äänestäjien oikeutta saada tietoa poliittisten puolueiden EU-vaalien yhteydessä tekemistä vaaliliittosopimuksista ja antaisivat kansalaisille mahdollisuuden tietoisesti antaa äänensä heidän kannattamaansa poliittiseen ryhmään Euroopan parlamentissa kuuluvalle puolueelle; pitää valitettavana, että tämä neuvoston päätöksen (EU, Euratom) 2018/994 mukainen toimenpide on ainoastaan valinnainen eikä sitä ole toistaiseksi saatettu osaksi minkään jäsenvaltion lainsäädäntöä;</w:t>
      </w:r>
    </w:p>
    <w:p w14:paraId="7AABFB33" w14:textId="1C0967F2" w:rsidR="00B60B6C" w:rsidRPr="00C62A40" w:rsidRDefault="00B60B6C" w:rsidP="00001A97">
      <w:pPr>
        <w:pStyle w:val="NormalHanging12a"/>
        <w:widowControl/>
        <w:rPr>
          <w:bCs/>
          <w:iCs/>
        </w:rPr>
      </w:pPr>
      <w:r w:rsidRPr="00C62A40">
        <w:t>6.</w:t>
      </w:r>
      <w:r w:rsidRPr="00C62A40">
        <w:tab/>
        <w:t>muistuttaa, että vaaliprosessin osallistavuuden parantamisessa on yhä edistyttävä, jotta voidaan varmistaa, että kaikilla kansalaisilla heidän olosuhteistaan riippumatta on yhtäläiset mahdollisuudet osallistua demokraattiseen prosessiin; huomauttaa, että joidenkin jäsenvaltioiden kansallisissa säännöissä ei sallita vammaisten äänestäjien vaihtaa heille osoitettua äänestyspaikkaa toiseen, joka olisi paremmin mukautettu heidän tarpeisiinsa, eivätkä vaalitiedot ole saavutettavassa muodossa; korostaa, että kaikki vammaisten henkilöiden äänioikeuden ja vaalikelpoisuuden esteet ovat ristiriidassa vammaisten henkilöiden oikeuksista tehdystä YK:n yleissopimuksesta johtuvien velvoitteiden kanssa ja ne olisi poistettava, jotta voidaan taata saavutettavuus kaikille koko vaaliprosessin ajan;</w:t>
      </w:r>
    </w:p>
    <w:p w14:paraId="32D0C45F" w14:textId="77777777" w:rsidR="00B60B6C" w:rsidRPr="00C62A40" w:rsidRDefault="00B60B6C" w:rsidP="00001A97">
      <w:pPr>
        <w:pStyle w:val="NormalHanging12a"/>
        <w:widowControl/>
        <w:rPr>
          <w:bCs/>
          <w:iCs/>
        </w:rPr>
      </w:pPr>
      <w:r w:rsidRPr="00C62A40">
        <w:t>7.</w:t>
      </w:r>
      <w:r w:rsidRPr="00C62A40">
        <w:tab/>
        <w:t>panee merkille, että postiäänestys ja sitä täydentävät keinot esitetään neuvoston päätöksessä (EU, Euratom) 2018/994 valinnaisena toimenpiteenä, jolla pyritään parantamaan saavutettavuutta vammaisille henkilöille; korostaa, että vaikka tämä tavoite on olennaisen tärkeä, postiäänestyksellä on myös laajempi rooli, kun vaaleihin osallistumisesta pyritään tekemään joustavampaa ja osallistavampaa; korostaa, että postiäänestyksen tarjoaminen taattuna vaihtoehtona kaikissa jäsenvaltioissa hyödyttäisi vammaisten henkilöiden lisäksi myös niitä kansalaisia, jotka eivät poikkeuksellisten olosuhteiden vuoksi voi äänestää vaaleissa henkilökohtaisesti; katsoo, että varmistamalla postiäänestyksen laajempi saatavuus parannettaisiin erityisesti liikkuvien EU:n kansalaisten ja nuorten äänestäjien osallistumista ja lisättäisiin yleistä äänestysaktiivisuutta;</w:t>
      </w:r>
    </w:p>
    <w:p w14:paraId="0E0A3945" w14:textId="2FE55DAC" w:rsidR="00B60B6C" w:rsidRPr="00C62A40" w:rsidRDefault="00B60B6C" w:rsidP="00001A97">
      <w:pPr>
        <w:pStyle w:val="NormalHanging12a"/>
        <w:widowControl/>
      </w:pPr>
      <w:r w:rsidRPr="00C62A40">
        <w:t>8.</w:t>
      </w:r>
      <w:r w:rsidRPr="00C62A40">
        <w:tab/>
        <w:t>muistuttaa, että EU:n kaksoiskansalaisten tilannetta ei ole vielä ratkaistu, sillä on edelleen mahdollista, että EU:n kaksoiskansalainen on automaattisesti useamman kuin yhden jäsenvaltion vaaliluettelossa eikä hänellä ole mitään keinoa poistaa rekisteröintiä; huomauttaa, että jos EU:n kaksoiskansalainen on automaattisesti rekisteröity useampaan kuin yhteen vaaliluetteloon mutta hän äänestää vain yhdessä jäsenvaltiossa, hänen voidaan kuitenkin katsoa jättäneen äänestämättä toisessa jäsenvaltiossa ja hänelle voi aiheutua siitä seuraamuksia;</w:t>
      </w:r>
    </w:p>
    <w:p w14:paraId="3943CDDB" w14:textId="0D475027" w:rsidR="00B60B6C" w:rsidRPr="00C62A40" w:rsidRDefault="00B60B6C" w:rsidP="00001A97">
      <w:pPr>
        <w:pStyle w:val="NormalHanging12a"/>
        <w:widowControl/>
        <w:rPr>
          <w:bCs/>
          <w:iCs/>
        </w:rPr>
      </w:pPr>
      <w:r w:rsidRPr="00C62A40">
        <w:t>9.</w:t>
      </w:r>
      <w:r w:rsidRPr="00C62A40">
        <w:tab/>
        <w:t>suhtautuu myönteisesti parlamentin aloitteeseen ottaa käyttöön valtakirjalla äänestämistä koskevat järjestelyt äitiyslomatapauksissa muuttamalla EU:n vaalisäädöstä ja toteaa, että tämä on tasapainoinen ja käytännöllinen ratkaisu, jolla tuetaan parlamentin jäseniä ja samalla varmistetaan edustuksen jatkuvuus;</w:t>
      </w:r>
    </w:p>
    <w:p w14:paraId="793D1077" w14:textId="77777777" w:rsidR="00B60B6C" w:rsidRPr="00C62A40" w:rsidRDefault="00B60B6C" w:rsidP="00001A97">
      <w:pPr>
        <w:pStyle w:val="NormalHanging12a"/>
        <w:widowControl/>
      </w:pPr>
      <w:r w:rsidRPr="00C62A40">
        <w:t>10.</w:t>
      </w:r>
      <w:r w:rsidRPr="00C62A40">
        <w:tab/>
        <w:t xml:space="preserve">korostaa, että neuvoston päätös (EU, Euratom) 2018/994 ei ole vielä voimassa, sillä ratifiointiprosessi on yhä kesken yhdessä jäsenvaltiossa; huomauttaa, että Saksa on </w:t>
      </w:r>
      <w:r w:rsidRPr="00C62A40">
        <w:lastRenderedPageBreak/>
        <w:t>ratifioinut neuvoston päätöksen (EU, Euratom) 2018/994, mutta EU-vaaleja koskevaa Saksan vaalilakia ei ole muutettu, koska kahden prosentin äänikynnystä ei voida sisällyttää Saksan lainsäädäntöön niin kauan kuin se ei ole EU:n lainsäädännössä pakollinen;</w:t>
      </w:r>
    </w:p>
    <w:p w14:paraId="36AD9121" w14:textId="1A21D3E7" w:rsidR="00B60B6C" w:rsidRPr="00C62A40" w:rsidRDefault="00B60B6C" w:rsidP="00001A97">
      <w:pPr>
        <w:pStyle w:val="NormalHanging12a"/>
        <w:widowControl/>
      </w:pPr>
      <w:r w:rsidRPr="00C62A40">
        <w:t>11.</w:t>
      </w:r>
      <w:r w:rsidRPr="00C62A40">
        <w:tab/>
        <w:t>panee merkille komission roolin välittäjänä parlamentin ja neuvoston välillä käytävissä institutionaalisissa keskusteluissa EU:n vaalisäädöksen uudistusta koskevasta uudesta ehdotuksesta; katsoo, että on olennaisen tärkeää käydä rakentavaa vuoropuhelua neuvoston kanssa, jotta voidaan arvioida parlamentin vuoden 2022 ehdotusta ja edistyä asiassa; korostaa, että edistyksen puute ei johdu teknisistä tai oikeudellisista esteistä vaan siitä, että jäsenvaltioilta puuttuu poliittinen tahto käsitellä parlamentin ehdotuksia; on vakuuttunut siitä, että tämän mietinnön olisi annettava viipymättä uutta pontta toimielinten välisten neuvottelujen aloittamiselle vuoden 2022 ehdotuksesta, ja kehottaa tulevia neuvoston puheenjohtajavaltioita noudattamaan keskinäisen ja vilpittömän yhteistyön periaatteen mukaisia velvoitteitaan;</w:t>
      </w:r>
    </w:p>
    <w:p w14:paraId="3BA5680B" w14:textId="77777777" w:rsidR="00B60B6C" w:rsidRPr="00C62A40" w:rsidRDefault="00B60B6C" w:rsidP="00001A97">
      <w:pPr>
        <w:pStyle w:val="Subheading"/>
        <w:keepNext/>
        <w:widowControl/>
        <w:spacing w:before="0"/>
      </w:pPr>
      <w:r w:rsidRPr="00C62A40">
        <w:t>Suositukset</w:t>
      </w:r>
    </w:p>
    <w:p w14:paraId="53954BA8" w14:textId="03DA9248" w:rsidR="00B60B6C" w:rsidRPr="00C62A40" w:rsidRDefault="00B60B6C" w:rsidP="00001A97">
      <w:pPr>
        <w:pStyle w:val="NormalHanging12a"/>
        <w:widowControl/>
      </w:pPr>
      <w:r w:rsidRPr="00C62A40">
        <w:t>12.</w:t>
      </w:r>
      <w:r w:rsidRPr="00C62A40">
        <w:tab/>
        <w:t>katsoo, että vaaliprosessin avoimuus ja luotettavien tietojen saatavuus ovat olennaisia osatekijöitä, jotta voidaan lisätä eurooppalaista poliittista tietoisuutta ja varmistaa riittävän korkea äänestysaktiivisuus niin, että sitä voidaan pitää valitsijakunnan antamana mandaattina; korostaa, että ehdokkailla olisi oltava samat mahdollisuudet kampanjointiin ja että kansalaisille olisi annettava hyvissä ajoin etukäteen tietoa EU</w:t>
      </w:r>
      <w:r w:rsidRPr="00C62A40">
        <w:noBreakHyphen/>
        <w:t>vaaleihin osallistuvista ehdokkaista; korostaa, että siksi on tärkeää yhdenmukaistaa ehdokaslistojen toimittamisen määräajat kaikissa jäsenvaltioissa, kuten parlamentti on useaan otteeseen pyytänyt;</w:t>
      </w:r>
    </w:p>
    <w:p w14:paraId="218447D2" w14:textId="732A8AC7" w:rsidR="00B60B6C" w:rsidRPr="00C62A40" w:rsidRDefault="00B60B6C" w:rsidP="00001A97">
      <w:pPr>
        <w:pStyle w:val="NormalHanging12a"/>
        <w:widowControl/>
      </w:pPr>
      <w:r w:rsidRPr="00C62A40">
        <w:t>13.</w:t>
      </w:r>
      <w:r w:rsidRPr="00C62A40">
        <w:tab/>
        <w:t>painottaa, että on olennaisen tärkeää helpottaa äänestämistä EU-vaaleissa ja taata, että kaikki äänioikeutetut pystyvät käyttämään tätä oikeutta postiäänestyksellä tai muilla täydentävillä keinoilla; kehottaa jäsenvaltioita varmistamaan yhtäläisen mahdollisuuden saada tietoa ja osallistua vaaliprosessiin kaikille kansalaisille, myös vammaisille henkilöille, erityisesti silloin, kun julkiset rakenteet eivät ole täysin esteettömiä; kehottaa lisäksi jäsenvaltioita takaamaan vammaisten henkilöiden äänioikeuden ja vaalikelpoisuuden antamalla säännöksiä, joilla yhdenmukaistetaan äänestysjärjestelyjen, äänestyspaikkojen, vaaliprosessien ja vaaliaineiston saavutettavuus vammaisille henkilöille ja annetaan heille mahdollisuus äänestää itsenäisesti ja vaalisalaisuuden säilyttäen; toteaa, että vastuu saavutettavuuden sääntelystä on edelleen yksinomaan jäsenvaltioilla, ja kehottaa niitä tekemään yhteistyötä vammaisia henkilöitä edustavien järjestöjen kanssa, jotta voidaan arvioida ja poistaa oikeudellisia ja käytännön esteitä, jotka estävät heitä osallistumasta vaaleihin sekä äänestäjinä että ehdokkaina;</w:t>
      </w:r>
    </w:p>
    <w:p w14:paraId="6AC40A52" w14:textId="421ADE18" w:rsidR="00B60B6C" w:rsidRPr="00C62A40" w:rsidRDefault="00B60B6C" w:rsidP="00001A97">
      <w:pPr>
        <w:pStyle w:val="NormalHanging12a"/>
        <w:widowControl/>
      </w:pPr>
      <w:r w:rsidRPr="00C62A40">
        <w:t>14.</w:t>
      </w:r>
      <w:r w:rsidRPr="00C62A40">
        <w:tab/>
        <w:t>kehottaa kaikkia jäsenvaltioita panemaan täytäntöön kaikki neuvoston päätökseen (EU, Euratom) 2018/994 sisältyvät valinnaiset toimenpiteet ja erityisesti parantamaan näkyvyyttä, siltä osin kuin on kyse vaaliliitoista EU-vaaleissa, kansallisten ja Euroopan tason poliittisten puolueiden välisistä yhteyksistä, Euroopan tason valitsijayhdistyksistä ja muista Euroopan tason vaaliyhteisöistä, toteuttamalla mediakampanjoita, jakamalla yhdenmukaisia äänestyslippuja, joissa ilmoitetaan selkeästi eurooppalaiset vaaliliitot kussakin jäsenvaltiossa, ja ilmoittamalla tiedot kaikessa muussa vaaliaineistossa; katsoo, että kansallisten puolueiden ja valitsijayhdistysten olisi soveltuvin osin ilmoitettava vaalikampanjan aikana, myös äänestyslipuissa, mihin Euroopan tason poliittiseen puolueeseen tai muuhun Euroopan tason vaaliyhteisöön ne kuuluvat;</w:t>
      </w:r>
    </w:p>
    <w:p w14:paraId="7DCCCD1E" w14:textId="1BC7047B" w:rsidR="00B60B6C" w:rsidRPr="00C62A40" w:rsidRDefault="00B60B6C" w:rsidP="00001A97">
      <w:pPr>
        <w:pStyle w:val="NormalHanging12a"/>
        <w:widowControl/>
        <w:rPr>
          <w:bCs/>
          <w:iCs/>
        </w:rPr>
      </w:pPr>
      <w:r w:rsidRPr="00C62A40">
        <w:lastRenderedPageBreak/>
        <w:t>15.</w:t>
      </w:r>
      <w:r w:rsidRPr="00C62A40">
        <w:tab/>
        <w:t>kehottaa kaikkia jäsenvaltioita toteuttamaan konkreettisia toimia ehdokkuusvaatimusten yhdenmukaistamiseksi, jotta voidaan varmistaa kaikkien poliittisten toimijoiden tasapuolinen ja yhtäläinen mahdollisuus osallistua vaaliprosessiin terveen kilpailun ja demokraattisen moniarvoisuuden periaatteiden mukaisesti;</w:t>
      </w:r>
    </w:p>
    <w:p w14:paraId="34E5F63B" w14:textId="77777777" w:rsidR="00B60B6C" w:rsidRPr="00C62A40" w:rsidRDefault="00B60B6C" w:rsidP="00001A97">
      <w:pPr>
        <w:pStyle w:val="NormalHanging12a"/>
        <w:widowControl/>
        <w:rPr>
          <w:bCs/>
          <w:iCs/>
        </w:rPr>
      </w:pPr>
      <w:r w:rsidRPr="00C62A40">
        <w:t>16.</w:t>
      </w:r>
      <w:r w:rsidRPr="00C62A40">
        <w:tab/>
        <w:t>korostaa, että kaikkien jäsenvaltioiden on ratifioitava neuvoston päätös (EU, Euratom) 2018/994, jotta se voi tulla voimaan; kehottaa siksi vielä jäljellä olevaa jäsenvaltiota käynnistämään ratifiointimenettelyn;</w:t>
      </w:r>
    </w:p>
    <w:p w14:paraId="7523F27F" w14:textId="77777777" w:rsidR="00B60B6C" w:rsidRPr="00C62A40" w:rsidRDefault="00B60B6C" w:rsidP="00001A97">
      <w:pPr>
        <w:pStyle w:val="NormalHanging12a"/>
        <w:widowControl/>
        <w:jc w:val="center"/>
        <w:rPr>
          <w:bCs/>
          <w:iCs/>
        </w:rPr>
      </w:pPr>
      <w:r w:rsidRPr="00C62A40">
        <w:t>°</w:t>
      </w:r>
    </w:p>
    <w:p w14:paraId="7F1AF3C2" w14:textId="77777777" w:rsidR="00B60B6C" w:rsidRPr="00C62A40" w:rsidRDefault="00B60B6C" w:rsidP="00001A97">
      <w:pPr>
        <w:pStyle w:val="NormalHanging12a"/>
        <w:widowControl/>
        <w:jc w:val="center"/>
        <w:rPr>
          <w:bCs/>
          <w:iCs/>
        </w:rPr>
      </w:pPr>
      <w:r w:rsidRPr="00C62A40">
        <w:t>°</w:t>
      </w:r>
      <w:r w:rsidRPr="00C62A40">
        <w:tab/>
      </w:r>
      <w:r w:rsidRPr="00C62A40">
        <w:tab/>
        <w:t>°</w:t>
      </w:r>
    </w:p>
    <w:p w14:paraId="380FA9EC" w14:textId="4484B970" w:rsidR="001A2EF7" w:rsidRPr="00C62A40" w:rsidRDefault="00B60B6C" w:rsidP="00001A97">
      <w:pPr>
        <w:pStyle w:val="NormalHanging12a"/>
        <w:widowControl/>
      </w:pPr>
      <w:r w:rsidRPr="00C62A40">
        <w:t>17.</w:t>
      </w:r>
      <w:r w:rsidRPr="00C62A40">
        <w:tab/>
        <w:t xml:space="preserve">kehottaa puhemiestä välittämään tämän päätöslauselman </w:t>
      </w:r>
      <w:r w:rsidR="001A2EF7" w:rsidRPr="00C62A40">
        <w:t>neuvostolle ja komissiolle.</w:t>
      </w:r>
    </w:p>
    <w:sectPr w:rsidR="001A2EF7" w:rsidRPr="00C62A40" w:rsidSect="001A2E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90A1E" w14:textId="77777777" w:rsidR="00ED69CD" w:rsidRPr="001A2EF7" w:rsidRDefault="00ED69CD">
      <w:r w:rsidRPr="001A2EF7">
        <w:separator/>
      </w:r>
    </w:p>
  </w:endnote>
  <w:endnote w:type="continuationSeparator" w:id="0">
    <w:p w14:paraId="50301EAE" w14:textId="77777777" w:rsidR="00ED69CD" w:rsidRPr="001A2EF7" w:rsidRDefault="00ED69CD">
      <w:r w:rsidRPr="001A2E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567D7" w14:textId="77777777" w:rsidR="00ED69CD" w:rsidRPr="001A2EF7" w:rsidRDefault="00ED69CD">
      <w:r w:rsidRPr="001A2EF7">
        <w:separator/>
      </w:r>
    </w:p>
  </w:footnote>
  <w:footnote w:type="continuationSeparator" w:id="0">
    <w:p w14:paraId="633298CA" w14:textId="77777777" w:rsidR="00ED69CD" w:rsidRPr="001A2EF7" w:rsidRDefault="00ED69CD">
      <w:r w:rsidRPr="001A2EF7">
        <w:continuationSeparator/>
      </w:r>
    </w:p>
  </w:footnote>
  <w:footnote w:id="1">
    <w:p w14:paraId="4E042F08" w14:textId="091AC861" w:rsidR="00B60B6C" w:rsidRPr="001A2EF7" w:rsidRDefault="00B60B6C" w:rsidP="001A2EF7">
      <w:pPr>
        <w:pStyle w:val="FootnoteText"/>
        <w:ind w:left="567" w:hanging="567"/>
        <w:rPr>
          <w:sz w:val="24"/>
          <w:lang w:val="fi-FI"/>
        </w:rPr>
      </w:pPr>
      <w:r w:rsidRPr="001A2EF7">
        <w:rPr>
          <w:rStyle w:val="FootnoteReference"/>
          <w:sz w:val="24"/>
          <w:lang w:val="fi-FI"/>
        </w:rPr>
        <w:footnoteRef/>
      </w:r>
      <w:r w:rsidR="001A2EF7" w:rsidRPr="001A2EF7">
        <w:rPr>
          <w:sz w:val="24"/>
          <w:lang w:val="fi-FI"/>
        </w:rPr>
        <w:t xml:space="preserve"> </w:t>
      </w:r>
      <w:r w:rsidR="001A2EF7" w:rsidRPr="001A2EF7">
        <w:rPr>
          <w:sz w:val="24"/>
          <w:lang w:val="fi-FI"/>
        </w:rPr>
        <w:tab/>
      </w:r>
      <w:r w:rsidRPr="001A2EF7">
        <w:rPr>
          <w:sz w:val="24"/>
          <w:lang w:val="fi-FI"/>
        </w:rPr>
        <w:t xml:space="preserve">EUVL L 278, 8.10.1976, s. 5, ELI: </w:t>
      </w:r>
      <w:hyperlink r:id="rId1" w:history="1">
        <w:r w:rsidRPr="001A2EF7">
          <w:rPr>
            <w:rStyle w:val="Hyperlink"/>
            <w:sz w:val="24"/>
            <w:lang w:val="fi-FI"/>
          </w:rPr>
          <w:t>http://data.europa.eu/eli/dec/1976/787(2)/oj</w:t>
        </w:r>
      </w:hyperlink>
      <w:r w:rsidRPr="001A2EF7">
        <w:rPr>
          <w:sz w:val="24"/>
          <w:lang w:val="fi-FI"/>
        </w:rPr>
        <w:t>.</w:t>
      </w:r>
    </w:p>
  </w:footnote>
  <w:footnote w:id="2">
    <w:p w14:paraId="118D29B7" w14:textId="228193B5" w:rsidR="00B60B6C" w:rsidRPr="001A2EF7" w:rsidRDefault="00B60B6C" w:rsidP="001A2EF7">
      <w:pPr>
        <w:pStyle w:val="FootnoteText"/>
        <w:ind w:left="567" w:hanging="567"/>
        <w:rPr>
          <w:sz w:val="24"/>
          <w:lang w:val="fi-FI"/>
        </w:rPr>
      </w:pPr>
      <w:r w:rsidRPr="001A2EF7">
        <w:rPr>
          <w:rStyle w:val="FootnoteReference"/>
          <w:sz w:val="24"/>
          <w:lang w:val="fi-FI"/>
        </w:rPr>
        <w:footnoteRef/>
      </w:r>
      <w:r w:rsidR="001A2EF7" w:rsidRPr="001A2EF7">
        <w:rPr>
          <w:sz w:val="24"/>
          <w:lang w:val="fi-FI"/>
        </w:rPr>
        <w:t xml:space="preserve"> </w:t>
      </w:r>
      <w:r w:rsidR="001A2EF7" w:rsidRPr="001A2EF7">
        <w:rPr>
          <w:sz w:val="24"/>
          <w:lang w:val="fi-FI"/>
        </w:rPr>
        <w:tab/>
      </w:r>
      <w:r w:rsidRPr="001A2EF7">
        <w:rPr>
          <w:sz w:val="24"/>
          <w:lang w:val="fi-FI"/>
        </w:rPr>
        <w:t xml:space="preserve">76/787/EHTY, ETY, Euratom: Neuvostossa kokoontuneiden jäsenvaltioiden edustajien säädöstä edustajien valitsemista Euroopan parlamenttiin yleisillä, välittömillä vaaleilla koskeva päätös (EUVL L 278, 8.10.1976, s. 1, ELI: </w:t>
      </w:r>
      <w:hyperlink r:id="rId2" w:history="1">
        <w:r w:rsidRPr="001A2EF7">
          <w:rPr>
            <w:rStyle w:val="Hyperlink"/>
            <w:sz w:val="24"/>
            <w:lang w:val="fi-FI"/>
          </w:rPr>
          <w:t>http://data.europa.eu/eli/dec/1976/787(1)/oj</w:t>
        </w:r>
      </w:hyperlink>
      <w:r w:rsidRPr="001A2EF7">
        <w:rPr>
          <w:sz w:val="24"/>
          <w:lang w:val="fi-FI"/>
        </w:rPr>
        <w:t>).</w:t>
      </w:r>
    </w:p>
  </w:footnote>
  <w:footnote w:id="3">
    <w:p w14:paraId="6F8602DB" w14:textId="51BAE8BE" w:rsidR="00B60B6C" w:rsidRPr="001A2EF7" w:rsidRDefault="00B60B6C" w:rsidP="001A2EF7">
      <w:pPr>
        <w:pStyle w:val="FootnoteText"/>
        <w:ind w:left="567" w:hanging="567"/>
        <w:rPr>
          <w:sz w:val="24"/>
          <w:lang w:val="fi-FI"/>
        </w:rPr>
      </w:pPr>
      <w:r w:rsidRPr="001A2EF7">
        <w:rPr>
          <w:rStyle w:val="FootnoteReference"/>
          <w:sz w:val="24"/>
          <w:lang w:val="fi-FI"/>
        </w:rPr>
        <w:footnoteRef/>
      </w:r>
      <w:r w:rsidR="001A2EF7" w:rsidRPr="001A2EF7">
        <w:rPr>
          <w:sz w:val="24"/>
          <w:lang w:val="fi-FI"/>
        </w:rPr>
        <w:t xml:space="preserve"> </w:t>
      </w:r>
      <w:r w:rsidR="001A2EF7" w:rsidRPr="001A2EF7">
        <w:rPr>
          <w:sz w:val="24"/>
          <w:lang w:val="fi-FI"/>
        </w:rPr>
        <w:tab/>
      </w:r>
      <w:r w:rsidRPr="001A2EF7">
        <w:rPr>
          <w:sz w:val="24"/>
          <w:lang w:val="fi-FI"/>
        </w:rPr>
        <w:t xml:space="preserve">EUVL L 304, 20.11.2010, s. 47, ELI: </w:t>
      </w:r>
      <w:hyperlink r:id="rId3" w:history="1">
        <w:r w:rsidRPr="001A2EF7">
          <w:rPr>
            <w:rStyle w:val="Hyperlink"/>
            <w:sz w:val="24"/>
            <w:lang w:val="fi-FI"/>
          </w:rPr>
          <w:t>http://data.europa.eu/eli/agree_interinstit/2010/1120/oj</w:t>
        </w:r>
      </w:hyperlink>
      <w:r w:rsidRPr="001A2EF7">
        <w:rPr>
          <w:sz w:val="24"/>
          <w:lang w:val="fi-FI"/>
        </w:rPr>
        <w:t>.</w:t>
      </w:r>
    </w:p>
  </w:footnote>
  <w:footnote w:id="4">
    <w:p w14:paraId="0328804D" w14:textId="5ADDF38B" w:rsidR="00B60B6C" w:rsidRPr="001A2EF7" w:rsidRDefault="00B60B6C" w:rsidP="001A2EF7">
      <w:pPr>
        <w:pStyle w:val="FootnoteText"/>
        <w:ind w:left="567" w:hanging="567"/>
        <w:rPr>
          <w:sz w:val="24"/>
          <w:lang w:val="fi-FI"/>
        </w:rPr>
      </w:pPr>
      <w:r w:rsidRPr="001A2EF7">
        <w:rPr>
          <w:rStyle w:val="FootnoteReference"/>
          <w:sz w:val="24"/>
          <w:lang w:val="fi-FI"/>
        </w:rPr>
        <w:footnoteRef/>
      </w:r>
      <w:r w:rsidR="001A2EF7" w:rsidRPr="001A2EF7">
        <w:rPr>
          <w:sz w:val="24"/>
          <w:lang w:val="fi-FI"/>
        </w:rPr>
        <w:t xml:space="preserve"> </w:t>
      </w:r>
      <w:r w:rsidR="001A2EF7" w:rsidRPr="001A2EF7">
        <w:rPr>
          <w:sz w:val="24"/>
          <w:lang w:val="fi-FI"/>
        </w:rPr>
        <w:tab/>
      </w:r>
      <w:hyperlink r:id="rId4" w:history="1">
        <w:r w:rsidRPr="001A2EF7">
          <w:rPr>
            <w:rStyle w:val="Hyperlink"/>
            <w:sz w:val="24"/>
            <w:lang w:val="fi-FI"/>
          </w:rPr>
          <w:t>EUVL C 366, 27.10.2017, s. 7</w:t>
        </w:r>
      </w:hyperlink>
      <w:r w:rsidRPr="001A2EF7">
        <w:rPr>
          <w:sz w:val="24"/>
          <w:lang w:val="fi-FI"/>
        </w:rPr>
        <w:t>.</w:t>
      </w:r>
    </w:p>
  </w:footnote>
  <w:footnote w:id="5">
    <w:p w14:paraId="43CEBD73" w14:textId="453D7924" w:rsidR="00B60B6C" w:rsidRPr="001A2EF7" w:rsidRDefault="00B60B6C" w:rsidP="001A2EF7">
      <w:pPr>
        <w:pStyle w:val="FootnoteText"/>
        <w:ind w:left="567" w:hanging="567"/>
        <w:rPr>
          <w:sz w:val="24"/>
          <w:lang w:val="fi-FI"/>
        </w:rPr>
      </w:pPr>
      <w:r w:rsidRPr="001A2EF7">
        <w:rPr>
          <w:rStyle w:val="FootnoteReference"/>
          <w:sz w:val="24"/>
          <w:lang w:val="fi-FI"/>
        </w:rPr>
        <w:footnoteRef/>
      </w:r>
      <w:r w:rsidR="001A2EF7" w:rsidRPr="001A2EF7">
        <w:rPr>
          <w:sz w:val="24"/>
          <w:lang w:val="fi-FI"/>
        </w:rPr>
        <w:t xml:space="preserve"> </w:t>
      </w:r>
      <w:r w:rsidR="001A2EF7" w:rsidRPr="001A2EF7">
        <w:rPr>
          <w:sz w:val="24"/>
          <w:lang w:val="fi-FI"/>
        </w:rPr>
        <w:tab/>
      </w:r>
      <w:hyperlink r:id="rId5" w:history="1">
        <w:r w:rsidRPr="001A2EF7">
          <w:rPr>
            <w:rStyle w:val="Hyperlink"/>
            <w:sz w:val="24"/>
            <w:lang w:val="fi-FI"/>
          </w:rPr>
          <w:t>EUVL C 465, 6.12.2022, s. 171</w:t>
        </w:r>
      </w:hyperlink>
      <w:r w:rsidRPr="001A2EF7">
        <w:rPr>
          <w:sz w:val="24"/>
          <w:lang w:val="fi-FI"/>
        </w:rPr>
        <w:t>.</w:t>
      </w:r>
    </w:p>
  </w:footnote>
  <w:footnote w:id="6">
    <w:p w14:paraId="6D46B673" w14:textId="341B1467" w:rsidR="00B60B6C" w:rsidRPr="001A2EF7" w:rsidRDefault="00B60B6C" w:rsidP="001A2EF7">
      <w:pPr>
        <w:pStyle w:val="FootnoteText"/>
        <w:ind w:left="567" w:hanging="567"/>
        <w:rPr>
          <w:sz w:val="24"/>
          <w:lang w:val="fi-FI"/>
        </w:rPr>
      </w:pPr>
      <w:r w:rsidRPr="001A2EF7">
        <w:rPr>
          <w:rStyle w:val="FootnoteReference"/>
          <w:sz w:val="24"/>
          <w:lang w:val="fi-FI"/>
        </w:rPr>
        <w:footnoteRef/>
      </w:r>
      <w:r w:rsidR="001A2EF7" w:rsidRPr="001A2EF7">
        <w:rPr>
          <w:sz w:val="24"/>
          <w:lang w:val="fi-FI"/>
        </w:rPr>
        <w:t xml:space="preserve"> </w:t>
      </w:r>
      <w:r w:rsidR="001A2EF7" w:rsidRPr="001A2EF7">
        <w:rPr>
          <w:sz w:val="24"/>
          <w:lang w:val="fi-FI"/>
        </w:rPr>
        <w:tab/>
      </w:r>
      <w:r w:rsidRPr="001A2EF7">
        <w:rPr>
          <w:sz w:val="24"/>
          <w:lang w:val="fi-FI"/>
        </w:rPr>
        <w:t xml:space="preserve">EUVL L 178, 16.7.2018, s. 1, ELI: </w:t>
      </w:r>
      <w:hyperlink r:id="rId6" w:history="1">
        <w:r w:rsidRPr="001A2EF7">
          <w:rPr>
            <w:rStyle w:val="Hyperlink"/>
            <w:sz w:val="24"/>
            <w:lang w:val="fi-FI"/>
          </w:rPr>
          <w:t>http://data.europa.eu/eli/dec/2018/994/oj</w:t>
        </w:r>
      </w:hyperlink>
      <w:r w:rsidRPr="001A2EF7">
        <w:rPr>
          <w:sz w:val="24"/>
          <w:lang w:val="fi-FI"/>
        </w:rPr>
        <w:t>.</w:t>
      </w:r>
    </w:p>
  </w:footnote>
  <w:footnote w:id="7">
    <w:p w14:paraId="4CD24A2B" w14:textId="71E01A0F" w:rsidR="00B60B6C" w:rsidRPr="001A2EF7" w:rsidRDefault="00B60B6C" w:rsidP="001A2EF7">
      <w:pPr>
        <w:pStyle w:val="FootnoteText"/>
        <w:ind w:left="567" w:hanging="567"/>
        <w:rPr>
          <w:sz w:val="24"/>
          <w:lang w:val="fi-FI"/>
        </w:rPr>
      </w:pPr>
      <w:r w:rsidRPr="001A2EF7">
        <w:rPr>
          <w:rStyle w:val="FootnoteReference"/>
          <w:sz w:val="24"/>
          <w:lang w:val="fi-FI"/>
        </w:rPr>
        <w:footnoteRef/>
      </w:r>
      <w:r w:rsidR="001A2EF7" w:rsidRPr="001A2EF7">
        <w:rPr>
          <w:sz w:val="24"/>
          <w:lang w:val="fi-FI"/>
        </w:rPr>
        <w:t xml:space="preserve"> </w:t>
      </w:r>
      <w:r w:rsidR="001A2EF7" w:rsidRPr="001A2EF7">
        <w:rPr>
          <w:sz w:val="24"/>
          <w:lang w:val="fi-FI"/>
        </w:rPr>
        <w:tab/>
      </w:r>
      <w:r w:rsidRPr="001A2EF7">
        <w:rPr>
          <w:sz w:val="24"/>
          <w:lang w:val="fi-FI"/>
        </w:rPr>
        <w:t xml:space="preserve">Euroopan parlamentin ja neuvoston asetus (EU, Euratom) N:o 1141/2014, annettu 22. lokakuuta 2014, Euroopan tason poliittisten puolueiden ja Euroopan tason poliittisten säätiöiden perussäännöstä ja rahoituksesta (EUVL L 317, 4.11.2014, s. 1, ELI: </w:t>
      </w:r>
      <w:hyperlink r:id="rId7" w:history="1">
        <w:r w:rsidRPr="001A2EF7">
          <w:rPr>
            <w:rStyle w:val="Hyperlink"/>
            <w:sz w:val="24"/>
            <w:lang w:val="fi-FI"/>
          </w:rPr>
          <w:t>http://data.europa.eu/eli/reg/2014/1141/oj</w:t>
        </w:r>
      </w:hyperlink>
      <w:r w:rsidRPr="001A2EF7">
        <w:rPr>
          <w:sz w:val="24"/>
          <w:lang w:val="fi-FI"/>
        </w:rPr>
        <w:t>).</w:t>
      </w:r>
    </w:p>
  </w:footnote>
  <w:footnote w:id="8">
    <w:p w14:paraId="3A743F25" w14:textId="0E7B614D" w:rsidR="00B60B6C" w:rsidRPr="001A2EF7" w:rsidRDefault="00B60B6C" w:rsidP="001A2EF7">
      <w:pPr>
        <w:pStyle w:val="FootnoteText"/>
        <w:ind w:left="567" w:hanging="567"/>
        <w:rPr>
          <w:sz w:val="24"/>
          <w:lang w:val="fi-FI"/>
        </w:rPr>
      </w:pPr>
      <w:r w:rsidRPr="001A2EF7">
        <w:rPr>
          <w:rStyle w:val="FootnoteReference"/>
          <w:sz w:val="24"/>
          <w:lang w:val="fi-FI"/>
        </w:rPr>
        <w:footnoteRef/>
      </w:r>
      <w:r w:rsidR="001A2EF7" w:rsidRPr="001A2EF7">
        <w:rPr>
          <w:sz w:val="24"/>
          <w:lang w:val="fi-FI"/>
        </w:rPr>
        <w:t xml:space="preserve"> </w:t>
      </w:r>
      <w:r w:rsidR="001A2EF7" w:rsidRPr="001A2EF7">
        <w:rPr>
          <w:sz w:val="24"/>
          <w:lang w:val="fi-FI"/>
        </w:rPr>
        <w:tab/>
      </w:r>
      <w:r w:rsidRPr="001A2EF7">
        <w:rPr>
          <w:sz w:val="24"/>
          <w:lang w:val="fi-FI"/>
        </w:rPr>
        <w:t>Neuvoston päätös (EU, Euratom) 2018/994, annettu 13. heinäkuuta 2018, 20 päivänä syyskuuta 1976 annetun neuvoston päätöksen 76/787/EHTY, ETY, Euratom liitteenä olevan, edustajien valitsemisesta Euroopan parlamenttiin yleisillä välittömillä vaaleilla annetun säädöksen muuttamisesta (EUVL L 178, 16.7.2018, s. 1, ELI: </w:t>
      </w:r>
      <w:hyperlink r:id="rId8" w:tooltip="Linkki asiakirjaan sen ELI-tunnukseen perustuvan URI-osoitteen kautta." w:history="1">
        <w:r w:rsidRPr="001A2EF7">
          <w:rPr>
            <w:rStyle w:val="Hyperlink"/>
            <w:sz w:val="24"/>
            <w:lang w:val="fi-FI"/>
          </w:rPr>
          <w:t>http://data.europa.eu/eli/dec/2018/994/oj</w:t>
        </w:r>
      </w:hyperlink>
      <w:r w:rsidRPr="001A2EF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3205954">
    <w:abstractNumId w:val="9"/>
  </w:num>
  <w:num w:numId="2" w16cid:durableId="79953982">
    <w:abstractNumId w:val="9"/>
  </w:num>
  <w:num w:numId="3" w16cid:durableId="127166928">
    <w:abstractNumId w:val="7"/>
  </w:num>
  <w:num w:numId="4" w16cid:durableId="1856075769">
    <w:abstractNumId w:val="7"/>
  </w:num>
  <w:num w:numId="5" w16cid:durableId="1470128133">
    <w:abstractNumId w:val="6"/>
  </w:num>
  <w:num w:numId="6" w16cid:durableId="2130931249">
    <w:abstractNumId w:val="6"/>
  </w:num>
  <w:num w:numId="7" w16cid:durableId="99109985">
    <w:abstractNumId w:val="5"/>
  </w:num>
  <w:num w:numId="8" w16cid:durableId="1590656317">
    <w:abstractNumId w:val="5"/>
  </w:num>
  <w:num w:numId="9" w16cid:durableId="2128504315">
    <w:abstractNumId w:val="4"/>
  </w:num>
  <w:num w:numId="10" w16cid:durableId="1928729140">
    <w:abstractNumId w:val="4"/>
  </w:num>
  <w:num w:numId="11" w16cid:durableId="1904757396">
    <w:abstractNumId w:val="8"/>
  </w:num>
  <w:num w:numId="12" w16cid:durableId="194465939">
    <w:abstractNumId w:val="8"/>
  </w:num>
  <w:num w:numId="13" w16cid:durableId="700856493">
    <w:abstractNumId w:val="3"/>
  </w:num>
  <w:num w:numId="14" w16cid:durableId="394478591">
    <w:abstractNumId w:val="3"/>
  </w:num>
  <w:num w:numId="15" w16cid:durableId="270358469">
    <w:abstractNumId w:val="2"/>
  </w:num>
  <w:num w:numId="16" w16cid:durableId="1328557825">
    <w:abstractNumId w:val="2"/>
  </w:num>
  <w:num w:numId="17" w16cid:durableId="2101486871">
    <w:abstractNumId w:val="1"/>
  </w:num>
  <w:num w:numId="18" w16cid:durableId="1963683949">
    <w:abstractNumId w:val="1"/>
  </w:num>
  <w:num w:numId="19" w16cid:durableId="1031611943">
    <w:abstractNumId w:val="0"/>
  </w:num>
  <w:num w:numId="20" w16cid:durableId="594746243">
    <w:abstractNumId w:val="0"/>
  </w:num>
  <w:num w:numId="21" w16cid:durableId="1628006345">
    <w:abstractNumId w:val="9"/>
  </w:num>
  <w:num w:numId="22" w16cid:durableId="1065640810">
    <w:abstractNumId w:val="7"/>
  </w:num>
  <w:num w:numId="23" w16cid:durableId="481387125">
    <w:abstractNumId w:val="6"/>
  </w:num>
  <w:num w:numId="24" w16cid:durableId="1291286433">
    <w:abstractNumId w:val="5"/>
  </w:num>
  <w:num w:numId="25" w16cid:durableId="848788497">
    <w:abstractNumId w:val="4"/>
  </w:num>
  <w:num w:numId="26" w16cid:durableId="885213400">
    <w:abstractNumId w:val="8"/>
  </w:num>
  <w:num w:numId="27" w16cid:durableId="1003167980">
    <w:abstractNumId w:val="3"/>
  </w:num>
  <w:num w:numId="28" w16cid:durableId="253171424">
    <w:abstractNumId w:val="2"/>
  </w:num>
  <w:num w:numId="29" w16cid:durableId="1344354155">
    <w:abstractNumId w:val="1"/>
  </w:num>
  <w:num w:numId="30" w16cid:durableId="1559704097">
    <w:abstractNumId w:val="0"/>
  </w:num>
  <w:num w:numId="31" w16cid:durableId="1028869482">
    <w:abstractNumId w:val="9"/>
  </w:num>
  <w:num w:numId="32" w16cid:durableId="1315911659">
    <w:abstractNumId w:val="7"/>
  </w:num>
  <w:num w:numId="33" w16cid:durableId="1059590785">
    <w:abstractNumId w:val="6"/>
  </w:num>
  <w:num w:numId="34" w16cid:durableId="872957855">
    <w:abstractNumId w:val="5"/>
  </w:num>
  <w:num w:numId="35" w16cid:durableId="185872482">
    <w:abstractNumId w:val="4"/>
  </w:num>
  <w:num w:numId="36" w16cid:durableId="1362707801">
    <w:abstractNumId w:val="8"/>
  </w:num>
  <w:num w:numId="37" w16cid:durableId="795756731">
    <w:abstractNumId w:val="3"/>
  </w:num>
  <w:num w:numId="38" w16cid:durableId="61217075">
    <w:abstractNumId w:val="2"/>
  </w:num>
  <w:num w:numId="39" w16cid:durableId="569266225">
    <w:abstractNumId w:val="1"/>
  </w:num>
  <w:num w:numId="40" w16cid:durableId="2137135843">
    <w:abstractNumId w:val="0"/>
  </w:num>
  <w:num w:numId="41" w16cid:durableId="63265587">
    <w:abstractNumId w:val="10"/>
  </w:num>
  <w:num w:numId="42" w16cid:durableId="1044066131">
    <w:abstractNumId w:val="10"/>
  </w:num>
  <w:num w:numId="43" w16cid:durableId="19010699">
    <w:abstractNumId w:val="10"/>
  </w:num>
  <w:num w:numId="44" w16cid:durableId="665863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FI"/>
    <w:docVar w:name="dvnumam" w:val="0"/>
    <w:docVar w:name="dvpe" w:val="767.970"/>
    <w:docVar w:name="dvrapporteur" w:val="Esittelijä: "/>
    <w:docVar w:name="dvtitre" w:val="Euroopan parlamentin päätöslauselma xx. tammikuuta 2026 Euroopan parlamentin vaaleista annetun säädöksen uudistamisesta – ratifioinnin ja täytäntöönpanon esteet jäsenvaltioissa(2025/2028(INI))"/>
  </w:docVars>
  <w:rsids>
    <w:rsidRoot w:val="00ED69CD"/>
    <w:rsid w:val="00001A97"/>
    <w:rsid w:val="00002272"/>
    <w:rsid w:val="00064002"/>
    <w:rsid w:val="000677B9"/>
    <w:rsid w:val="000831BA"/>
    <w:rsid w:val="000A42CC"/>
    <w:rsid w:val="000E7A0C"/>
    <w:rsid w:val="000E7DD9"/>
    <w:rsid w:val="000F074E"/>
    <w:rsid w:val="001007BC"/>
    <w:rsid w:val="0010095E"/>
    <w:rsid w:val="001224C2"/>
    <w:rsid w:val="00125B37"/>
    <w:rsid w:val="00187494"/>
    <w:rsid w:val="001A2EF7"/>
    <w:rsid w:val="001F32AE"/>
    <w:rsid w:val="002767FF"/>
    <w:rsid w:val="002B18FE"/>
    <w:rsid w:val="002B5493"/>
    <w:rsid w:val="00323CE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70D"/>
    <w:rsid w:val="00A1687D"/>
    <w:rsid w:val="00A43E52"/>
    <w:rsid w:val="00A4678D"/>
    <w:rsid w:val="00A74AFD"/>
    <w:rsid w:val="00A778C7"/>
    <w:rsid w:val="00AB441E"/>
    <w:rsid w:val="00AB6293"/>
    <w:rsid w:val="00AE0928"/>
    <w:rsid w:val="00AF3B82"/>
    <w:rsid w:val="00B12E95"/>
    <w:rsid w:val="00B22876"/>
    <w:rsid w:val="00B558F0"/>
    <w:rsid w:val="00B60B6C"/>
    <w:rsid w:val="00BD48FE"/>
    <w:rsid w:val="00BD7BD8"/>
    <w:rsid w:val="00BE6ADC"/>
    <w:rsid w:val="00C05BFE"/>
    <w:rsid w:val="00C23CD4"/>
    <w:rsid w:val="00C61C0C"/>
    <w:rsid w:val="00C62A40"/>
    <w:rsid w:val="00C941CB"/>
    <w:rsid w:val="00CC2357"/>
    <w:rsid w:val="00CF071A"/>
    <w:rsid w:val="00D058B8"/>
    <w:rsid w:val="00D56C11"/>
    <w:rsid w:val="00D834A0"/>
    <w:rsid w:val="00D872DF"/>
    <w:rsid w:val="00D91E21"/>
    <w:rsid w:val="00DA7FCD"/>
    <w:rsid w:val="00E365E1"/>
    <w:rsid w:val="00E70F36"/>
    <w:rsid w:val="00E820A4"/>
    <w:rsid w:val="00EB006A"/>
    <w:rsid w:val="00EB4772"/>
    <w:rsid w:val="00ED169E"/>
    <w:rsid w:val="00ED4235"/>
    <w:rsid w:val="00ED69C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77D17"/>
  <w15:chartTrackingRefBased/>
  <w15:docId w15:val="{9AA5FF9F-64BD-4311-9602-DD9D8242A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60B6C"/>
    <w:pPr>
      <w:spacing w:after="240"/>
      <w:ind w:left="567" w:hanging="567"/>
    </w:pPr>
  </w:style>
  <w:style w:type="paragraph" w:customStyle="1" w:styleId="Subheading">
    <w:name w:val="Subheading"/>
    <w:basedOn w:val="Normal"/>
    <w:rsid w:val="00B60B6C"/>
    <w:pPr>
      <w:spacing w:before="480" w:after="240"/>
    </w:pPr>
    <w:rPr>
      <w:b/>
      <w:i/>
    </w:rPr>
  </w:style>
  <w:style w:type="paragraph" w:customStyle="1" w:styleId="EPComma">
    <w:name w:val="EPComma"/>
    <w:basedOn w:val="Normal"/>
    <w:rsid w:val="00B60B6C"/>
    <w:pPr>
      <w:spacing w:before="480" w:after="240"/>
    </w:pPr>
  </w:style>
  <w:style w:type="character" w:styleId="Hyperlink">
    <w:name w:val="Hyperlink"/>
    <w:basedOn w:val="DefaultParagraphFont"/>
    <w:rsid w:val="00B60B6C"/>
    <w:rPr>
      <w:color w:val="0563C1" w:themeColor="hyperlink"/>
      <w:u w:val="single"/>
    </w:rPr>
  </w:style>
  <w:style w:type="paragraph" w:styleId="Footer">
    <w:name w:val="footer"/>
    <w:basedOn w:val="Normal"/>
    <w:link w:val="FooterChar"/>
    <w:rsid w:val="00001A97"/>
    <w:pPr>
      <w:tabs>
        <w:tab w:val="center" w:pos="4513"/>
        <w:tab w:val="right" w:pos="9026"/>
      </w:tabs>
    </w:pPr>
  </w:style>
  <w:style w:type="character" w:customStyle="1" w:styleId="FooterChar">
    <w:name w:val="Footer Char"/>
    <w:basedOn w:val="DefaultParagraphFont"/>
    <w:link w:val="Footer"/>
    <w:rsid w:val="00001A97"/>
    <w:rPr>
      <w:sz w:val="24"/>
      <w:lang w:val="fi-FI"/>
    </w:rPr>
  </w:style>
  <w:style w:type="paragraph" w:styleId="Revision">
    <w:name w:val="Revision"/>
    <w:hidden/>
    <w:uiPriority w:val="99"/>
    <w:semiHidden/>
    <w:rsid w:val="00001A9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8/994/oj" TargetMode="External"/><Relationship Id="rId3" Type="http://schemas.openxmlformats.org/officeDocument/2006/relationships/hyperlink" Target="http://data.europa.eu/eli/agree_interinstit/2010/1120/oj" TargetMode="External"/><Relationship Id="rId7" Type="http://schemas.openxmlformats.org/officeDocument/2006/relationships/hyperlink" Target="http://data.europa.eu/eli/reg/2014/1141/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s://eur-lex.europa.eu/legal-content/FI/TXT/?uri=oj:JOC_2022_465_R_0018" TargetMode="External"/><Relationship Id="rId4" Type="http://schemas.openxmlformats.org/officeDocument/2006/relationships/hyperlink" Target="https://eur-lex.europa.eu/legal-content/FI/TXT/?uri=CELEX:52015IP0395&amp;qid=17496537264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2035</Words>
  <Characters>17096</Characters>
  <Application>Microsoft Office Word</Application>
  <DocSecurity>0</DocSecurity>
  <Lines>899</Lines>
  <Paragraphs>579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2026-02-26T09:51:00Z</dcterms:created>
  <dcterms:modified xsi:type="dcterms:W3CDTF">2026-02-26T09:51:00Z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A10-0252/2025</vt:lpwstr>
  </property>
  <property fmtid="{D5CDD505-2E9C-101B-9397-08002B2CF9AE}" pid="4" name="&lt;Type&gt;">
    <vt:lpwstr>RR</vt:lpwstr>
  </property>
</Properties>
</file>