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04085" w14:paraId="4E2B233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A6A2CB" w14:textId="77777777" w:rsidR="00751A4A" w:rsidRPr="00A04085" w:rsidRDefault="004077E6" w:rsidP="0010095E">
            <w:pPr>
              <w:pStyle w:val="EPName"/>
            </w:pPr>
            <w:r w:rsidRPr="00A04085">
              <w:t>Europski parlament</w:t>
            </w:r>
          </w:p>
          <w:p w14:paraId="7EC02AD2" w14:textId="77777777" w:rsidR="00751A4A" w:rsidRPr="00A0408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4085">
              <w:t>2024</w:t>
            </w:r>
            <w:r w:rsidR="00817416" w:rsidRPr="00A04085">
              <w:t>-202</w:t>
            </w:r>
            <w:r w:rsidRPr="00A04085">
              <w:t>9</w:t>
            </w:r>
          </w:p>
        </w:tc>
        <w:tc>
          <w:tcPr>
            <w:tcW w:w="2268" w:type="dxa"/>
            <w:shd w:val="clear" w:color="auto" w:fill="auto"/>
          </w:tcPr>
          <w:p w14:paraId="2D37BBC4" w14:textId="77777777" w:rsidR="00751A4A" w:rsidRPr="00A04085" w:rsidRDefault="00187494" w:rsidP="0010095E">
            <w:pPr>
              <w:pStyle w:val="EPLogo"/>
            </w:pPr>
            <w:r w:rsidRPr="00A04085">
              <w:rPr>
                <w:noProof/>
                <w:lang w:eastAsia="ja-JP"/>
              </w:rPr>
              <w:drawing>
                <wp:inline distT="0" distB="0" distL="0" distR="0" wp14:anchorId="678012D1" wp14:editId="375EBD2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F407F1" w14:textId="77777777" w:rsidR="00D058B8" w:rsidRPr="00A04085" w:rsidRDefault="00D058B8" w:rsidP="004C5D52">
      <w:pPr>
        <w:pStyle w:val="LineTop"/>
      </w:pPr>
    </w:p>
    <w:p w14:paraId="17E1A383" w14:textId="77777777" w:rsidR="00680577" w:rsidRPr="00A04085" w:rsidRDefault="004077E6" w:rsidP="00680577">
      <w:pPr>
        <w:pStyle w:val="EPBodyTA1"/>
      </w:pPr>
      <w:r w:rsidRPr="00A04085">
        <w:t>USVOJENI TEKSTOVI</w:t>
      </w:r>
    </w:p>
    <w:p w14:paraId="464A8ED6" w14:textId="77777777" w:rsidR="00D058B8" w:rsidRPr="00A04085" w:rsidRDefault="00D058B8" w:rsidP="00D058B8">
      <w:pPr>
        <w:pStyle w:val="LineBottom"/>
      </w:pPr>
    </w:p>
    <w:p w14:paraId="35569510" w14:textId="07BD85EA" w:rsidR="004077E6" w:rsidRPr="00A04085" w:rsidRDefault="004077E6" w:rsidP="004077E6">
      <w:pPr>
        <w:pStyle w:val="ATHeading1"/>
      </w:pPr>
      <w:bookmarkStart w:id="0" w:name="TANumber"/>
      <w:r w:rsidRPr="00A04085">
        <w:t>P10_TA(2026)000</w:t>
      </w:r>
      <w:r w:rsidR="0044401D">
        <w:t>6</w:t>
      </w:r>
      <w:bookmarkEnd w:id="0"/>
    </w:p>
    <w:p w14:paraId="55A1612D" w14:textId="77777777" w:rsidR="004077E6" w:rsidRPr="00A04085" w:rsidRDefault="004077E6" w:rsidP="004077E6">
      <w:pPr>
        <w:pStyle w:val="ATHeading2"/>
      </w:pPr>
      <w:bookmarkStart w:id="1" w:name="title"/>
      <w:r w:rsidRPr="00A04085">
        <w:t>Reforma Europskog izbornog akta – prepreke ratifikaciji i provedbi u državama članicama</w:t>
      </w:r>
      <w:bookmarkEnd w:id="1"/>
    </w:p>
    <w:p w14:paraId="2B19D770" w14:textId="77777777" w:rsidR="004077E6" w:rsidRPr="00A04085" w:rsidRDefault="004077E6" w:rsidP="004077E6">
      <w:pPr>
        <w:rPr>
          <w:i/>
          <w:vanish/>
        </w:rPr>
      </w:pPr>
      <w:r w:rsidRPr="00A04085">
        <w:rPr>
          <w:i/>
        </w:rPr>
        <w:fldChar w:fldCharType="begin"/>
      </w:r>
      <w:r w:rsidRPr="00A04085">
        <w:rPr>
          <w:i/>
        </w:rPr>
        <w:instrText xml:space="preserve"> TC"(</w:instrText>
      </w:r>
      <w:bookmarkStart w:id="2" w:name="DocNumber"/>
      <w:r w:rsidRPr="00A04085">
        <w:rPr>
          <w:i/>
        </w:rPr>
        <w:instrText>A10-0252/2025</w:instrText>
      </w:r>
      <w:bookmarkEnd w:id="2"/>
      <w:r w:rsidRPr="00A04085">
        <w:rPr>
          <w:i/>
        </w:rPr>
        <w:instrText xml:space="preserve"> - Izvjestitelj: Borja </w:instrText>
      </w:r>
      <w:proofErr w:type="spellStart"/>
      <w:r w:rsidRPr="00A04085">
        <w:rPr>
          <w:i/>
        </w:rPr>
        <w:instrText>Giménez</w:instrText>
      </w:r>
      <w:proofErr w:type="spellEnd"/>
      <w:r w:rsidRPr="00A04085">
        <w:rPr>
          <w:i/>
        </w:rPr>
        <w:instrText xml:space="preserve"> </w:instrText>
      </w:r>
      <w:proofErr w:type="spellStart"/>
      <w:r w:rsidRPr="00A04085">
        <w:rPr>
          <w:i/>
        </w:rPr>
        <w:instrText>Larraz</w:instrText>
      </w:r>
      <w:proofErr w:type="spellEnd"/>
      <w:r w:rsidRPr="00A04085">
        <w:rPr>
          <w:i/>
        </w:rPr>
        <w:instrText xml:space="preserve">)"\l3 \n&gt; \* MERGEFORMAT </w:instrText>
      </w:r>
      <w:r w:rsidRPr="00A04085">
        <w:rPr>
          <w:i/>
        </w:rPr>
        <w:fldChar w:fldCharType="end"/>
      </w:r>
    </w:p>
    <w:p w14:paraId="196AA03B" w14:textId="77777777" w:rsidR="004077E6" w:rsidRPr="00A04085" w:rsidRDefault="004077E6" w:rsidP="004077E6">
      <w:pPr>
        <w:rPr>
          <w:vanish/>
        </w:rPr>
      </w:pPr>
      <w:bookmarkStart w:id="3" w:name="Commission"/>
      <w:r w:rsidRPr="00A04085">
        <w:rPr>
          <w:vanish/>
        </w:rPr>
        <w:t>Odbor za ustavna pitanja</w:t>
      </w:r>
      <w:bookmarkEnd w:id="3"/>
    </w:p>
    <w:p w14:paraId="2A91C848" w14:textId="77777777" w:rsidR="004077E6" w:rsidRPr="00A04085" w:rsidRDefault="004077E6" w:rsidP="004077E6">
      <w:pPr>
        <w:rPr>
          <w:vanish/>
        </w:rPr>
      </w:pPr>
      <w:bookmarkStart w:id="4" w:name="PE"/>
      <w:r w:rsidRPr="00A04085">
        <w:rPr>
          <w:vanish/>
        </w:rPr>
        <w:t>PE767.970</w:t>
      </w:r>
      <w:bookmarkEnd w:id="4"/>
    </w:p>
    <w:p w14:paraId="35BD4B9F" w14:textId="44391EFD" w:rsidR="004077E6" w:rsidRPr="00A04085" w:rsidRDefault="004077E6" w:rsidP="004077E6">
      <w:pPr>
        <w:pStyle w:val="ATHeading3"/>
      </w:pPr>
      <w:bookmarkStart w:id="5" w:name="Sujet"/>
      <w:r w:rsidRPr="00A04085">
        <w:t xml:space="preserve">Rezolucija Europskog parlamenta od </w:t>
      </w:r>
      <w:r w:rsidR="00A04085">
        <w:t>20</w:t>
      </w:r>
      <w:r w:rsidRPr="00A04085">
        <w:t xml:space="preserve">. </w:t>
      </w:r>
      <w:r w:rsidR="00A04085">
        <w:t xml:space="preserve">siječnja </w:t>
      </w:r>
      <w:r w:rsidRPr="00A04085">
        <w:t>2026. o reformi Europskog izbornog akta – prepreke ratifikaciji i provedbi u državama članicama</w:t>
      </w:r>
      <w:bookmarkEnd w:id="5"/>
      <w:r w:rsidRPr="00A04085">
        <w:t xml:space="preserve"> </w:t>
      </w:r>
      <w:bookmarkStart w:id="6" w:name="References"/>
      <w:r w:rsidRPr="00A04085">
        <w:t>(2025/2028(INI))</w:t>
      </w:r>
      <w:bookmarkEnd w:id="6"/>
    </w:p>
    <w:p w14:paraId="1871C7FE" w14:textId="77777777" w:rsidR="00D1668E" w:rsidRPr="00A04085" w:rsidRDefault="00D1668E" w:rsidP="00D1668E">
      <w:pPr>
        <w:pStyle w:val="EPComma"/>
      </w:pPr>
      <w:bookmarkStart w:id="7" w:name="TextBodyBegin"/>
      <w:bookmarkEnd w:id="7"/>
      <w:r w:rsidRPr="00A04085">
        <w:rPr>
          <w:i/>
        </w:rPr>
        <w:t>Europski parlament</w:t>
      </w:r>
      <w:r w:rsidRPr="00A04085">
        <w:t>,</w:t>
      </w:r>
    </w:p>
    <w:p w14:paraId="60121BB6" w14:textId="77777777" w:rsidR="00D1668E" w:rsidRPr="00A04085" w:rsidRDefault="00D1668E" w:rsidP="00A04085">
      <w:pPr>
        <w:pStyle w:val="NormalHanging12a"/>
      </w:pPr>
      <w:r w:rsidRPr="00A04085">
        <w:t>–</w:t>
      </w:r>
      <w:r w:rsidRPr="00A04085">
        <w:tab/>
        <w:t>uzimajući u obzir Ugovore, a posebno članke 9., 10. i 14. te članak 17. stavak 7. Ugovora o Europskoj uniji (UEU), te članak 22., članak 223. stavak 1. i članak 225. Ugovora o funkcioniranju Europske unije (UFEU),</w:t>
      </w:r>
    </w:p>
    <w:p w14:paraId="31BE028D" w14:textId="77777777" w:rsidR="00D1668E" w:rsidRPr="00A04085" w:rsidRDefault="00D1668E" w:rsidP="00A04085">
      <w:pPr>
        <w:pStyle w:val="NormalHanging12a"/>
      </w:pPr>
      <w:r w:rsidRPr="00A04085">
        <w:t>–</w:t>
      </w:r>
      <w:r w:rsidRPr="00A04085">
        <w:tab/>
        <w:t>uzimajući u obzir Akt o izboru zastupnika u Europskom parlamentu neposrednim općim izborima</w:t>
      </w:r>
      <w:r w:rsidRPr="00A04085">
        <w:rPr>
          <w:rStyle w:val="FootnoteReference"/>
        </w:rPr>
        <w:footnoteReference w:id="1"/>
      </w:r>
      <w:r w:rsidRPr="00A04085">
        <w:t xml:space="preserve"> („Europski izborni akt”), priložen izmijenjenoj Odluci Vijeća od 20. rujna 1976.</w:t>
      </w:r>
      <w:r w:rsidRPr="00A04085">
        <w:rPr>
          <w:rStyle w:val="FootnoteReference"/>
        </w:rPr>
        <w:footnoteReference w:id="2"/>
      </w:r>
      <w:r w:rsidRPr="00A04085">
        <w:t>,</w:t>
      </w:r>
    </w:p>
    <w:p w14:paraId="6174ACE5" w14:textId="77777777" w:rsidR="00D1668E" w:rsidRPr="00A04085" w:rsidRDefault="00D1668E" w:rsidP="00A04085">
      <w:pPr>
        <w:pStyle w:val="NormalHanging12a"/>
      </w:pPr>
      <w:r w:rsidRPr="00A04085">
        <w:t>–</w:t>
      </w:r>
      <w:r w:rsidRPr="00A04085">
        <w:tab/>
        <w:t>uzimajući u obzir Okvirni sporazum o odnosima između Europskog parlamenta i Europske komisije od 20. listopada 2010.</w:t>
      </w:r>
      <w:r w:rsidRPr="00A04085">
        <w:rPr>
          <w:rStyle w:val="FootnoteReference"/>
        </w:rPr>
        <w:footnoteReference w:id="3"/>
      </w:r>
      <w:r w:rsidRPr="00A04085">
        <w:t>,</w:t>
      </w:r>
    </w:p>
    <w:p w14:paraId="5419A694" w14:textId="5D351257" w:rsidR="00D1668E" w:rsidRPr="00A04085" w:rsidRDefault="00D1668E" w:rsidP="00A04085">
      <w:pPr>
        <w:pStyle w:val="NormalHanging12a"/>
      </w:pPr>
      <w:r w:rsidRPr="00A04085">
        <w:t>–</w:t>
      </w:r>
      <w:r w:rsidRPr="00A04085">
        <w:tab/>
        <w:t>uzimajući u obzir svoju Rezoluciju od 11. studenog</w:t>
      </w:r>
      <w:r w:rsidR="00363EDF">
        <w:t>a</w:t>
      </w:r>
      <w:r w:rsidRPr="00A04085">
        <w:t> 2015. o reformi izbornog zakona Europske unije</w:t>
      </w:r>
      <w:r w:rsidRPr="00A04085">
        <w:rPr>
          <w:rStyle w:val="FootnoteReference"/>
        </w:rPr>
        <w:footnoteReference w:id="4"/>
      </w:r>
      <w:r w:rsidRPr="00A04085">
        <w:t>,</w:t>
      </w:r>
    </w:p>
    <w:p w14:paraId="7718705A" w14:textId="77777777" w:rsidR="00D1668E" w:rsidRPr="00A04085" w:rsidRDefault="00D1668E" w:rsidP="00A04085">
      <w:pPr>
        <w:pStyle w:val="NormalHanging12a"/>
      </w:pPr>
      <w:r w:rsidRPr="00A04085">
        <w:t>–</w:t>
      </w:r>
      <w:r w:rsidRPr="00A04085">
        <w:tab/>
        <w:t>uzimajući u obzir svoje stajalište od 3. svibnja 2022. o Prijedlogu uredbe Vijeća o izboru članova Europskog parlamenta neposrednim općim izborima, stavljanju izvan snage Odluke Vijeća (76/787/EZUČ, EEZ, Euratom) i Akta o izboru članova Europskog parlamenta neposrednim općim izborima priloženog toj Odluci (2020/2220(INL) – 2022/0902(APP))</w:t>
      </w:r>
      <w:r w:rsidRPr="00A04085">
        <w:rPr>
          <w:rStyle w:val="FootnoteReference"/>
        </w:rPr>
        <w:footnoteReference w:id="5"/>
      </w:r>
      <w:r w:rsidRPr="00A04085">
        <w:t>,</w:t>
      </w:r>
    </w:p>
    <w:p w14:paraId="7F9B1ECF" w14:textId="77777777" w:rsidR="00D1668E" w:rsidRPr="00A04085" w:rsidRDefault="00D1668E" w:rsidP="00A04085">
      <w:pPr>
        <w:pStyle w:val="NormalHanging12a"/>
      </w:pPr>
      <w:r w:rsidRPr="00A04085">
        <w:lastRenderedPageBreak/>
        <w:t>–</w:t>
      </w:r>
      <w:r w:rsidRPr="00A04085">
        <w:tab/>
        <w:t>uzimajući u obzir Odluku Vijeća (EU, Euratom) 2018/994 od 13. srpnja 2018. o izmjeni Akta o izboru članova Europskog parlamenta neposrednim općim izborima, priloženog Odluci Vijeća 76/787/EZUČ, EEZ, Euratom od 20. rujna 1976.</w:t>
      </w:r>
      <w:r w:rsidRPr="00A04085">
        <w:rPr>
          <w:rStyle w:val="FootnoteReference"/>
        </w:rPr>
        <w:footnoteReference w:id="6"/>
      </w:r>
      <w:r w:rsidRPr="00A04085">
        <w:t>,</w:t>
      </w:r>
    </w:p>
    <w:p w14:paraId="7CF9DD9D" w14:textId="77777777" w:rsidR="00D1668E" w:rsidRPr="00A04085" w:rsidRDefault="00D1668E" w:rsidP="00A04085">
      <w:pPr>
        <w:pStyle w:val="NormalHanging12a"/>
      </w:pPr>
      <w:r w:rsidRPr="00A04085">
        <w:t>–</w:t>
      </w:r>
      <w:r w:rsidRPr="00A04085">
        <w:rPr>
          <w:b/>
          <w:i/>
        </w:rPr>
        <w:tab/>
      </w:r>
      <w:r w:rsidRPr="00A04085">
        <w:t>uzimajući u obzir Konvenciju Ujedinjenih naroda o pravima osoba s invaliditetom,</w:t>
      </w:r>
    </w:p>
    <w:p w14:paraId="18B7B7F7" w14:textId="77777777" w:rsidR="00D1668E" w:rsidRPr="00A04085" w:rsidRDefault="00D1668E" w:rsidP="00A04085">
      <w:pPr>
        <w:pStyle w:val="NormalHanging12a"/>
      </w:pPr>
      <w:r w:rsidRPr="00A04085">
        <w:t>–</w:t>
      </w:r>
      <w:r w:rsidRPr="00A04085">
        <w:tab/>
        <w:t>uzimajući u obzir članak 55. Poslovnika i članak 1. stavak 1. točku (e) Odluke Konferencije predsjednika od 12. prosinca 2002. o postupku odobrenja izrade izvješćâ o vlastitoj inicijativi te Prilog 3. priložen toj odluci,</w:t>
      </w:r>
    </w:p>
    <w:p w14:paraId="5B192FCF" w14:textId="77777777" w:rsidR="00D1668E" w:rsidRPr="00A04085" w:rsidRDefault="00D1668E" w:rsidP="00A04085">
      <w:pPr>
        <w:pStyle w:val="NormalHanging12a"/>
      </w:pPr>
      <w:r w:rsidRPr="00A04085">
        <w:t>–</w:t>
      </w:r>
      <w:r w:rsidRPr="00A04085">
        <w:tab/>
        <w:t>uzimajući u obzir izvješće Odbora za ustavna pitanja (A10</w:t>
      </w:r>
      <w:r w:rsidRPr="00A04085">
        <w:noBreakHyphen/>
        <w:t>0252/2025),</w:t>
      </w:r>
    </w:p>
    <w:p w14:paraId="704BF110" w14:textId="77777777" w:rsidR="00D1668E" w:rsidRPr="00A04085" w:rsidRDefault="00D1668E" w:rsidP="00A04085">
      <w:pPr>
        <w:pStyle w:val="NormalHanging12a"/>
        <w:tabs>
          <w:tab w:val="left" w:pos="567"/>
        </w:tabs>
      </w:pPr>
      <w:r w:rsidRPr="00A04085">
        <w:t>A.</w:t>
      </w:r>
      <w:r w:rsidRPr="00A04085">
        <w:tab/>
        <w:t xml:space="preserve">budući da na temelju članka 233. UFEU-a Parlament ima pravo inicirati reformu vlastitog izbornog postupka u cilju razvoja ujednačenog postupka na razini EU-a ili postupka zasnovanog na načelima zajedničkima svim državama članicama i dati svoj pristanak; budući da su institucije EU-a i države članice obvezane načelom uzajamne lojalne suradnje kako je utvrđeno u članku 3. UEU-a; </w:t>
      </w:r>
    </w:p>
    <w:p w14:paraId="2C6BDCFD" w14:textId="77777777" w:rsidR="00D1668E" w:rsidRPr="00A04085" w:rsidRDefault="00D1668E" w:rsidP="00A04085">
      <w:pPr>
        <w:pStyle w:val="NormalHanging12a"/>
        <w:ind w:hanging="570"/>
        <w:rPr>
          <w:bCs/>
          <w:iCs/>
        </w:rPr>
      </w:pPr>
      <w:r w:rsidRPr="00A04085">
        <w:t>B.</w:t>
      </w:r>
      <w:r w:rsidRPr="00A04085">
        <w:tab/>
        <w:t xml:space="preserve">budući da bi se jedinstvenim izbornim postupkom osigurala ne samo veća jednakost i transparentnost u izbornom postupku, već bi se i potaknulo stvaranje europske političke i javne sfere, čime bi se ojačala legitimnost Europske unije i njezinih institucija; </w:t>
      </w:r>
    </w:p>
    <w:p w14:paraId="41099839" w14:textId="77777777" w:rsidR="00D1668E" w:rsidRPr="00A04085" w:rsidRDefault="00D1668E" w:rsidP="00A04085">
      <w:pPr>
        <w:pStyle w:val="NormalHanging12a"/>
      </w:pPr>
      <w:r w:rsidRPr="00A04085">
        <w:t>C.</w:t>
      </w:r>
      <w:r w:rsidRPr="00A04085">
        <w:tab/>
        <w:t xml:space="preserve">budući da, u skladu s člankom 223. stavkom 1. UFEU-a, stupanje na snagu izmijenjenog Europskog izbornog akta podliježe odobrenju svih država članica u skladu s njihovim ustavnim odredbama, pri čemu svaka država članica zadržava potpunu slobodu odlučivanja o tome kada će ga ratificirati; </w:t>
      </w:r>
    </w:p>
    <w:p w14:paraId="28219308" w14:textId="77777777" w:rsidR="00D1668E" w:rsidRPr="00A04085" w:rsidRDefault="00D1668E" w:rsidP="00A04085">
      <w:pPr>
        <w:pStyle w:val="NormalHanging12a"/>
      </w:pPr>
      <w:r w:rsidRPr="00A04085">
        <w:t>D.</w:t>
      </w:r>
      <w:r w:rsidRPr="00A04085">
        <w:tab/>
        <w:t>budući da je mogućnost razvoja ujednačenog izbornog postupka koji se temelji na neposrednim općim izborima utvrđena u Ugovorima od 1957.;</w:t>
      </w:r>
    </w:p>
    <w:p w14:paraId="2B1268F5" w14:textId="77777777" w:rsidR="00D1668E" w:rsidRPr="00A04085" w:rsidRDefault="00D1668E" w:rsidP="00A04085">
      <w:pPr>
        <w:pStyle w:val="NormalHanging12a"/>
        <w:rPr>
          <w:bCs/>
          <w:iCs/>
        </w:rPr>
      </w:pPr>
      <w:r w:rsidRPr="00A04085">
        <w:t>E.</w:t>
      </w:r>
      <w:r w:rsidRPr="00A04085">
        <w:tab/>
        <w:t>budući da je u samom Europskom izbornom aktu iz 1976. naveden cilj uspostave takvog jedinstvenog postupka i da je Parlament izričito ovlašten poduzeti potrebne korake u tu svrhu; budući da je mogućnost utvrđivanja „zajedničkih načela” umjesto usklađenog postupka uvedena tek u kasnijoj fazi, kao pragmatičan odgovor na stalne poteškoće u postizanju jednoglasnog dogovora o jedinstvenom izbornom postupku; budući da je ta promjena u pristupu dovela do trajne i neujednačene provedbe izbornih reformi, čime se ugrožava izvorni duh Ugovora i Europskog izbornog akta iz 1976. te odgađa uspostava europskog izbornog okvira;</w:t>
      </w:r>
    </w:p>
    <w:p w14:paraId="7C514AAE" w14:textId="77777777" w:rsidR="00D1668E" w:rsidRPr="00A04085" w:rsidRDefault="00D1668E" w:rsidP="00A04085">
      <w:pPr>
        <w:pStyle w:val="NormalHanging12a"/>
      </w:pPr>
      <w:r w:rsidRPr="00A04085">
        <w:t>F.</w:t>
      </w:r>
      <w:r w:rsidRPr="00A04085">
        <w:tab/>
        <w:t xml:space="preserve">budući da bi cilj reforme izbornog postupka Parlamenta trebao biti jačanje demokratske dimenzije europskih izbora i legitimnosti postupka donošenja odluka u EU-u osiguravanjem ravnopravnog sudjelovanja svih građana EU-a, čime bi se izborni okvir uskladio s ulogom Parlamenta kao </w:t>
      </w:r>
      <w:proofErr w:type="spellStart"/>
      <w:r w:rsidRPr="00A04085">
        <w:t>suzakonodavca</w:t>
      </w:r>
      <w:proofErr w:type="spellEnd"/>
      <w:r w:rsidRPr="00A04085">
        <w:t xml:space="preserve"> kojeg izravno biraju građani Unije; budući da bi takva reforma trebala služiti jačanju koncepta građanstva EU-a, poboljšanju funkcioniranja Parlamenta i upravljanja EU-om, te jačanju načela jednakosti izbora, jednakih mogućnosti i </w:t>
      </w:r>
      <w:proofErr w:type="spellStart"/>
      <w:r w:rsidRPr="00A04085">
        <w:t>uključivosti</w:t>
      </w:r>
      <w:proofErr w:type="spellEnd"/>
      <w:r w:rsidRPr="00A04085">
        <w:t xml:space="preserve">; budući da bi se time trebala povećati transparentnost, pristupačnost i angažman mladih; </w:t>
      </w:r>
    </w:p>
    <w:p w14:paraId="55AAE095" w14:textId="77777777" w:rsidR="00D1668E" w:rsidRPr="00A04085" w:rsidRDefault="00D1668E" w:rsidP="00A04085">
      <w:pPr>
        <w:pStyle w:val="NormalHanging12a"/>
      </w:pPr>
      <w:r w:rsidRPr="00A04085">
        <w:t>G.</w:t>
      </w:r>
      <w:r w:rsidRPr="00A04085">
        <w:tab/>
        <w:t xml:space="preserve">budući da još nije postignut sveobuhvatan sporazum o istinski ujednačenom izbornom postupku te da je trenutačni okvir i dalje vrlo rascjepkan; budući da je u određenim </w:t>
      </w:r>
      <w:r w:rsidRPr="00A04085">
        <w:lastRenderedPageBreak/>
        <w:t xml:space="preserve">aspektima došlo do postupne konvergencije, ali trenutačna nacionalna pravila i dalje izazivaju znatne razlike u ključnim područjima diljem država članica, čime se narušava jednakost izbora i oslabljuje i percepcija o jedinstvenim, zajedničkim europskim izborima i povjerenje građana u europski demokratski proces; </w:t>
      </w:r>
    </w:p>
    <w:p w14:paraId="17769936" w14:textId="77777777" w:rsidR="00D1668E" w:rsidRPr="00A04085" w:rsidRDefault="00D1668E" w:rsidP="00A04085">
      <w:pPr>
        <w:pStyle w:val="NormalHanging12a"/>
      </w:pPr>
      <w:r w:rsidRPr="00A04085">
        <w:t>H.</w:t>
      </w:r>
      <w:r w:rsidRPr="00A04085">
        <w:tab/>
        <w:t>budući da su unatoč nekoliko reformi europski izbori još uvijek u velikoj mjeri regulirani nacionalnim zakonima, predizborna kampanja i dalje se vodi na nacionalnoj razini, a europske političke stranke ne mogu u dovoljnoj mjeri ispuniti svoje ustavne mandate i doprinijeti „stvaranju europske političke svijesti i izražavanju volje građana Unije” kao što je propisano člankom 10. stavkom 4. UEU-a; budući da je preinakom Uredbe o statutu i financiranju europskih političkih stranaka i europskih političkih zaklada</w:t>
      </w:r>
      <w:r w:rsidRPr="00A04085">
        <w:rPr>
          <w:rStyle w:val="FootnoteReference"/>
        </w:rPr>
        <w:footnoteReference w:id="7"/>
      </w:r>
      <w:r w:rsidRPr="00A04085">
        <w:t xml:space="preserve"> postignuta određena razina jasnoće u tom pogledu; </w:t>
      </w:r>
    </w:p>
    <w:p w14:paraId="3BE0615E" w14:textId="2EAE83AC" w:rsidR="00D1668E" w:rsidRPr="00A04085" w:rsidRDefault="00D1668E" w:rsidP="00A04085">
      <w:pPr>
        <w:pStyle w:val="NormalHanging12a"/>
      </w:pPr>
      <w:r w:rsidRPr="00A04085">
        <w:t>I.</w:t>
      </w:r>
      <w:r w:rsidRPr="00A04085">
        <w:tab/>
        <w:t>budući da je izborni prag za raspodjelu mjesta minimalni postotak glasova koje politička stranka ili koalicija mora osigurati kako bi stekla mjesto u zakonodavnoj skupštini</w:t>
      </w:r>
      <w:r w:rsidR="007F7269">
        <w:t>;</w:t>
      </w:r>
    </w:p>
    <w:p w14:paraId="2A042832" w14:textId="77777777" w:rsidR="00D1668E" w:rsidRPr="00A04085" w:rsidRDefault="00D1668E" w:rsidP="00A04085">
      <w:pPr>
        <w:pStyle w:val="NormalHanging12a"/>
      </w:pPr>
      <w:r w:rsidRPr="00A04085">
        <w:t>J.</w:t>
      </w:r>
      <w:r w:rsidRPr="00A04085">
        <w:tab/>
        <w:t>budući da se Odlukom Vijeća (EU, Euratom) 2018/994</w:t>
      </w:r>
      <w:r w:rsidRPr="00A04085">
        <w:rPr>
          <w:rStyle w:val="FootnoteReference"/>
        </w:rPr>
        <w:footnoteReference w:id="8"/>
      </w:r>
      <w:r w:rsidRPr="00A04085">
        <w:t xml:space="preserve"> utvrđuje prag od 2 % do 5 % za države članice s izbornim jedinicama s više od 35 zastupničkih mjesta; budući da se izbornim pragovima mora postići ravnoteža između mogućnosti obnašanja vlasti i političkog pluralizma;</w:t>
      </w:r>
    </w:p>
    <w:p w14:paraId="7C86BFDB" w14:textId="77777777" w:rsidR="00D1668E" w:rsidRPr="00A04085" w:rsidRDefault="00D1668E" w:rsidP="00A04085">
      <w:pPr>
        <w:pStyle w:val="NormalHanging12a"/>
        <w:rPr>
          <w:bCs/>
          <w:iCs/>
        </w:rPr>
      </w:pPr>
      <w:r w:rsidRPr="00A04085">
        <w:t>K.</w:t>
      </w:r>
      <w:r w:rsidRPr="00A04085">
        <w:tab/>
        <w:t xml:space="preserve">budući da je došlo do kašnjenja u postupku ratifikacije reforme iz 2018., pri čemu nekoliko država članica nije dovršilo potrebne procedure ratifikacije na vrijeme prije europskih izbora 2024.; </w:t>
      </w:r>
    </w:p>
    <w:p w14:paraId="587B2F84" w14:textId="77777777" w:rsidR="00D1668E" w:rsidRPr="00A04085" w:rsidRDefault="00D1668E" w:rsidP="00A04085">
      <w:pPr>
        <w:pStyle w:val="NormalHanging12a"/>
        <w:rPr>
          <w:bCs/>
          <w:iCs/>
        </w:rPr>
      </w:pPr>
      <w:r w:rsidRPr="00A04085">
        <w:t>L.</w:t>
      </w:r>
      <w:r w:rsidRPr="00A04085">
        <w:tab/>
        <w:t xml:space="preserve">budući da svaki građanin EU-a ima jednaku mogućnost sudjelovanja u demokratskom procesu kako bi se zajamčio </w:t>
      </w:r>
      <w:proofErr w:type="spellStart"/>
      <w:r w:rsidRPr="00A04085">
        <w:t>uključiviji</w:t>
      </w:r>
      <w:proofErr w:type="spellEnd"/>
      <w:r w:rsidRPr="00A04085">
        <w:t xml:space="preserve"> izborni proces; budući da samo nekoliko zastupnika u Europskom parlamentu pripada nacionalnim i etničkim manjinama koje su službeno priznate kao manjine u dotičnim državama članicama u skladu s njihovim ustavnim ili pravnim okvirima i relevantnim instrumentima Vijeća Europe; budući da se u izvješću Venecijanske komisije i Vijeća za demokratske izbore od 15. ožujka 2005. o izbornim pravilima i pozitivnoj diskriminaciji za sudjelovanje nacionalnih manjina u postupcima donošenja odluka u europskim zemljama preporučuje niz mjera kako bi se osigurala pravedna zastupljenost manjina; </w:t>
      </w:r>
    </w:p>
    <w:p w14:paraId="08DAB7A5" w14:textId="77777777" w:rsidR="00D1668E" w:rsidRPr="00A04085" w:rsidRDefault="00D1668E" w:rsidP="00A04085">
      <w:pPr>
        <w:pStyle w:val="NormalHanging12a"/>
      </w:pPr>
      <w:r w:rsidRPr="00A04085">
        <w:t>M.</w:t>
      </w:r>
      <w:r w:rsidRPr="00A04085">
        <w:tab/>
        <w:t xml:space="preserve">budući da se reformom izbornog postupka na temelju članka 223. stavka 1. UFEU-a moraju u potpunosti poštovati načela supsidijarnosti i proporcionalnosti te ovlasti nacionalnih parlamenata u pogledu nadzora i ratifikacije; </w:t>
      </w:r>
    </w:p>
    <w:p w14:paraId="49C3DC81" w14:textId="77777777" w:rsidR="00D1668E" w:rsidRPr="00A04085" w:rsidRDefault="00D1668E" w:rsidP="00D1668E">
      <w:pPr>
        <w:pStyle w:val="Subheading"/>
      </w:pPr>
      <w:r w:rsidRPr="00A04085">
        <w:t>Glavni zaključci</w:t>
      </w:r>
    </w:p>
    <w:p w14:paraId="64564345" w14:textId="77777777" w:rsidR="00D1668E" w:rsidRPr="00A04085" w:rsidRDefault="00D1668E" w:rsidP="00A04085">
      <w:pPr>
        <w:pStyle w:val="NormalHanging12a"/>
      </w:pPr>
      <w:r w:rsidRPr="00A04085">
        <w:lastRenderedPageBreak/>
        <w:t>1.</w:t>
      </w:r>
      <w:r w:rsidRPr="00A04085">
        <w:tab/>
        <w:t xml:space="preserve">podsjeća da bi put prema europeizaciji nacionalnih izbornih pravila o izborima za Europski parlament trebalo dodatno ojačati, posebno u pogledu pristupačnosti za skupine u nepovoljnom položaju, zajedničkih rokova za finalizaciju izbornih lista, sprečavanja dvostrukog glasovanja i povećanja vidljivosti i uloge europskih političkih stranaka u izbornim procesima; podsjeća, međutim, da su mnoge postojeće odredbe trenutačnog Europskog izbornog akta provedene u svim državama članicama, i to sustav proporcionalne zastupljenosti, maksimalni izborni prag od 5 % i zabrana za zastupnike u Europskom parlamentu da imaju dvostruki mandat u nacionalnim parlamentima i Europskom parlamentu; međutim, smatra da stvaranje europskog „demosa” nije ni približno dovršeno i da je potrebno pojačati političke napore kako bi EU postao manje birokratski i više demokratski; </w:t>
      </w:r>
    </w:p>
    <w:p w14:paraId="5C5F8D99" w14:textId="77777777" w:rsidR="00D1668E" w:rsidRPr="00A04085" w:rsidRDefault="00D1668E" w:rsidP="00A04085">
      <w:pPr>
        <w:pStyle w:val="NormalHanging12a"/>
        <w:rPr>
          <w:bCs/>
          <w:iCs/>
        </w:rPr>
      </w:pPr>
      <w:r w:rsidRPr="00A04085">
        <w:t>2.</w:t>
      </w:r>
      <w:r w:rsidRPr="00A04085">
        <w:tab/>
        <w:t>ponavlja da se europski izbori i dalje uglavnom provode u okviru nacionalnih pravnih i institucionalnih okvira koji su osmišljeni u znatno različitoj fazi europske integracije; naglašava da ta pravila više ne odgovaraju pojačanoj ulozi i zakonodavnim ovlastima Europskog parlamenta, posebno od stupanja na snagu Ugovora iz Lisabona;</w:t>
      </w:r>
    </w:p>
    <w:p w14:paraId="58C81720" w14:textId="77777777" w:rsidR="00D1668E" w:rsidRPr="00A04085" w:rsidRDefault="00D1668E" w:rsidP="00A04085">
      <w:pPr>
        <w:pStyle w:val="NormalHanging12a"/>
      </w:pPr>
      <w:r w:rsidRPr="00A04085">
        <w:t>3.</w:t>
      </w:r>
      <w:r w:rsidRPr="00A04085">
        <w:tab/>
        <w:t xml:space="preserve">podsjeća da Odluka Vijeća (EU, Euratom) 2018/994 sadrži niz odredbi koje su države članice ili obvezne ili pozvane provesti; ističe da neke države članice nisu provele neobvezne mjere i da su neke obvezne mjere države članice različito provele, primjerice one koje se odnose na sprečavanje dvostrukog glasovanja; napominje da je većina odredbi utvrđenih u Odluci Vijeća (EU, Euratom) 2018/994 i dalje neobvezna; smatra da ograničeno prenošenje tih neobvezujućih odredbi pokazuje nedostatak političke volje da se prevlada nacionalni otpor i obveže na demokratski proces kojim se bolje odražava europska dimenzija; </w:t>
      </w:r>
    </w:p>
    <w:p w14:paraId="0F2BF9B9" w14:textId="77777777" w:rsidR="00D1668E" w:rsidRPr="00A04085" w:rsidRDefault="00D1668E" w:rsidP="00A04085">
      <w:pPr>
        <w:pStyle w:val="NormalHanging12a"/>
      </w:pPr>
      <w:r w:rsidRPr="00A04085">
        <w:t>4.</w:t>
      </w:r>
      <w:r w:rsidRPr="00A04085">
        <w:tab/>
        <w:t>podsjeća da se rokovi za konačno formiranje izbornih lista prije održavanja europskih izbora znatno razlikuju među državama članicama te se trenutno kreću između 21 i 90 dana, čime se kandidati i glasači diljem EU-a dovode u neravnopravan položaj kada je riječ o vremenu koje imaju za kampanju tj. za razmišljanje kome će dati svoj glas na izborima;</w:t>
      </w:r>
    </w:p>
    <w:p w14:paraId="2517F28B" w14:textId="77777777" w:rsidR="00D1668E" w:rsidRPr="00A04085" w:rsidRDefault="00D1668E" w:rsidP="00A04085">
      <w:pPr>
        <w:pStyle w:val="NormalHanging12a"/>
        <w:rPr>
          <w:bCs/>
          <w:iCs/>
        </w:rPr>
      </w:pPr>
      <w:r w:rsidRPr="00A04085">
        <w:t>5.</w:t>
      </w:r>
      <w:r w:rsidRPr="00A04085">
        <w:tab/>
        <w:t xml:space="preserve">ističe da je stvaranje europske javne sfere i političke rasprave koja nadilazi nacionalne granice, posebno u kontekstu europskih izbora, ključno za jačanje demokracije EU-a; ističe da su europske političke stranke ključan instrument za poticanje takve rasprave; smatra da bi svi glasački listići morali sadržavati imena kandidata i logotip europske političke stranke s kojom je nacionalna stranka povezana te da bi kandidati trebali imati odgovarajuću vidljivost na internetu, televizijskim i radijskim kampanjama, plakatima i drugim materijalima koji se koriste u kampanjama za europske izbore; smatra da su te mjere minimalni zahtjev za informiranje glasača o europskoj dimenziji njihova glasa i omogućivanje europskim političkim strankama da ispune svoju ulogu u skladu s člankom 10. stavkom 4. UEU-a; smatra da bi te mjere učinile europske izbore transparentnijima, spriječile svako narušavanje prava glasača da budu obaviješteni o postojanju koalicijskih sporazuma između političkih stranaka za izbore za Europski parlament i omogućile građanima da svjesno glasuju za političku stranku koja pripada njihovom preferiranom klubu zastupnika u Europskom parlamentu; žali zbog činjenice da se radi samo o neobveznoj mjeri u skladu s Odlukom Vijeća (EU, Euratom) 2018/994 i da dosad nije prenesena ni u jedno nacionalno zakonodavstvo; </w:t>
      </w:r>
    </w:p>
    <w:p w14:paraId="22C08B26" w14:textId="77777777" w:rsidR="00D1668E" w:rsidRPr="00A04085" w:rsidRDefault="00D1668E" w:rsidP="00A04085">
      <w:pPr>
        <w:pStyle w:val="NormalHanging12a"/>
        <w:rPr>
          <w:bCs/>
          <w:iCs/>
        </w:rPr>
      </w:pPr>
      <w:r w:rsidRPr="00A04085">
        <w:t>6.</w:t>
      </w:r>
      <w:r w:rsidRPr="00A04085">
        <w:tab/>
        <w:t xml:space="preserve">podsjeća na potrebu za daljnjim napretkom u povećanju </w:t>
      </w:r>
      <w:proofErr w:type="spellStart"/>
      <w:r w:rsidRPr="00A04085">
        <w:t>uključivosti</w:t>
      </w:r>
      <w:proofErr w:type="spellEnd"/>
      <w:r w:rsidRPr="00A04085">
        <w:t xml:space="preserve"> izbornog postupka kako bi se osiguralo da svi građani, bez obzira na njihove okolnosti, imaju jednaku </w:t>
      </w:r>
      <w:r w:rsidRPr="00A04085">
        <w:lastRenderedPageBreak/>
        <w:t xml:space="preserve">mogućnost sudjelovanja u demokratskom procesu; ističe da u nekim državama članicama nacionalna pravila ne dopuštaju biračima s invaliditetom da promijene dodijeljeno biračko mjesto na drugo koje bolje odgovara njihovim potrebama ili da pristupe izbornim informacijama u pristupačnim formatima; naglašava da su sve prepreke aktivnom i pasivnom biračkom pravu za osobe s invaliditetom nespojive s obvezama koje proizlaze iz Konvencije UN-a o pravima osoba s invaliditetom te bi ih trebalo ukloniti kako bi se svima zajamčila pristupačnost tijekom cijelog izbornog postupka; </w:t>
      </w:r>
    </w:p>
    <w:p w14:paraId="4FA703AD" w14:textId="77777777" w:rsidR="00D1668E" w:rsidRPr="00A04085" w:rsidRDefault="00D1668E" w:rsidP="00A04085">
      <w:pPr>
        <w:pStyle w:val="NormalHanging12a"/>
        <w:rPr>
          <w:bCs/>
          <w:iCs/>
        </w:rPr>
      </w:pPr>
      <w:r w:rsidRPr="00A04085">
        <w:t>7.</w:t>
      </w:r>
      <w:r w:rsidRPr="00A04085">
        <w:tab/>
        <w:t xml:space="preserve">napominje da su glasovanje poštom i njegova komplementarna sredstva predstavljeni u Odluci Vijeća (EU, Euratom) 2018/994 kao neobvezna mjera usmjerena na olakšavanje pristupačnosti za osobe s invaliditetom; ističe da, iako je taj cilj ključan, glasovanje poštom ima i širu ulogu u povećanju fleksibilnosti i </w:t>
      </w:r>
      <w:proofErr w:type="spellStart"/>
      <w:r w:rsidRPr="00A04085">
        <w:t>uključivosti</w:t>
      </w:r>
      <w:proofErr w:type="spellEnd"/>
      <w:r w:rsidRPr="00A04085">
        <w:t xml:space="preserve"> sudjelovanja u izborima; naglašava da bi ponuda glasovanja poštom kao zajamčena opcija u svim državama članicama koristila ne samo osobama s invaliditetom nego i građanima koji zbog izvanrednih okolnosti ne mogu osobno glasovati; smatra da bi se osiguravanjem šireg pristupa glasanju poštom povećalo sudjelovanje, posebno među mobilnim građanima EU-a i mlađim biračima, te bi se doprinijelo povećanju ukupnog odaziva birača;</w:t>
      </w:r>
    </w:p>
    <w:p w14:paraId="5544D9A4" w14:textId="77777777" w:rsidR="00D1668E" w:rsidRPr="00A04085" w:rsidRDefault="00D1668E" w:rsidP="00A04085">
      <w:pPr>
        <w:pStyle w:val="NormalHanging12a"/>
      </w:pPr>
      <w:r w:rsidRPr="00A04085">
        <w:t>8.</w:t>
      </w:r>
      <w:r w:rsidRPr="00A04085">
        <w:tab/>
        <w:t xml:space="preserve">podsjeća da situacija građana EU-a s dvojnim državljanstvom još nije riješena jer je moguće da je građanin EU-a s dvojnim državljanstvom automatski uključen u popis birača više od jedne države članice automatski, bez dostupnih načina za odjavu; napominje da se za građanina EU-a s dvojnim državljanstvom koji je automatski registriran na više biračkih popisa, ali koji glasuje samo u jednoj državi članici, kako se zahtijeva, može ipak smatrati da nije glasovao u drugoj državi članici te bi zbog toga mogao biti sankcioniran; </w:t>
      </w:r>
    </w:p>
    <w:p w14:paraId="4D5E4198" w14:textId="77777777" w:rsidR="00D1668E" w:rsidRPr="00A04085" w:rsidRDefault="00D1668E" w:rsidP="00A04085">
      <w:pPr>
        <w:pStyle w:val="NormalHanging12a"/>
        <w:rPr>
          <w:bCs/>
          <w:iCs/>
        </w:rPr>
      </w:pPr>
      <w:r w:rsidRPr="00A04085">
        <w:t>9.</w:t>
      </w:r>
      <w:r w:rsidRPr="00A04085">
        <w:tab/>
        <w:t xml:space="preserve">pozdravlja inicijativu Parlamenta da se izmjenom Europskog izbornog akta uvede sustav glasovanja preko opunomoćenika za slučajeve </w:t>
      </w:r>
      <w:proofErr w:type="spellStart"/>
      <w:r w:rsidRPr="00A04085">
        <w:t>rodiljnog</w:t>
      </w:r>
      <w:proofErr w:type="spellEnd"/>
      <w:r w:rsidRPr="00A04085">
        <w:t xml:space="preserve"> dopusta kao uravnoteženo i praktično rješenje za potporu zastupnicima u Europskom parlamentu uz istodobno osiguravanje kontinuiteta zastupljenosti; </w:t>
      </w:r>
    </w:p>
    <w:p w14:paraId="340735F7" w14:textId="77777777" w:rsidR="00D1668E" w:rsidRPr="00A04085" w:rsidRDefault="00D1668E" w:rsidP="00A04085">
      <w:pPr>
        <w:pStyle w:val="NormalHanging12a"/>
      </w:pPr>
      <w:r w:rsidRPr="00A04085">
        <w:t>10.</w:t>
      </w:r>
      <w:r w:rsidRPr="00A04085">
        <w:tab/>
        <w:t>naglašava da Odluka Vijeća (EU, Euratom) 2018/994 još nije na snazi jer je postupak ratifikacije u jednoj preostaloj državi članici još u tijeku; primjećuje da, iako je Njemačka ratificirala Odluku Vijeća (EU, Euratom) 2018/994, njemački izborni zakon o europskim izborima nije izmijenjen jer se, sve dok prag od 2 % nije obvezan prema pravu EU-a, ne može uvesti u njemačko pravo;</w:t>
      </w:r>
    </w:p>
    <w:p w14:paraId="13AE2517" w14:textId="77777777" w:rsidR="00D1668E" w:rsidRPr="00A04085" w:rsidRDefault="00D1668E" w:rsidP="00A04085">
      <w:pPr>
        <w:pStyle w:val="NormalHanging12a"/>
      </w:pPr>
      <w:r w:rsidRPr="00A04085">
        <w:t>11.</w:t>
      </w:r>
      <w:r w:rsidRPr="00A04085">
        <w:tab/>
        <w:t xml:space="preserve">prima na znanje ulogu Komisije kao posrednika u institucijskim pregovorima između Parlamenta i Vijeća o novom prijedlogu reforme Europskog izbornog akta; smatra da je ključno sudjelovati u konstruktivnom dijalogu s Vijećem kako bi se ocijenio prijedlog Parlamenta iz 2022. i ostvario napredak; ističe da nedostatak napretka nije posljedica tehničkih ili pravnih prepreka, već nedostatka političke volje među državama članicama da odgovore na prijedloge Parlamenta; uvjeren je da bi se ovim izvješćem bez odgode trebao dati novi poticaj pokretanju </w:t>
      </w:r>
      <w:proofErr w:type="spellStart"/>
      <w:r w:rsidRPr="00A04085">
        <w:t>međuinstitucijskih</w:t>
      </w:r>
      <w:proofErr w:type="spellEnd"/>
      <w:r w:rsidRPr="00A04085">
        <w:t xml:space="preserve"> pregovora o prijedlogu iz 2022. te potiče predstojeća predsjedništva Vijeća da ispune svoje obveze u skladu s načelom uzajamne i iskrene suradnje; </w:t>
      </w:r>
    </w:p>
    <w:p w14:paraId="1AD1AD76" w14:textId="77777777" w:rsidR="00D1668E" w:rsidRPr="00A04085" w:rsidRDefault="00D1668E" w:rsidP="00D1668E">
      <w:pPr>
        <w:pStyle w:val="Subheading"/>
      </w:pPr>
      <w:r w:rsidRPr="00A04085">
        <w:t>Preporuke</w:t>
      </w:r>
    </w:p>
    <w:p w14:paraId="78F853FE" w14:textId="77777777" w:rsidR="00D1668E" w:rsidRPr="00A04085" w:rsidRDefault="00D1668E" w:rsidP="00A04085">
      <w:pPr>
        <w:pStyle w:val="NormalHanging12a"/>
      </w:pPr>
      <w:r w:rsidRPr="00A04085">
        <w:lastRenderedPageBreak/>
        <w:t>12.</w:t>
      </w:r>
      <w:r w:rsidRPr="00A04085">
        <w:tab/>
        <w:t xml:space="preserve">smatra da su transparentnost izbornog postupka i pristup pouzdanim informacijama ključni čimbenici za podizanje europske političke svijesti i osiguravanje odaziva na izbore koji je dovoljno visok da bi predstavljao mandat od biračkog tijela; ističe da bi kandidati trebali imati iste prilike za vođenje kampanja te da bi se građani trebali dovoljno unaprijed informirati o kandidatima koji se kandidiraju na europskim izborima; stoga naglašava važnost usklađivanja rokova za podnošenje izbornih lista u svim državama članicama, kao što je Parlament zatražio u nekoliko navrata; </w:t>
      </w:r>
    </w:p>
    <w:p w14:paraId="69BB2617" w14:textId="77777777" w:rsidR="00D1668E" w:rsidRPr="00A04085" w:rsidRDefault="00D1668E" w:rsidP="00A04085">
      <w:pPr>
        <w:pStyle w:val="NormalHanging12a"/>
      </w:pPr>
      <w:r w:rsidRPr="00A04085">
        <w:t>13.</w:t>
      </w:r>
      <w:r w:rsidRPr="00A04085">
        <w:tab/>
        <w:t xml:space="preserve">naglašava da je ključno olakšati pristup glasovanju na europskim izborima i zajamčiti da svi koji imaju pravo glasa mogu ostvariti to pravo glasovanjem poštom ili drugim dodatnim sredstvima; poziva države članice da svim građanima osiguraju jednak pristup informacijama i izbornom procesu, uključujući osobe s invaliditetom, posebno ako javne strukture nisu u potpunosti pristupačne; nadalje, poziva države članice da zajamče aktivno i pasivno biračko pravo za osobe s invaliditetom utvrđivanjem odredbi kojima se usklađuje pristupačnost glasačkih objekata, biračkih mjesta, izbornih postupaka i izbornog materijala za osobe s invaliditetom te kojima im se omogućuje neovisno i tajno glasovanje; napominje da je odgovornost za reguliranje pristupačnosti i dalje u potpunosti na državama članicama i poziva ih da surađuju s organizacijama osoba s invaliditetom kako bi procijenile i uklonile pravne i praktične prepreke koje ih sprečavaju da sudjeluju na izborima, i kao glasači i kao kandidati; </w:t>
      </w:r>
    </w:p>
    <w:p w14:paraId="4BB13312" w14:textId="77777777" w:rsidR="00D1668E" w:rsidRPr="00A04085" w:rsidRDefault="00D1668E" w:rsidP="00A04085">
      <w:pPr>
        <w:pStyle w:val="NormalHanging12a"/>
      </w:pPr>
      <w:r w:rsidRPr="00A04085">
        <w:t>14.</w:t>
      </w:r>
      <w:r w:rsidRPr="00A04085">
        <w:tab/>
        <w:t xml:space="preserve">poziva sve države članice da provedu sve neobvezne mjere iz Odluke Vijeća (EU, Euratom) 2018/994, a posebno da povećaju vidljivost izbornih saveza na izborima za Europski parlament i pripadnost svake nacionalne političke formacije europskim političkim strankama, europskim udruženjima birača i drugim europskim izbornim subjektima putem medijskih kampanja te da osiguraju distribuciju jedinstvenih glasačkih listića koji jasno odražavaju europske saveze u svakoj državi članici i u svim preostalim izbornim materijalima; smatra da bi nacionalne stranke i udruženja birača trebali navesti, ako je primjenjivo, svoju pripadnost europskim političkim strankama ili drugim europskim izbornim subjektima tijekom izborne kampanje i na glasačkim listićima; </w:t>
      </w:r>
    </w:p>
    <w:p w14:paraId="680116E6" w14:textId="77777777" w:rsidR="00D1668E" w:rsidRPr="00A04085" w:rsidRDefault="00D1668E" w:rsidP="00A04085">
      <w:pPr>
        <w:pStyle w:val="NormalHanging12a"/>
        <w:rPr>
          <w:bCs/>
          <w:iCs/>
        </w:rPr>
      </w:pPr>
      <w:r w:rsidRPr="00A04085">
        <w:t>15.</w:t>
      </w:r>
      <w:r w:rsidRPr="00A04085">
        <w:tab/>
        <w:t xml:space="preserve">poziva sve države članice da poduzmu konkretne korake za usklađivanje uvjeta za kandidaturu kako bi se svim političkim akterima osigurao pravedan i jednak pristup izbornom postupku, u skladu s načelima poštenog tržišnog natjecanja i demokratskog pluralizma; </w:t>
      </w:r>
    </w:p>
    <w:p w14:paraId="0CD85BD6" w14:textId="77777777" w:rsidR="00D1668E" w:rsidRPr="00A04085" w:rsidRDefault="00D1668E" w:rsidP="00A04085">
      <w:pPr>
        <w:pStyle w:val="NormalHanging12a"/>
        <w:rPr>
          <w:bCs/>
          <w:iCs/>
        </w:rPr>
      </w:pPr>
      <w:r w:rsidRPr="00A04085">
        <w:t>16.</w:t>
      </w:r>
      <w:r w:rsidRPr="00A04085">
        <w:tab/>
        <w:t>ističe da je ratifikacija Odluke Vijeća (EU, Euratom) 2018/994 u svim državama članicama i dalje obvezna kako bi mogla stupiti na snagu; stoga poziva preostalu državu članicu da započne postupak ratifikacije;</w:t>
      </w:r>
    </w:p>
    <w:p w14:paraId="6347D1E5" w14:textId="77777777" w:rsidR="00D1668E" w:rsidRPr="00A04085" w:rsidRDefault="00D1668E" w:rsidP="00D1668E">
      <w:pPr>
        <w:pStyle w:val="NormalHanging12a"/>
        <w:jc w:val="center"/>
        <w:rPr>
          <w:bCs/>
          <w:iCs/>
        </w:rPr>
      </w:pPr>
      <w:r w:rsidRPr="00A04085">
        <w:t>°</w:t>
      </w:r>
    </w:p>
    <w:p w14:paraId="554C1E06" w14:textId="77777777" w:rsidR="00D1668E" w:rsidRPr="00A04085" w:rsidRDefault="00D1668E" w:rsidP="00D1668E">
      <w:pPr>
        <w:pStyle w:val="NormalHanging12a"/>
        <w:jc w:val="center"/>
        <w:rPr>
          <w:bCs/>
          <w:iCs/>
        </w:rPr>
      </w:pPr>
      <w:r w:rsidRPr="00A04085">
        <w:t>°</w:t>
      </w:r>
      <w:r w:rsidRPr="00A04085">
        <w:tab/>
      </w:r>
      <w:r w:rsidRPr="00A04085">
        <w:tab/>
        <w:t>°</w:t>
      </w:r>
    </w:p>
    <w:p w14:paraId="4CEE5E91" w14:textId="4FA1A93B" w:rsidR="00E365E1" w:rsidRPr="00A04085" w:rsidRDefault="00D1668E" w:rsidP="00A04085">
      <w:pPr>
        <w:ind w:left="567" w:hanging="567"/>
      </w:pPr>
      <w:r w:rsidRPr="00A04085">
        <w:t>17.</w:t>
      </w:r>
      <w:r w:rsidRPr="00A04085">
        <w:tab/>
        <w:t>nalaže svojoj predsjednici da ovu Rezoluciju proslijedi Vijeću i Komisiji.</w:t>
      </w:r>
    </w:p>
    <w:sectPr w:rsidR="00E365E1" w:rsidRPr="00A04085" w:rsidSect="005709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C57C1" w14:textId="77777777" w:rsidR="004077E6" w:rsidRPr="005709D5" w:rsidRDefault="004077E6">
      <w:r w:rsidRPr="005709D5">
        <w:separator/>
      </w:r>
    </w:p>
  </w:endnote>
  <w:endnote w:type="continuationSeparator" w:id="0">
    <w:p w14:paraId="71529C6F" w14:textId="77777777" w:rsidR="004077E6" w:rsidRPr="005709D5" w:rsidRDefault="004077E6">
      <w:r w:rsidRPr="005709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0D252" w14:textId="77777777" w:rsidR="00064002" w:rsidRPr="005709D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2F416" w14:textId="77777777" w:rsidR="00064002" w:rsidRPr="005709D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4D6B7" w14:textId="77777777" w:rsidR="00064002" w:rsidRPr="005709D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9EAF0" w14:textId="77777777" w:rsidR="004077E6" w:rsidRPr="005709D5" w:rsidRDefault="004077E6">
      <w:r w:rsidRPr="005709D5">
        <w:separator/>
      </w:r>
    </w:p>
  </w:footnote>
  <w:footnote w:type="continuationSeparator" w:id="0">
    <w:p w14:paraId="7A7BD93E" w14:textId="77777777" w:rsidR="004077E6" w:rsidRPr="005709D5" w:rsidRDefault="004077E6">
      <w:r w:rsidRPr="005709D5">
        <w:continuationSeparator/>
      </w:r>
    </w:p>
  </w:footnote>
  <w:footnote w:id="1">
    <w:p w14:paraId="084A6A69" w14:textId="7A5CD426" w:rsidR="00D1668E" w:rsidRPr="005709D5" w:rsidRDefault="00D1668E" w:rsidP="005709D5">
      <w:pPr>
        <w:pStyle w:val="FootnoteText"/>
        <w:ind w:left="567" w:hanging="567"/>
        <w:rPr>
          <w:sz w:val="24"/>
          <w:lang w:val="hr-HR"/>
        </w:rPr>
      </w:pPr>
      <w:r w:rsidRPr="005709D5">
        <w:rPr>
          <w:rStyle w:val="FootnoteReference"/>
          <w:sz w:val="24"/>
          <w:lang w:val="hr-HR"/>
        </w:rPr>
        <w:footnoteRef/>
      </w:r>
      <w:r w:rsidR="005709D5" w:rsidRPr="005709D5">
        <w:rPr>
          <w:sz w:val="24"/>
          <w:lang w:val="hr-HR"/>
        </w:rPr>
        <w:t xml:space="preserve"> </w:t>
      </w:r>
      <w:r w:rsidR="005709D5" w:rsidRPr="005709D5">
        <w:rPr>
          <w:sz w:val="24"/>
          <w:lang w:val="hr-HR"/>
        </w:rPr>
        <w:tab/>
      </w:r>
      <w:r w:rsidRPr="005709D5">
        <w:rPr>
          <w:sz w:val="24"/>
          <w:lang w:val="hr-HR"/>
        </w:rPr>
        <w:t xml:space="preserve">SL L 278, 8.10.1976., str. 5., ELI: </w:t>
      </w:r>
      <w:hyperlink r:id="rId1" w:history="1">
        <w:r w:rsidRPr="005709D5">
          <w:rPr>
            <w:rStyle w:val="Hyperlink"/>
            <w:sz w:val="24"/>
            <w:lang w:val="hr-HR"/>
          </w:rPr>
          <w:t>http://data.europa.eu/eli/dec/1976/787(2)/oj</w:t>
        </w:r>
      </w:hyperlink>
      <w:r w:rsidRPr="005709D5">
        <w:rPr>
          <w:sz w:val="24"/>
          <w:lang w:val="hr-HR"/>
        </w:rPr>
        <w:t>.</w:t>
      </w:r>
    </w:p>
  </w:footnote>
  <w:footnote w:id="2">
    <w:p w14:paraId="29E103FB" w14:textId="7B0126A1" w:rsidR="00D1668E" w:rsidRPr="005709D5" w:rsidRDefault="00D1668E" w:rsidP="005709D5">
      <w:pPr>
        <w:pStyle w:val="FootnoteText"/>
        <w:ind w:left="567" w:hanging="567"/>
        <w:rPr>
          <w:sz w:val="24"/>
          <w:lang w:val="hr-HR"/>
        </w:rPr>
      </w:pPr>
      <w:r w:rsidRPr="005709D5">
        <w:rPr>
          <w:rStyle w:val="FootnoteReference"/>
          <w:sz w:val="24"/>
          <w:lang w:val="hr-HR"/>
        </w:rPr>
        <w:footnoteRef/>
      </w:r>
      <w:r w:rsidR="005709D5" w:rsidRPr="005709D5">
        <w:rPr>
          <w:sz w:val="24"/>
          <w:lang w:val="hr-HR"/>
        </w:rPr>
        <w:t xml:space="preserve"> </w:t>
      </w:r>
      <w:r w:rsidR="005709D5" w:rsidRPr="005709D5">
        <w:rPr>
          <w:sz w:val="24"/>
          <w:lang w:val="hr-HR"/>
        </w:rPr>
        <w:tab/>
      </w:r>
      <w:r w:rsidRPr="005709D5">
        <w:rPr>
          <w:sz w:val="24"/>
          <w:lang w:val="hr-HR"/>
        </w:rPr>
        <w:t xml:space="preserve">76/787/EZUČ, EEZ, Euratom: Odluka predstavnika država članica koji su se sastali u Vijeću u vezi s Aktom o izboru predstavnika u Skupštini neposrednim općim izborima (SL L 278, 8.10.1976., str. 1., ELI: </w:t>
      </w:r>
      <w:r>
        <w:fldChar w:fldCharType="begin"/>
      </w:r>
      <w:r w:rsidRPr="00363EDF">
        <w:rPr>
          <w:lang w:val="hr-HR"/>
        </w:rPr>
        <w:instrText>HYPERLINK "http://data.europa.eu/eli/dec/1976/787(1)/oj"</w:instrText>
      </w:r>
      <w:r>
        <w:fldChar w:fldCharType="separate"/>
      </w:r>
      <w:r w:rsidRPr="005709D5">
        <w:rPr>
          <w:rStyle w:val="Hyperlink"/>
          <w:sz w:val="24"/>
          <w:lang w:val="hr-HR"/>
        </w:rPr>
        <w:t>http://data.europa.eu/eli/dec/1976/787(1)/oj</w:t>
      </w:r>
      <w:r>
        <w:fldChar w:fldCharType="end"/>
      </w:r>
      <w:r w:rsidRPr="005709D5">
        <w:rPr>
          <w:sz w:val="24"/>
          <w:lang w:val="hr-HR"/>
        </w:rPr>
        <w:t>).</w:t>
      </w:r>
    </w:p>
  </w:footnote>
  <w:footnote w:id="3">
    <w:p w14:paraId="386272C0" w14:textId="426FA16E" w:rsidR="00D1668E" w:rsidRPr="005709D5" w:rsidRDefault="00D1668E" w:rsidP="005709D5">
      <w:pPr>
        <w:pStyle w:val="FootnoteText"/>
        <w:ind w:left="567" w:hanging="567"/>
        <w:rPr>
          <w:sz w:val="24"/>
          <w:lang w:val="hr-HR"/>
        </w:rPr>
      </w:pPr>
      <w:r w:rsidRPr="005709D5">
        <w:rPr>
          <w:rStyle w:val="FootnoteReference"/>
          <w:sz w:val="24"/>
          <w:lang w:val="hr-HR"/>
        </w:rPr>
        <w:footnoteRef/>
      </w:r>
      <w:r w:rsidR="005709D5" w:rsidRPr="005709D5">
        <w:rPr>
          <w:sz w:val="24"/>
          <w:lang w:val="hr-HR"/>
        </w:rPr>
        <w:t xml:space="preserve"> </w:t>
      </w:r>
      <w:r w:rsidR="005709D5" w:rsidRPr="005709D5">
        <w:rPr>
          <w:sz w:val="24"/>
          <w:lang w:val="hr-HR"/>
        </w:rPr>
        <w:tab/>
      </w:r>
      <w:r w:rsidRPr="005709D5">
        <w:rPr>
          <w:sz w:val="24"/>
          <w:lang w:val="hr-HR"/>
        </w:rPr>
        <w:t xml:space="preserve">SL L 304, 20.11.2010., str. 47., ELI: </w:t>
      </w:r>
      <w:r>
        <w:fldChar w:fldCharType="begin"/>
      </w:r>
      <w:r w:rsidRPr="00363EDF">
        <w:rPr>
          <w:lang w:val="fi-FI"/>
        </w:rPr>
        <w:instrText>HYPERLINK "http://data.europa.eu/eli/agree_interinstit/2010/1120/oj"</w:instrText>
      </w:r>
      <w:r>
        <w:fldChar w:fldCharType="separate"/>
      </w:r>
      <w:r w:rsidRPr="005709D5">
        <w:rPr>
          <w:rStyle w:val="Hyperlink"/>
          <w:sz w:val="24"/>
          <w:lang w:val="hr-HR"/>
        </w:rPr>
        <w:t>http://data.europa.eu/eli/agree_interinstit/2010/1120/oj</w:t>
      </w:r>
      <w:r>
        <w:fldChar w:fldCharType="end"/>
      </w:r>
      <w:r w:rsidRPr="005709D5">
        <w:rPr>
          <w:sz w:val="24"/>
          <w:lang w:val="hr-HR"/>
        </w:rPr>
        <w:t>.</w:t>
      </w:r>
    </w:p>
  </w:footnote>
  <w:footnote w:id="4">
    <w:p w14:paraId="33D8FCED" w14:textId="3CD81494" w:rsidR="00D1668E" w:rsidRPr="005709D5" w:rsidRDefault="00D1668E" w:rsidP="005709D5">
      <w:pPr>
        <w:pStyle w:val="FootnoteText"/>
        <w:ind w:left="567" w:hanging="567"/>
        <w:rPr>
          <w:sz w:val="24"/>
          <w:lang w:val="hr-HR"/>
        </w:rPr>
      </w:pPr>
      <w:r w:rsidRPr="005709D5">
        <w:rPr>
          <w:rStyle w:val="FootnoteReference"/>
          <w:sz w:val="24"/>
          <w:lang w:val="hr-HR"/>
        </w:rPr>
        <w:footnoteRef/>
      </w:r>
      <w:r w:rsidR="005709D5" w:rsidRPr="005709D5">
        <w:rPr>
          <w:sz w:val="24"/>
          <w:lang w:val="hr-HR"/>
        </w:rPr>
        <w:t xml:space="preserve"> </w:t>
      </w:r>
      <w:r w:rsidR="005709D5" w:rsidRPr="005709D5">
        <w:rPr>
          <w:sz w:val="24"/>
          <w:lang w:val="hr-HR"/>
        </w:rPr>
        <w:tab/>
      </w:r>
      <w:r w:rsidRPr="007F7269">
        <w:rPr>
          <w:sz w:val="24"/>
          <w:lang w:val="hr-HR"/>
        </w:rPr>
        <w:t>SL C 366, 27.10.2017., str. 7.</w:t>
      </w:r>
    </w:p>
  </w:footnote>
  <w:footnote w:id="5">
    <w:p w14:paraId="266BED63" w14:textId="49361C52" w:rsidR="00D1668E" w:rsidRPr="005709D5" w:rsidRDefault="00D1668E" w:rsidP="005709D5">
      <w:pPr>
        <w:pStyle w:val="FootnoteText"/>
        <w:ind w:left="567" w:hanging="567"/>
        <w:rPr>
          <w:sz w:val="24"/>
          <w:lang w:val="hr-HR"/>
        </w:rPr>
      </w:pPr>
      <w:r w:rsidRPr="005709D5">
        <w:rPr>
          <w:rStyle w:val="FootnoteReference"/>
          <w:sz w:val="24"/>
          <w:lang w:val="hr-HR"/>
        </w:rPr>
        <w:footnoteRef/>
      </w:r>
      <w:r w:rsidR="005709D5" w:rsidRPr="005709D5">
        <w:rPr>
          <w:sz w:val="24"/>
          <w:lang w:val="hr-HR"/>
        </w:rPr>
        <w:t xml:space="preserve"> </w:t>
      </w:r>
      <w:r w:rsidR="005709D5" w:rsidRPr="005709D5">
        <w:rPr>
          <w:sz w:val="24"/>
          <w:lang w:val="hr-HR"/>
        </w:rPr>
        <w:tab/>
      </w:r>
      <w:r w:rsidRPr="007F7269">
        <w:rPr>
          <w:sz w:val="24"/>
          <w:lang w:val="hr-HR"/>
        </w:rPr>
        <w:t>SL C 465, 6.12.2022., str. 171.</w:t>
      </w:r>
    </w:p>
  </w:footnote>
  <w:footnote w:id="6">
    <w:p w14:paraId="157EA7EA" w14:textId="6BF89343" w:rsidR="00D1668E" w:rsidRPr="005709D5" w:rsidRDefault="00D1668E" w:rsidP="005709D5">
      <w:pPr>
        <w:pStyle w:val="FootnoteText"/>
        <w:ind w:left="567" w:hanging="567"/>
        <w:rPr>
          <w:sz w:val="24"/>
          <w:lang w:val="hr-HR"/>
        </w:rPr>
      </w:pPr>
      <w:r w:rsidRPr="005709D5">
        <w:rPr>
          <w:rStyle w:val="FootnoteReference"/>
          <w:sz w:val="24"/>
          <w:lang w:val="hr-HR"/>
        </w:rPr>
        <w:footnoteRef/>
      </w:r>
      <w:r w:rsidR="005709D5" w:rsidRPr="005709D5">
        <w:rPr>
          <w:sz w:val="24"/>
          <w:lang w:val="hr-HR"/>
        </w:rPr>
        <w:t xml:space="preserve"> </w:t>
      </w:r>
      <w:r w:rsidR="005709D5" w:rsidRPr="005709D5">
        <w:rPr>
          <w:sz w:val="24"/>
          <w:lang w:val="hr-HR"/>
        </w:rPr>
        <w:tab/>
      </w:r>
      <w:r w:rsidRPr="005709D5">
        <w:rPr>
          <w:sz w:val="24"/>
          <w:lang w:val="hr-HR"/>
        </w:rPr>
        <w:t xml:space="preserve">SL L 178, 16.7.2018., str. 1., ELI: </w:t>
      </w:r>
      <w:r>
        <w:fldChar w:fldCharType="begin"/>
      </w:r>
      <w:r w:rsidRPr="00363EDF">
        <w:rPr>
          <w:lang w:val="hr-HR"/>
        </w:rPr>
        <w:instrText>HYPERLINK "http://data.europa.eu/eli/dec/2018/994/oj"</w:instrText>
      </w:r>
      <w:r>
        <w:fldChar w:fldCharType="separate"/>
      </w:r>
      <w:r w:rsidRPr="005709D5">
        <w:rPr>
          <w:rStyle w:val="Hyperlink"/>
          <w:sz w:val="24"/>
          <w:lang w:val="hr-HR"/>
        </w:rPr>
        <w:t>http://data.europa.eu/eli/dec/2018/994/oj</w:t>
      </w:r>
      <w:r>
        <w:fldChar w:fldCharType="end"/>
      </w:r>
      <w:r w:rsidRPr="005709D5">
        <w:rPr>
          <w:sz w:val="24"/>
          <w:lang w:val="hr-HR"/>
        </w:rPr>
        <w:t>.</w:t>
      </w:r>
    </w:p>
  </w:footnote>
  <w:footnote w:id="7">
    <w:p w14:paraId="36FC7148" w14:textId="5286F7A8" w:rsidR="00D1668E" w:rsidRPr="005709D5" w:rsidRDefault="00D1668E" w:rsidP="005709D5">
      <w:pPr>
        <w:pStyle w:val="FootnoteText"/>
        <w:ind w:left="567" w:hanging="567"/>
        <w:rPr>
          <w:sz w:val="24"/>
          <w:lang w:val="hr-HR"/>
        </w:rPr>
      </w:pPr>
      <w:r w:rsidRPr="005709D5">
        <w:rPr>
          <w:rStyle w:val="FootnoteReference"/>
          <w:sz w:val="24"/>
          <w:lang w:val="hr-HR"/>
        </w:rPr>
        <w:footnoteRef/>
      </w:r>
      <w:r w:rsidR="005709D5" w:rsidRPr="005709D5">
        <w:rPr>
          <w:sz w:val="24"/>
          <w:lang w:val="hr-HR"/>
        </w:rPr>
        <w:t xml:space="preserve"> </w:t>
      </w:r>
      <w:r w:rsidR="005709D5" w:rsidRPr="005709D5">
        <w:rPr>
          <w:sz w:val="24"/>
          <w:lang w:val="hr-HR"/>
        </w:rPr>
        <w:tab/>
      </w:r>
      <w:r w:rsidRPr="005709D5">
        <w:rPr>
          <w:sz w:val="24"/>
          <w:lang w:val="hr-HR"/>
        </w:rPr>
        <w:t xml:space="preserve">Uredba (EU, Euratom) br. 1141/2014 Europskog parlamenta i Vijeća od 22. listopada 2014. o statutu i financiranju europskih političkih stranaka i europskih političkih zaklada (SL L 317, 4.11.2014., str. 1., ELI: </w:t>
      </w:r>
      <w:r>
        <w:fldChar w:fldCharType="begin"/>
      </w:r>
      <w:r w:rsidRPr="00363EDF">
        <w:rPr>
          <w:lang w:val="hr-HR"/>
        </w:rPr>
        <w:instrText>HYPERLINK "http://data.europa.eu/eli/reg/2014/1141/oj"</w:instrText>
      </w:r>
      <w:r>
        <w:fldChar w:fldCharType="separate"/>
      </w:r>
      <w:r w:rsidRPr="005709D5">
        <w:rPr>
          <w:rStyle w:val="Hyperlink"/>
          <w:sz w:val="24"/>
          <w:lang w:val="hr-HR"/>
        </w:rPr>
        <w:t>http://data.europa.eu/eli/reg/2014/1141/oj</w:t>
      </w:r>
      <w:r>
        <w:fldChar w:fldCharType="end"/>
      </w:r>
      <w:r w:rsidRPr="005709D5">
        <w:rPr>
          <w:sz w:val="24"/>
          <w:lang w:val="hr-HR"/>
        </w:rPr>
        <w:t xml:space="preserve">). </w:t>
      </w:r>
    </w:p>
  </w:footnote>
  <w:footnote w:id="8">
    <w:p w14:paraId="0D92B69E" w14:textId="594BD61E" w:rsidR="00D1668E" w:rsidRPr="005709D5" w:rsidRDefault="00D1668E" w:rsidP="005709D5">
      <w:pPr>
        <w:pStyle w:val="FootnoteText"/>
        <w:ind w:left="567" w:hanging="567"/>
        <w:rPr>
          <w:sz w:val="24"/>
          <w:lang w:val="hr-HR"/>
        </w:rPr>
      </w:pPr>
      <w:r w:rsidRPr="005709D5">
        <w:rPr>
          <w:rStyle w:val="FootnoteReference"/>
          <w:sz w:val="24"/>
          <w:lang w:val="hr-HR"/>
        </w:rPr>
        <w:footnoteRef/>
      </w:r>
      <w:r w:rsidR="005709D5" w:rsidRPr="005709D5">
        <w:rPr>
          <w:sz w:val="24"/>
          <w:lang w:val="hr-HR"/>
        </w:rPr>
        <w:t xml:space="preserve"> </w:t>
      </w:r>
      <w:r w:rsidR="005709D5" w:rsidRPr="005709D5">
        <w:rPr>
          <w:sz w:val="24"/>
          <w:lang w:val="hr-HR"/>
        </w:rPr>
        <w:tab/>
      </w:r>
      <w:r w:rsidRPr="005709D5">
        <w:rPr>
          <w:sz w:val="24"/>
          <w:lang w:val="hr-HR"/>
        </w:rPr>
        <w:t>Odluka Vijeća (EU, Euratom) 2018/994 od 13. srpnja 2018. o izmjeni Akta o izboru članova Europskog parlamenta neposrednim općim izborima, priloženog Odluci Vijeća 76/787/EZUČ, EEZ, Euratom od 20. rujna 1976. (SL L 178, 16.7.2018., str. 1., ELI: </w:t>
      </w:r>
      <w:hyperlink r:id="rId2" w:tooltip="Poveznica ELI URI za pristup dokumentu." w:history="1">
        <w:r w:rsidRPr="005709D5">
          <w:rPr>
            <w:rStyle w:val="Hyperlink"/>
            <w:sz w:val="24"/>
            <w:lang w:val="hr-HR"/>
          </w:rPr>
          <w:t>http://data.europa.eu/eli/dec/2018/994/oj</w:t>
        </w:r>
      </w:hyperlink>
      <w:r w:rsidRPr="005709D5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D777C" w14:textId="77777777" w:rsidR="00064002" w:rsidRPr="005709D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985AF" w14:textId="77777777" w:rsidR="00064002" w:rsidRPr="005709D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3C21C" w14:textId="77777777" w:rsidR="00064002" w:rsidRPr="005709D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7499979">
    <w:abstractNumId w:val="9"/>
  </w:num>
  <w:num w:numId="2" w16cid:durableId="1527329914">
    <w:abstractNumId w:val="9"/>
  </w:num>
  <w:num w:numId="3" w16cid:durableId="1527451659">
    <w:abstractNumId w:val="7"/>
  </w:num>
  <w:num w:numId="4" w16cid:durableId="1879735830">
    <w:abstractNumId w:val="7"/>
  </w:num>
  <w:num w:numId="5" w16cid:durableId="1157839130">
    <w:abstractNumId w:val="6"/>
  </w:num>
  <w:num w:numId="6" w16cid:durableId="1836069624">
    <w:abstractNumId w:val="6"/>
  </w:num>
  <w:num w:numId="7" w16cid:durableId="1386100612">
    <w:abstractNumId w:val="5"/>
  </w:num>
  <w:num w:numId="8" w16cid:durableId="897595924">
    <w:abstractNumId w:val="5"/>
  </w:num>
  <w:num w:numId="9" w16cid:durableId="631516039">
    <w:abstractNumId w:val="4"/>
  </w:num>
  <w:num w:numId="10" w16cid:durableId="946931319">
    <w:abstractNumId w:val="4"/>
  </w:num>
  <w:num w:numId="11" w16cid:durableId="859243873">
    <w:abstractNumId w:val="8"/>
  </w:num>
  <w:num w:numId="12" w16cid:durableId="660887662">
    <w:abstractNumId w:val="8"/>
  </w:num>
  <w:num w:numId="13" w16cid:durableId="1561673345">
    <w:abstractNumId w:val="3"/>
  </w:num>
  <w:num w:numId="14" w16cid:durableId="874656626">
    <w:abstractNumId w:val="3"/>
  </w:num>
  <w:num w:numId="15" w16cid:durableId="2046321317">
    <w:abstractNumId w:val="2"/>
  </w:num>
  <w:num w:numId="16" w16cid:durableId="1479958592">
    <w:abstractNumId w:val="2"/>
  </w:num>
  <w:num w:numId="17" w16cid:durableId="117770019">
    <w:abstractNumId w:val="1"/>
  </w:num>
  <w:num w:numId="18" w16cid:durableId="2099280103">
    <w:abstractNumId w:val="1"/>
  </w:num>
  <w:num w:numId="19" w16cid:durableId="518927856">
    <w:abstractNumId w:val="0"/>
  </w:num>
  <w:num w:numId="20" w16cid:durableId="1304434205">
    <w:abstractNumId w:val="0"/>
  </w:num>
  <w:num w:numId="21" w16cid:durableId="341205381">
    <w:abstractNumId w:val="9"/>
  </w:num>
  <w:num w:numId="22" w16cid:durableId="1878349678">
    <w:abstractNumId w:val="7"/>
  </w:num>
  <w:num w:numId="23" w16cid:durableId="225117346">
    <w:abstractNumId w:val="6"/>
  </w:num>
  <w:num w:numId="24" w16cid:durableId="89008496">
    <w:abstractNumId w:val="5"/>
  </w:num>
  <w:num w:numId="25" w16cid:durableId="1976794209">
    <w:abstractNumId w:val="4"/>
  </w:num>
  <w:num w:numId="26" w16cid:durableId="739131911">
    <w:abstractNumId w:val="8"/>
  </w:num>
  <w:num w:numId="27" w16cid:durableId="2068605350">
    <w:abstractNumId w:val="3"/>
  </w:num>
  <w:num w:numId="28" w16cid:durableId="1447314298">
    <w:abstractNumId w:val="2"/>
  </w:num>
  <w:num w:numId="29" w16cid:durableId="2132629716">
    <w:abstractNumId w:val="1"/>
  </w:num>
  <w:num w:numId="30" w16cid:durableId="2072268662">
    <w:abstractNumId w:val="0"/>
  </w:num>
  <w:num w:numId="31" w16cid:durableId="917373148">
    <w:abstractNumId w:val="9"/>
  </w:num>
  <w:num w:numId="32" w16cid:durableId="440228424">
    <w:abstractNumId w:val="7"/>
  </w:num>
  <w:num w:numId="33" w16cid:durableId="568729696">
    <w:abstractNumId w:val="6"/>
  </w:num>
  <w:num w:numId="34" w16cid:durableId="1185097152">
    <w:abstractNumId w:val="5"/>
  </w:num>
  <w:num w:numId="35" w16cid:durableId="442963125">
    <w:abstractNumId w:val="4"/>
  </w:num>
  <w:num w:numId="36" w16cid:durableId="2049523459">
    <w:abstractNumId w:val="8"/>
  </w:num>
  <w:num w:numId="37" w16cid:durableId="213388909">
    <w:abstractNumId w:val="3"/>
  </w:num>
  <w:num w:numId="38" w16cid:durableId="1812021441">
    <w:abstractNumId w:val="2"/>
  </w:num>
  <w:num w:numId="39" w16cid:durableId="1413507422">
    <w:abstractNumId w:val="1"/>
  </w:num>
  <w:num w:numId="40" w16cid:durableId="1465583875">
    <w:abstractNumId w:val="0"/>
  </w:num>
  <w:num w:numId="41" w16cid:durableId="1139615510">
    <w:abstractNumId w:val="10"/>
  </w:num>
  <w:num w:numId="42" w16cid:durableId="1614168648">
    <w:abstractNumId w:val="10"/>
  </w:num>
  <w:num w:numId="43" w16cid:durableId="662590633">
    <w:abstractNumId w:val="10"/>
  </w:num>
  <w:num w:numId="44" w16cid:durableId="9997681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2/2025"/>
    <w:docVar w:name="dvlangue" w:val="HR"/>
    <w:docVar w:name="dvnumam" w:val="0"/>
    <w:docVar w:name="dvpe" w:val="767.970"/>
    <w:docVar w:name="dvrapporteur" w:val="Izvjestitelj: "/>
    <w:docVar w:name="dvtitre" w:val="Rezolucija Europskog parlamenta od .... 2026. o reformi Europskog izbornog akta – prepreke ratifikaciji i provedbi u državama članicama(2025/2028(INI))"/>
  </w:docVars>
  <w:rsids>
    <w:rsidRoot w:val="004077E6"/>
    <w:rsid w:val="00002272"/>
    <w:rsid w:val="00023E7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6C32"/>
    <w:rsid w:val="002767FF"/>
    <w:rsid w:val="002B18FE"/>
    <w:rsid w:val="002B5493"/>
    <w:rsid w:val="00343214"/>
    <w:rsid w:val="00361C00"/>
    <w:rsid w:val="00363EDF"/>
    <w:rsid w:val="00395FA1"/>
    <w:rsid w:val="003E15D4"/>
    <w:rsid w:val="004077E6"/>
    <w:rsid w:val="00411CCE"/>
    <w:rsid w:val="0041666E"/>
    <w:rsid w:val="00421060"/>
    <w:rsid w:val="0044401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654"/>
    <w:rsid w:val="00560270"/>
    <w:rsid w:val="005709D5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5573"/>
    <w:rsid w:val="00786EC0"/>
    <w:rsid w:val="007D1690"/>
    <w:rsid w:val="007E22AD"/>
    <w:rsid w:val="007F726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408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948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668E"/>
    <w:rsid w:val="00D20722"/>
    <w:rsid w:val="00D333B9"/>
    <w:rsid w:val="00D56C11"/>
    <w:rsid w:val="00D834A0"/>
    <w:rsid w:val="00D872DF"/>
    <w:rsid w:val="00D91E21"/>
    <w:rsid w:val="00DA7FCD"/>
    <w:rsid w:val="00E3539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92E39A"/>
  <w15:chartTrackingRefBased/>
  <w15:docId w15:val="{E4F9F191-9D06-42A6-B31D-82469D898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1668E"/>
    <w:pPr>
      <w:spacing w:after="240"/>
      <w:ind w:left="567" w:hanging="567"/>
    </w:pPr>
  </w:style>
  <w:style w:type="paragraph" w:customStyle="1" w:styleId="Subheading">
    <w:name w:val="Subheading"/>
    <w:basedOn w:val="Normal"/>
    <w:rsid w:val="00D1668E"/>
    <w:pPr>
      <w:spacing w:before="480" w:after="240"/>
    </w:pPr>
    <w:rPr>
      <w:b/>
      <w:i/>
    </w:rPr>
  </w:style>
  <w:style w:type="paragraph" w:customStyle="1" w:styleId="EPComma">
    <w:name w:val="EPComma"/>
    <w:basedOn w:val="Normal"/>
    <w:rsid w:val="00D1668E"/>
    <w:pPr>
      <w:spacing w:before="480" w:after="240"/>
    </w:pPr>
  </w:style>
  <w:style w:type="character" w:styleId="Hyperlink">
    <w:name w:val="Hyperlink"/>
    <w:basedOn w:val="DefaultParagraphFont"/>
    <w:rsid w:val="00D1668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F7269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dec/2018/994/oj" TargetMode="External"/><Relationship Id="rId1" Type="http://schemas.openxmlformats.org/officeDocument/2006/relationships/hyperlink" Target="http://data.europa.eu/eli/dec/1976/787(2)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2392</Words>
  <Characters>14452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2026-04-16T10:34:00Z</dcterms:created>
  <dcterms:modified xsi:type="dcterms:W3CDTF">2026-04-16T10:34:00Z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P10_TA(2026)0006_</vt:lpwstr>
  </property>
  <property fmtid="{D5CDD505-2E9C-101B-9397-08002B2CF9AE}" pid="4" name="&lt;Type&gt;">
    <vt:lpwstr>RR</vt:lpwstr>
  </property>
</Properties>
</file>