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7A6A" w14:paraId="72E431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AC58E1" w14:textId="77777777" w:rsidR="00751A4A" w:rsidRPr="005E7A6A" w:rsidRDefault="003C1A82" w:rsidP="0010095E">
            <w:pPr>
              <w:pStyle w:val="EPName"/>
            </w:pPr>
            <w:r w:rsidRPr="005E7A6A">
              <w:t>Parlament Ewropew</w:t>
            </w:r>
          </w:p>
          <w:p w14:paraId="07DA933F" w14:textId="77777777" w:rsidR="00751A4A" w:rsidRPr="005E7A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7A6A">
              <w:t>2024</w:t>
            </w:r>
            <w:r w:rsidR="00817416" w:rsidRPr="005E7A6A">
              <w:t>-202</w:t>
            </w:r>
            <w:r w:rsidRPr="005E7A6A">
              <w:t>9</w:t>
            </w:r>
          </w:p>
        </w:tc>
        <w:tc>
          <w:tcPr>
            <w:tcW w:w="2268" w:type="dxa"/>
            <w:shd w:val="clear" w:color="auto" w:fill="auto"/>
          </w:tcPr>
          <w:p w14:paraId="674F93C1" w14:textId="77777777" w:rsidR="00751A4A" w:rsidRPr="005E7A6A" w:rsidRDefault="00187494" w:rsidP="0010095E">
            <w:pPr>
              <w:pStyle w:val="EPLogo"/>
            </w:pPr>
            <w:r w:rsidRPr="005E7A6A">
              <w:rPr>
                <w:noProof/>
                <w:lang w:eastAsia="ja-JP"/>
              </w:rPr>
              <w:drawing>
                <wp:inline distT="0" distB="0" distL="0" distR="0" wp14:anchorId="22E8E628" wp14:editId="5BD25F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5DF5A6" w14:textId="77777777" w:rsidR="00D058B8" w:rsidRPr="005E7A6A" w:rsidRDefault="00D058B8" w:rsidP="004C5D52">
      <w:pPr>
        <w:pStyle w:val="LineTop"/>
      </w:pPr>
    </w:p>
    <w:p w14:paraId="2AA5B334" w14:textId="77777777" w:rsidR="00680577" w:rsidRPr="005E7A6A" w:rsidRDefault="003C1A82" w:rsidP="00680577">
      <w:pPr>
        <w:pStyle w:val="EPBodyTA1"/>
      </w:pPr>
      <w:r w:rsidRPr="005E7A6A">
        <w:t>TESTI ADOTTATI</w:t>
      </w:r>
    </w:p>
    <w:p w14:paraId="31D899D3" w14:textId="77777777" w:rsidR="00D058B8" w:rsidRPr="005E7A6A" w:rsidRDefault="00D058B8" w:rsidP="00D058B8">
      <w:pPr>
        <w:pStyle w:val="LineBottom"/>
      </w:pPr>
    </w:p>
    <w:p w14:paraId="5D91F583" w14:textId="0EC022A7" w:rsidR="003C1A82" w:rsidRPr="005E7A6A" w:rsidRDefault="003C1A82" w:rsidP="003C1A82">
      <w:pPr>
        <w:pStyle w:val="ATHeading1"/>
      </w:pPr>
      <w:bookmarkStart w:id="0" w:name="TANumber"/>
      <w:r w:rsidRPr="005E7A6A">
        <w:t>P10_TA(2026)000</w:t>
      </w:r>
      <w:bookmarkEnd w:id="0"/>
      <w:r w:rsidR="005375BD">
        <w:t>6</w:t>
      </w:r>
    </w:p>
    <w:p w14:paraId="438495D4" w14:textId="39FADA31" w:rsidR="003C1A82" w:rsidRPr="005E7A6A" w:rsidRDefault="00853C60" w:rsidP="003C1A82">
      <w:pPr>
        <w:pStyle w:val="ATHeading2"/>
      </w:pPr>
      <w:r w:rsidRPr="00853C60">
        <w:t>Riforma tal-Att Elettorali Ewropew – ostakli għar-ratifika u l-implimentazzjoni fl-Istati Membri</w:t>
      </w:r>
    </w:p>
    <w:p w14:paraId="5074CDCA" w14:textId="77777777" w:rsidR="003C1A82" w:rsidRPr="005E7A6A" w:rsidRDefault="003C1A82" w:rsidP="003C1A82">
      <w:pPr>
        <w:rPr>
          <w:i/>
          <w:vanish/>
        </w:rPr>
      </w:pPr>
      <w:r w:rsidRPr="005E7A6A">
        <w:rPr>
          <w:i/>
        </w:rPr>
        <w:fldChar w:fldCharType="begin"/>
      </w:r>
      <w:r w:rsidRPr="005E7A6A">
        <w:rPr>
          <w:i/>
        </w:rPr>
        <w:instrText xml:space="preserve"> TC"(</w:instrText>
      </w:r>
      <w:bookmarkStart w:id="1" w:name="DocNumber"/>
      <w:r w:rsidRPr="005E7A6A">
        <w:rPr>
          <w:i/>
        </w:rPr>
        <w:instrText>A10-0252/2025</w:instrText>
      </w:r>
      <w:bookmarkEnd w:id="1"/>
      <w:r w:rsidRPr="005E7A6A">
        <w:rPr>
          <w:i/>
        </w:rPr>
        <w:instrText xml:space="preserve"> - Rapporteur: </w:instrText>
      </w:r>
      <w:proofErr w:type="spellStart"/>
      <w:r w:rsidRPr="005E7A6A">
        <w:rPr>
          <w:i/>
        </w:rPr>
        <w:instrText>Borja</w:instrText>
      </w:r>
      <w:proofErr w:type="spellEnd"/>
      <w:r w:rsidRPr="005E7A6A">
        <w:rPr>
          <w:i/>
        </w:rPr>
        <w:instrText xml:space="preserve"> </w:instrText>
      </w:r>
      <w:proofErr w:type="spellStart"/>
      <w:r w:rsidRPr="005E7A6A">
        <w:rPr>
          <w:i/>
        </w:rPr>
        <w:instrText>Giménez</w:instrText>
      </w:r>
      <w:proofErr w:type="spellEnd"/>
      <w:r w:rsidRPr="005E7A6A">
        <w:rPr>
          <w:i/>
        </w:rPr>
        <w:instrText xml:space="preserve"> </w:instrText>
      </w:r>
      <w:proofErr w:type="spellStart"/>
      <w:r w:rsidRPr="005E7A6A">
        <w:rPr>
          <w:i/>
        </w:rPr>
        <w:instrText>Larraz</w:instrText>
      </w:r>
      <w:proofErr w:type="spellEnd"/>
      <w:r w:rsidRPr="005E7A6A">
        <w:rPr>
          <w:i/>
        </w:rPr>
        <w:instrText xml:space="preserve">)"\l3 \n&gt; \* MERGEFORMAT </w:instrText>
      </w:r>
      <w:r w:rsidRPr="005E7A6A">
        <w:rPr>
          <w:i/>
        </w:rPr>
        <w:fldChar w:fldCharType="end"/>
      </w:r>
    </w:p>
    <w:p w14:paraId="2C07AE2D" w14:textId="77777777" w:rsidR="003C1A82" w:rsidRPr="005E7A6A" w:rsidRDefault="003C1A82" w:rsidP="003C1A82">
      <w:pPr>
        <w:rPr>
          <w:vanish/>
        </w:rPr>
      </w:pPr>
      <w:bookmarkStart w:id="2" w:name="Commission"/>
      <w:r w:rsidRPr="005E7A6A">
        <w:rPr>
          <w:vanish/>
        </w:rPr>
        <w:t>Kumitat għall-Affarijiet Kostituzzjonali</w:t>
      </w:r>
      <w:bookmarkEnd w:id="2"/>
    </w:p>
    <w:p w14:paraId="3DB1CE7D" w14:textId="77777777" w:rsidR="003C1A82" w:rsidRPr="005E7A6A" w:rsidRDefault="003C1A82" w:rsidP="003C1A82">
      <w:pPr>
        <w:rPr>
          <w:vanish/>
        </w:rPr>
      </w:pPr>
      <w:bookmarkStart w:id="3" w:name="PE"/>
      <w:r w:rsidRPr="005E7A6A">
        <w:rPr>
          <w:vanish/>
        </w:rPr>
        <w:t>PE767.970</w:t>
      </w:r>
      <w:bookmarkEnd w:id="3"/>
    </w:p>
    <w:p w14:paraId="0A928821" w14:textId="320F3A9A" w:rsidR="003C1A82" w:rsidRPr="005E7A6A" w:rsidRDefault="003C1A82" w:rsidP="009A71ED">
      <w:pPr>
        <w:pStyle w:val="ATHeading3"/>
      </w:pPr>
      <w:bookmarkStart w:id="4" w:name="Sujet"/>
      <w:r w:rsidRPr="005E7A6A">
        <w:t xml:space="preserve">Riżoluzzjoni tal-Parlament Ewropew </w:t>
      </w:r>
      <w:r w:rsidR="00853C60">
        <w:t xml:space="preserve">tal-20 ta’ Jannar </w:t>
      </w:r>
      <w:r w:rsidRPr="005E7A6A">
        <w:t>2026 dwar ir-riforma tal-Att Elettorali Ewropew – ostakli għar-ratifika u l-implimentazzjoni fl-Istati Membri</w:t>
      </w:r>
      <w:bookmarkEnd w:id="4"/>
      <w:r w:rsidRPr="005E7A6A">
        <w:t xml:space="preserve"> </w:t>
      </w:r>
      <w:bookmarkStart w:id="5" w:name="References"/>
      <w:r w:rsidRPr="005E7A6A">
        <w:t>(2025/2028(INI))</w:t>
      </w:r>
      <w:bookmarkEnd w:id="5"/>
    </w:p>
    <w:p w14:paraId="080B1386" w14:textId="77777777" w:rsidR="00542FFE" w:rsidRPr="005E7A6A" w:rsidRDefault="00542FFE" w:rsidP="00542FFE">
      <w:pPr>
        <w:pStyle w:val="EPComma"/>
      </w:pPr>
      <w:bookmarkStart w:id="6" w:name="TextBodyBegin"/>
      <w:bookmarkEnd w:id="6"/>
      <w:r w:rsidRPr="005E7A6A">
        <w:rPr>
          <w:i/>
          <w:iCs/>
        </w:rPr>
        <w:t>Il-Parlament Ewropew,</w:t>
      </w:r>
    </w:p>
    <w:p w14:paraId="2BF8BE84" w14:textId="7BFE2CB8" w:rsidR="00542FFE" w:rsidRPr="005E7A6A" w:rsidRDefault="00542FFE" w:rsidP="00542FFE">
      <w:pPr>
        <w:pStyle w:val="NormalHanging12a"/>
      </w:pPr>
      <w:r w:rsidRPr="005E7A6A">
        <w:t>–</w:t>
      </w:r>
      <w:r w:rsidRPr="005E7A6A">
        <w:tab/>
        <w:t>wara li kkunsidra t-Trattati u b’mod partikolari l-Artikoli 9, 10, 14 u 17(7) tat-Trattat dwar l-Unjoni Ewropea (TUE) u l-Artikoli 22, 223(1) u 225 tat-Trattat dwar il-Funzjonament tal-Unjoni Ewropea (TFUE),</w:t>
      </w:r>
    </w:p>
    <w:p w14:paraId="00B1A8B2" w14:textId="77777777" w:rsidR="00542FFE" w:rsidRPr="005E7A6A" w:rsidRDefault="00542FFE" w:rsidP="00542FFE">
      <w:pPr>
        <w:pStyle w:val="NormalHanging12a"/>
      </w:pPr>
      <w:r w:rsidRPr="005E7A6A">
        <w:t>–</w:t>
      </w:r>
      <w:r w:rsidRPr="005E7A6A">
        <w:tab/>
        <w:t>wara li kkunsidra l-Att li jikkonċerna l-elezzjoni tal-Membri tal-Parlament Ewropew b’suffraġju universali dirett</w:t>
      </w:r>
      <w:r w:rsidRPr="005E7A6A">
        <w:rPr>
          <w:rStyle w:val="FootnoteReference"/>
        </w:rPr>
        <w:footnoteReference w:id="1"/>
      </w:r>
      <w:r w:rsidRPr="005E7A6A">
        <w:t xml:space="preserve"> (l-Att Elettorali Ewropew) anness mad-deċiżjoni tal-Kunsill tal-20 ta’ Settembru 1976</w:t>
      </w:r>
      <w:r w:rsidRPr="005E7A6A">
        <w:rPr>
          <w:rStyle w:val="FootnoteReference"/>
        </w:rPr>
        <w:footnoteReference w:id="2"/>
      </w:r>
      <w:r w:rsidRPr="005E7A6A">
        <w:t xml:space="preserve"> kif emendat,</w:t>
      </w:r>
    </w:p>
    <w:p w14:paraId="3AA166DE" w14:textId="77777777" w:rsidR="00542FFE" w:rsidRPr="005E7A6A" w:rsidRDefault="00542FFE" w:rsidP="00542FFE">
      <w:pPr>
        <w:pStyle w:val="NormalHanging12a"/>
      </w:pPr>
      <w:r w:rsidRPr="005E7A6A">
        <w:t>–</w:t>
      </w:r>
      <w:r w:rsidRPr="005E7A6A">
        <w:tab/>
        <w:t>wara li kkunsidra l-Ftehim Qafas tal-20 ta’ Ottubru 2010 dwar ir-relazzjonijiet bejn il-Parlament Ewropew u l-Kummissjoni Ewropea</w:t>
      </w:r>
      <w:r w:rsidRPr="005E7A6A">
        <w:rPr>
          <w:rStyle w:val="FootnoteReference"/>
        </w:rPr>
        <w:footnoteReference w:id="3"/>
      </w:r>
      <w:r w:rsidRPr="005E7A6A">
        <w:t>,</w:t>
      </w:r>
    </w:p>
    <w:p w14:paraId="5CF420F3" w14:textId="77777777" w:rsidR="00542FFE" w:rsidRPr="005E7A6A" w:rsidRDefault="00542FFE" w:rsidP="00542FFE">
      <w:pPr>
        <w:pStyle w:val="NormalHanging12a"/>
      </w:pPr>
      <w:r w:rsidRPr="005E7A6A">
        <w:t>–</w:t>
      </w:r>
      <w:r w:rsidRPr="005E7A6A">
        <w:tab/>
        <w:t>wara li kkunsidra r-riżoluzzjoni tiegħu tal-11 ta’ Novembru 2015 dwar ir-riforma tal-liġi elettorali tal-Unjoni Ewropea</w:t>
      </w:r>
      <w:r w:rsidRPr="005E7A6A">
        <w:rPr>
          <w:rStyle w:val="FootnoteReference"/>
        </w:rPr>
        <w:footnoteReference w:id="4"/>
      </w:r>
      <w:r w:rsidRPr="005E7A6A">
        <w:t>,</w:t>
      </w:r>
    </w:p>
    <w:p w14:paraId="1CA0E877" w14:textId="77777777" w:rsidR="00542FFE" w:rsidRPr="005E7A6A" w:rsidRDefault="00542FFE" w:rsidP="00542FFE">
      <w:pPr>
        <w:pStyle w:val="NormalHanging12a"/>
      </w:pPr>
      <w:r w:rsidRPr="005E7A6A">
        <w:t>–</w:t>
      </w:r>
      <w:r w:rsidRPr="005E7A6A">
        <w:tab/>
        <w:t xml:space="preserve">wara li kkunsidra l-pożizzjoni tiegħu tat-3 ta’ Mejju 2022 dwar il-proposta għal Regolament tal-Kunsill dwar l-elezzjoni tal-membri tal-Parlament Ewropew b’vot universali dirett, li jħassar id-Deċiżjoni tal-Kunsill (76/787/KEFA, KEE, Euratom) u l-Att li jikkonċerna l-elezzjoni tal-Membri tal-Parlament Ewropew b’vot dirett universali </w:t>
      </w:r>
      <w:r w:rsidRPr="005E7A6A">
        <w:lastRenderedPageBreak/>
        <w:t>anness ma’ dik id-Deċiżjoni (2020/2220(INL)) – 2022/0902(APP))</w:t>
      </w:r>
      <w:r w:rsidRPr="005E7A6A">
        <w:rPr>
          <w:rStyle w:val="FootnoteReference"/>
        </w:rPr>
        <w:footnoteReference w:id="5"/>
      </w:r>
      <w:r w:rsidRPr="005E7A6A">
        <w:t>,</w:t>
      </w:r>
    </w:p>
    <w:p w14:paraId="6402DD11" w14:textId="77777777" w:rsidR="00542FFE" w:rsidRPr="005E7A6A" w:rsidRDefault="00542FFE" w:rsidP="00542FFE">
      <w:pPr>
        <w:pStyle w:val="NormalHanging12a"/>
      </w:pPr>
      <w:r w:rsidRPr="005E7A6A">
        <w:t>–</w:t>
      </w:r>
      <w:r w:rsidRPr="005E7A6A">
        <w:tab/>
        <w:t>wara li kkunsidra d-Deċiżjoni tal-Kunsill (UE, Euratom) 2018/994 tat-13 ta’ Lulju 2018 li temenda l-Att li jikkonċerna l-elezzjoni tal-membri tal-Parlament Ewropew b’vot universali dirett, anness mad-Deċiżjoni tal-Kunsill 76/787/KEFA, KEE, Euratom tal-20 ta’ Settembru 1976</w:t>
      </w:r>
      <w:r w:rsidRPr="005E7A6A">
        <w:rPr>
          <w:rStyle w:val="FootnoteReference"/>
        </w:rPr>
        <w:footnoteReference w:id="6"/>
      </w:r>
      <w:r w:rsidRPr="005E7A6A">
        <w:t>,</w:t>
      </w:r>
    </w:p>
    <w:p w14:paraId="5CE7CC16" w14:textId="77777777" w:rsidR="00542FFE" w:rsidRPr="005E7A6A" w:rsidRDefault="00542FFE" w:rsidP="00542FFE">
      <w:pPr>
        <w:pStyle w:val="NormalHanging12a"/>
      </w:pPr>
      <w:r w:rsidRPr="005E7A6A">
        <w:t>–</w:t>
      </w:r>
      <w:r w:rsidRPr="005E7A6A">
        <w:rPr>
          <w:b/>
          <w:i/>
        </w:rPr>
        <w:tab/>
      </w:r>
      <w:r w:rsidRPr="005E7A6A">
        <w:t>wara li kkunsidra l-Konvenzjoni tan-Nazzjonijiet Uniti dwar id-Drittijiet ta’ Persuni b’Diżabilità;</w:t>
      </w:r>
    </w:p>
    <w:p w14:paraId="438D4BF2" w14:textId="77777777" w:rsidR="00542FFE" w:rsidRPr="005E7A6A" w:rsidRDefault="00542FFE" w:rsidP="00542FFE">
      <w:pPr>
        <w:pStyle w:val="NormalHanging12a"/>
      </w:pPr>
      <w:r w:rsidRPr="005E7A6A">
        <w:t>–</w:t>
      </w:r>
      <w:r w:rsidRPr="005E7A6A">
        <w:tab/>
        <w:t>wara li kkunsidra r-Regola 55 tar-Regoli ta’ Proċedura tiegħu, kif ukoll l-Artikolu 1(1)(e) u l-Anness 3 tad-deċiżjoni tal-Konferenza tal-Presidenti tat-12 ta’ Diċembru 2002 dwar il-proċedura għall-għoti ta’ awtorizzazzjoni għat-tfassil ta’ rapporti fuq inizjattiva proprja,</w:t>
      </w:r>
    </w:p>
    <w:p w14:paraId="1EA76898" w14:textId="77777777" w:rsidR="00542FFE" w:rsidRPr="005E7A6A" w:rsidRDefault="00542FFE" w:rsidP="00542FFE">
      <w:pPr>
        <w:pStyle w:val="NormalHanging12a"/>
        <w:jc w:val="both"/>
      </w:pPr>
      <w:r w:rsidRPr="005E7A6A">
        <w:t>–</w:t>
      </w:r>
      <w:r w:rsidRPr="005E7A6A">
        <w:tab/>
        <w:t>wara li kkunsidra r-rapport tal-Kumitat għall-Affarijiet Kostituzzjonali (A10-0252/2025),</w:t>
      </w:r>
    </w:p>
    <w:p w14:paraId="1764555B" w14:textId="77777777" w:rsidR="00542FFE" w:rsidRPr="005E7A6A" w:rsidRDefault="00542FFE" w:rsidP="00542FFE">
      <w:pPr>
        <w:pStyle w:val="NormalHanging12a"/>
        <w:tabs>
          <w:tab w:val="left" w:pos="567"/>
        </w:tabs>
        <w:jc w:val="both"/>
      </w:pPr>
      <w:r w:rsidRPr="005E7A6A">
        <w:t>A.</w:t>
      </w:r>
      <w:r w:rsidRPr="005E7A6A">
        <w:tab/>
        <w:t xml:space="preserve">billi l-Artikolu 223 tat-TFUE jagħti lill-Parlament Ewropew id-dritt li jniedi r-riforma tal-proċedura elettorali tiegħu stess, bil-għan li titfassal proċedura uniformi li tapplika madwar l-UE jew proċedura li hija bbażata fuq prinċipji komuni għall-Istati Membri kollha, u li jagħti l-approvazzjoni tiegħu għaliha; billi l-istituzzjonijiet tal-UE u l-Istati Membri huma marbuta bil-prinċipju ta’ kooperazzjoni sinċiera reċiproka kif stabbilit fl-Artikolu 4(3) tat-TUE; </w:t>
      </w:r>
    </w:p>
    <w:p w14:paraId="7F2B3821" w14:textId="77777777" w:rsidR="00542FFE" w:rsidRPr="005E7A6A" w:rsidRDefault="00542FFE" w:rsidP="00542FFE">
      <w:pPr>
        <w:pStyle w:val="NormalHanging12a"/>
        <w:ind w:hanging="570"/>
        <w:rPr>
          <w:bCs/>
          <w:iCs/>
        </w:rPr>
      </w:pPr>
      <w:r w:rsidRPr="005E7A6A">
        <w:t>B.</w:t>
      </w:r>
      <w:r w:rsidRPr="005E7A6A">
        <w:tab/>
        <w:t xml:space="preserve">billi proċedura elettorali uniformi mhux biss tiżgura ugwaljanza u trasparenza akbar fil-proċess elettorali iżda trawwem ukoll il-ħolqien ta’ sfera politika u pubblika Ewropea, u b’hekk issaħħaħ il-leġittimità tal-UE u tal-istituzzjonijiet tagħha; </w:t>
      </w:r>
    </w:p>
    <w:p w14:paraId="38155368" w14:textId="77777777" w:rsidR="00542FFE" w:rsidRPr="005E7A6A" w:rsidRDefault="00542FFE" w:rsidP="00542FFE">
      <w:pPr>
        <w:pStyle w:val="NormalHanging12a"/>
        <w:jc w:val="both"/>
      </w:pPr>
      <w:r w:rsidRPr="005E7A6A">
        <w:t>C.</w:t>
      </w:r>
      <w:r w:rsidRPr="005E7A6A">
        <w:tab/>
        <w:t xml:space="preserve">billi, f’konformità mal-Artikolu 223(1) tat-TFUE, id-dħul fis-seħħ tal-Att Elettorali Ewropew emendat huwa soġġett għall-approvazzjoni mill-Istati Membri kollha f’konformità mar-rekwiżiti kostituzzjonali rispettivi tagħhom, b’kull Stat Membru jżomm diskrezzjoni sħiħa dwar meta jirratifikah; </w:t>
      </w:r>
    </w:p>
    <w:p w14:paraId="252D9BB8" w14:textId="77777777" w:rsidR="00542FFE" w:rsidRPr="005E7A6A" w:rsidRDefault="00542FFE" w:rsidP="00542FFE">
      <w:pPr>
        <w:pStyle w:val="NormalHanging12a"/>
        <w:jc w:val="both"/>
      </w:pPr>
      <w:r w:rsidRPr="005E7A6A">
        <w:t>D.</w:t>
      </w:r>
      <w:r w:rsidRPr="005E7A6A">
        <w:tab/>
        <w:t>billi l-possibbiltà li tiġi żviluppata proċedura elettorali uniformi bbażata fuq suffraġju universali dirett ilha minquxa fit-Trattati mill-1957;</w:t>
      </w:r>
    </w:p>
    <w:p w14:paraId="61BB9AA3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E.</w:t>
      </w:r>
      <w:r w:rsidRPr="005E7A6A">
        <w:tab/>
        <w:t xml:space="preserve">billi l-Att Elettorali Ewropew tal-1976 iddeskriva l-objettiv li tiġi stabbilita tali proċedura uniformi, u ta mandat espliċitu lill-Parlament biex jieħu l-passi meħtieġa għal dak l-għan; billi l-possibbiltà li jiġu stabbiliti “prinċipji komuni” minflok proċedura armonizzata ġiet introdotta biss fi stadju aktar tard bħala rispons prammatiku għad-diffikultajiet persistenti biex jinkiseb ftehim unanimu dwar proċedura elettorali unifikata; billi din il-bidla fl-approċċ wasslet għal implimentazzjoni persistenti u mhux uniformi ta’ riformi elettorali, u b’hekk imminat l-ispirtu oriġinali tat-Trattati u tal-Att Elettorali Ewropew tal-1976, u </w:t>
      </w:r>
      <w:proofErr w:type="spellStart"/>
      <w:r w:rsidRPr="005E7A6A">
        <w:t>dewmet</w:t>
      </w:r>
      <w:proofErr w:type="spellEnd"/>
      <w:r w:rsidRPr="005E7A6A">
        <w:t xml:space="preserve"> l-istabbiliment ta’ qafas elettorali Ewropew;</w:t>
      </w:r>
    </w:p>
    <w:p w14:paraId="75285347" w14:textId="77777777" w:rsidR="00542FFE" w:rsidRPr="005E7A6A" w:rsidRDefault="00542FFE" w:rsidP="00542FFE">
      <w:pPr>
        <w:pStyle w:val="NormalHanging12a"/>
        <w:jc w:val="both"/>
      </w:pPr>
      <w:r w:rsidRPr="005E7A6A">
        <w:t>F.</w:t>
      </w:r>
      <w:r w:rsidRPr="005E7A6A">
        <w:tab/>
        <w:t xml:space="preserve">billi r-riforma tal-proċedura elettorali tal-Parlament Ewropew għandu jkollha l-għan li ttejjeb id-dimensjoni demokratika tal-elezzjonijiet Ewropej u l-leġittimità tal-proċess tat-teħid ta’ deċiżjonijiet tal-UE billi tiżgura parteċipazzjoni ugwali għaċ-ċittadini kollha tal-UE, u b’hekk tallinja l-qafas elettorali mar-rwol tal-Parlament bħala </w:t>
      </w:r>
      <w:proofErr w:type="spellStart"/>
      <w:r w:rsidRPr="005E7A6A">
        <w:t>koleġiżlatur</w:t>
      </w:r>
      <w:proofErr w:type="spellEnd"/>
      <w:r w:rsidRPr="005E7A6A">
        <w:t xml:space="preserve"> elett </w:t>
      </w:r>
      <w:r w:rsidRPr="005E7A6A">
        <w:lastRenderedPageBreak/>
        <w:t xml:space="preserve">direttament miċ-ċittadini tal-UE; billi tali riforma għandha sservi biex issaħħaħ il-kunċett taċ-ċittadinanza tal-UE, ittejjeb il-funzjonament tal-Parlament u l-governanza tal-UE, u ssaħħaħ il-prinċipji tal-ugwaljanza elettorali, l-opportunitajiet indaqs u l-inklużjoni; billi din għandha ssaħħaħ it-trasparenza, l-aċċessibbiltà u l-involviment taż-żgħażagħ; </w:t>
      </w:r>
    </w:p>
    <w:p w14:paraId="270FB27F" w14:textId="77777777" w:rsidR="00542FFE" w:rsidRPr="005E7A6A" w:rsidRDefault="00542FFE" w:rsidP="00542FFE">
      <w:pPr>
        <w:pStyle w:val="NormalHanging12a"/>
        <w:jc w:val="both"/>
      </w:pPr>
      <w:r w:rsidRPr="005E7A6A">
        <w:t>G.</w:t>
      </w:r>
      <w:r w:rsidRPr="005E7A6A">
        <w:tab/>
        <w:t xml:space="preserve">billi għadu ma ntlaħaqx ftehim komprensiv dwar proċedura elettorali verament uniformi, u l-qafas attwali għadu frammentat ħafna; billi l-konverġenza gradwali seħħet f’ċerti aspetti, iżda r-regoli nazzjonali attwali għadhom jipproduċu </w:t>
      </w:r>
      <w:proofErr w:type="spellStart"/>
      <w:r w:rsidRPr="005E7A6A">
        <w:t>disparitajiet</w:t>
      </w:r>
      <w:proofErr w:type="spellEnd"/>
      <w:r w:rsidRPr="005E7A6A">
        <w:t xml:space="preserve"> sinifikanti f’oqsma ewlenin madwar l-Istati Membri, u dan idgħajjef l-ugwaljanza elettorali u jdgħajjef kemm il-</w:t>
      </w:r>
      <w:proofErr w:type="spellStart"/>
      <w:r w:rsidRPr="005E7A6A">
        <w:t>perċezzjoni</w:t>
      </w:r>
      <w:proofErr w:type="spellEnd"/>
      <w:r w:rsidRPr="005E7A6A">
        <w:t xml:space="preserve"> ta’ elezzjoni Ewropea waħda u kondiviża kif ukoll il-fiduċja taċ-ċittadini fil-proċess demokratiku Ewropew; </w:t>
      </w:r>
    </w:p>
    <w:p w14:paraId="203F749A" w14:textId="77777777" w:rsidR="00542FFE" w:rsidRPr="005E7A6A" w:rsidRDefault="00542FFE" w:rsidP="00542FFE">
      <w:pPr>
        <w:pStyle w:val="NormalHanging12a"/>
        <w:jc w:val="both"/>
      </w:pPr>
      <w:r w:rsidRPr="005E7A6A">
        <w:t>H.</w:t>
      </w:r>
      <w:r w:rsidRPr="005E7A6A">
        <w:tab/>
        <w:t xml:space="preserve">billi minkejja li saru diversi riformi, l-elezzjonijiet Ewropej, fil-parti l-kbira tagħhom, għadhom irregolati minn liġijiet nazzjonali, il-kampanji elettorali għadhom fil-parti l-kbira nazzjonali, u l-partiti politiċi Ewropej ma jistgħux jonoraw </w:t>
      </w:r>
      <w:proofErr w:type="spellStart"/>
      <w:r w:rsidRPr="005E7A6A">
        <w:t>suffiċjentement</w:t>
      </w:r>
      <w:proofErr w:type="spellEnd"/>
      <w:r w:rsidRPr="005E7A6A">
        <w:t xml:space="preserve"> il-mandati kostituzzjonali tagħhom u “jikkontribwixxu għall-formazzjoni tal-għarfien politiku Ewropew u għall-espressjoni tar-rieda taċ-ċittadini tal-Unjoni”, kif meħtieġ mill-Artikolu 10(4) tat-TUE; billi r-</w:t>
      </w:r>
      <w:proofErr w:type="spellStart"/>
      <w:r w:rsidRPr="005E7A6A">
        <w:t>riformulazzjoni</w:t>
      </w:r>
      <w:proofErr w:type="spellEnd"/>
      <w:r w:rsidRPr="005E7A6A">
        <w:t xml:space="preserve"> tar-regolament dwar l-istatut u l-finanzjament tal-partiti politiċi Ewropej u l-fondazzjonijiet politiċi Ewropej</w:t>
      </w:r>
      <w:r w:rsidRPr="005E7A6A">
        <w:rPr>
          <w:rStyle w:val="FootnoteReference"/>
        </w:rPr>
        <w:footnoteReference w:id="7"/>
      </w:r>
      <w:r w:rsidRPr="005E7A6A">
        <w:t xml:space="preserve"> ġabet livell ta’ ċarezza f’dak ir-rigward; </w:t>
      </w:r>
    </w:p>
    <w:p w14:paraId="3D68EFD8" w14:textId="77777777" w:rsidR="00542FFE" w:rsidRPr="005E7A6A" w:rsidRDefault="00542FFE" w:rsidP="00542FFE">
      <w:pPr>
        <w:pStyle w:val="NormalHanging12a"/>
        <w:jc w:val="both"/>
      </w:pPr>
      <w:r w:rsidRPr="005E7A6A">
        <w:t>I.</w:t>
      </w:r>
      <w:r w:rsidRPr="005E7A6A">
        <w:tab/>
        <w:t>billi limitu elettorali għall-allokazzjoni tas-siġġijiet huwa l-perċentwal minimu ta’ voti li partit politiku jew koalizzjoni hija meħtieġa ġġib sabiex tikseb siġġu fl-assemblea leġiżlattiva;</w:t>
      </w:r>
    </w:p>
    <w:p w14:paraId="7DC5F846" w14:textId="77777777" w:rsidR="00542FFE" w:rsidRPr="005E7A6A" w:rsidRDefault="00542FFE" w:rsidP="00542FFE">
      <w:pPr>
        <w:pStyle w:val="NormalHanging12a"/>
        <w:jc w:val="both"/>
      </w:pPr>
      <w:r w:rsidRPr="005E7A6A">
        <w:t>J.</w:t>
      </w:r>
      <w:r w:rsidRPr="005E7A6A">
        <w:tab/>
        <w:t>billi d-Deċiżjoni tal-Kunsill (UE, Euratom) 2018/994</w:t>
      </w:r>
      <w:r w:rsidRPr="005E7A6A">
        <w:rPr>
          <w:rStyle w:val="FootnoteReference"/>
        </w:rPr>
        <w:footnoteReference w:id="8"/>
      </w:r>
      <w:r w:rsidRPr="005E7A6A">
        <w:t xml:space="preserve"> tistabbilixxi limitu ta’ bejn 2 % u 5 % għall-Istati Membri b’</w:t>
      </w:r>
      <w:proofErr w:type="spellStart"/>
      <w:r w:rsidRPr="005E7A6A">
        <w:t>kostitwenzi</w:t>
      </w:r>
      <w:proofErr w:type="spellEnd"/>
      <w:r w:rsidRPr="005E7A6A">
        <w:t xml:space="preserve"> ta’ aktar minn 35 siġġu; billi l-limiti elettorali jridu jilħqu bilanċ bejn il-kapaċità ta’ governanza u l-</w:t>
      </w:r>
      <w:proofErr w:type="spellStart"/>
      <w:r w:rsidRPr="005E7A6A">
        <w:t>pluralità</w:t>
      </w:r>
      <w:proofErr w:type="spellEnd"/>
      <w:r w:rsidRPr="005E7A6A">
        <w:t xml:space="preserve"> politika;</w:t>
      </w:r>
    </w:p>
    <w:p w14:paraId="2ED28839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K.</w:t>
      </w:r>
      <w:r w:rsidRPr="005E7A6A">
        <w:tab/>
        <w:t xml:space="preserve">billi l-proċess ta’ ratifika tar-riforma tal-2018 esperjenza dewmien, bi ftit Stati Membri li ma </w:t>
      </w:r>
      <w:proofErr w:type="spellStart"/>
      <w:r w:rsidRPr="005E7A6A">
        <w:t>lestewx</w:t>
      </w:r>
      <w:proofErr w:type="spellEnd"/>
      <w:r w:rsidRPr="005E7A6A">
        <w:t xml:space="preserve"> il-proċeduri ta’ ratifika meħtieġa fil-ħin qabel l-elezzjonijiet Ewropej tal-2024; </w:t>
      </w:r>
    </w:p>
    <w:p w14:paraId="5DC0B0AC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L.</w:t>
      </w:r>
      <w:r w:rsidRPr="005E7A6A">
        <w:tab/>
        <w:t>billi kull ċittadin tal-UE għandu opportunità ugwali biex jipparteċipa fil-proċess demokratiku biex jiggarantixxi proċess elettorali aktar inklużiv; billi huma biss ftit Membri tal-Parlament Ewropew (</w:t>
      </w:r>
      <w:proofErr w:type="spellStart"/>
      <w:r w:rsidRPr="005E7A6A">
        <w:t>MEPs</w:t>
      </w:r>
      <w:proofErr w:type="spellEnd"/>
      <w:r w:rsidRPr="005E7A6A">
        <w:t xml:space="preserve">) li jappartjenu għal minoranzi nazzjonali u etniċi uffiċjalment rikonoxxuti bħala minoranzi fl-Istati Membri rispettivi tagħhom, f’konformità mal-oqfsa kostituzzjonali jew legali rispettivi tagħhom u l-istrumenti rilevanti tal-Kunsill tal-Ewropa; billi r-rapport tal-Kummissjoni ta’ Venezja u tal-Kunsill għall-Elezzjonijiet Demokratiċi tal-15 ta’ Marzu 2005 dwar ir-regoli elettorali u l-azzjoni </w:t>
      </w:r>
      <w:proofErr w:type="spellStart"/>
      <w:r w:rsidRPr="005E7A6A">
        <w:t>affermattiva</w:t>
      </w:r>
      <w:proofErr w:type="spellEnd"/>
      <w:r w:rsidRPr="005E7A6A">
        <w:t xml:space="preserve"> għall-parteċipazzjoni tal-minoranzi nazzjonali fil-proċess tat-teħid tad-deċiżjonijiet fil-pajjiżi Ewropej irrakkomanda għadd ta’ miżuri biex tiġi żgurata r-</w:t>
      </w:r>
      <w:r w:rsidRPr="005E7A6A">
        <w:lastRenderedPageBreak/>
        <w:t xml:space="preserve">rappreżentanza ġusta tal-minoranzi; </w:t>
      </w:r>
    </w:p>
    <w:p w14:paraId="444698A4" w14:textId="77777777" w:rsidR="00542FFE" w:rsidRPr="005E7A6A" w:rsidRDefault="00542FFE" w:rsidP="00542FFE">
      <w:pPr>
        <w:pStyle w:val="NormalHanging12a"/>
        <w:jc w:val="both"/>
      </w:pPr>
      <w:r w:rsidRPr="005E7A6A">
        <w:t>M.</w:t>
      </w:r>
      <w:r w:rsidRPr="005E7A6A">
        <w:tab/>
        <w:t xml:space="preserve">billi r-riforma tal-proċedura elettorali abbażi tal-Artikolu 223(1) tat-TFUE trid tirrispetta bis-sħiħ il-prinċipji tas-sussidjarjetà u tal-proporzjonalità, u l-prerogattivi ta’ skrutinju u ratifika tal-parlamenti nazzjonali; </w:t>
      </w:r>
    </w:p>
    <w:p w14:paraId="635AA378" w14:textId="77777777" w:rsidR="00542FFE" w:rsidRPr="005E7A6A" w:rsidRDefault="00542FFE" w:rsidP="00542FFE">
      <w:pPr>
        <w:pStyle w:val="Subheading"/>
      </w:pPr>
      <w:r w:rsidRPr="005E7A6A">
        <w:t>Konklużjonijiet prinċipali</w:t>
      </w:r>
    </w:p>
    <w:p w14:paraId="12CEABBB" w14:textId="77777777" w:rsidR="00542FFE" w:rsidRPr="005E7A6A" w:rsidRDefault="00542FFE" w:rsidP="00542FFE">
      <w:pPr>
        <w:pStyle w:val="NormalHanging12a"/>
        <w:jc w:val="both"/>
      </w:pPr>
      <w:r w:rsidRPr="005E7A6A">
        <w:t>1.</w:t>
      </w:r>
      <w:r w:rsidRPr="005E7A6A">
        <w:tab/>
        <w:t>Ifakkar li l-perkors lejn l-</w:t>
      </w:r>
      <w:proofErr w:type="spellStart"/>
      <w:r w:rsidRPr="005E7A6A">
        <w:t>Ewropizzazzjoni</w:t>
      </w:r>
      <w:proofErr w:type="spellEnd"/>
      <w:r w:rsidRPr="005E7A6A">
        <w:t xml:space="preserve"> tar-regoli elettorali nazzjonali li jikkonċernaw l-elezzjonijiet għall-Parlament Ewropew jibbenefika minn tisħiħ ulterjuri, speċifikament fir-rigward tal-aċċessibbiltà għal gruppi żvantaġġati, </w:t>
      </w:r>
      <w:proofErr w:type="spellStart"/>
      <w:r w:rsidRPr="005E7A6A">
        <w:t>skadenzi</w:t>
      </w:r>
      <w:proofErr w:type="spellEnd"/>
      <w:r w:rsidRPr="005E7A6A">
        <w:t xml:space="preserve"> komuni għall-finalizzazzjoni tal-listi elettorali, il-prevenzjoni ta’ votazzjoni doppja u t-tisħiħ tal-viżibbiltà u r-rwol tal-partiti politiċi Ewropej fil-proċessi elettorali; ifakkar, madankollu, li ħafna dispożizzjonijiet eżistenti fl-Att Elettorali Ewropew attwali ġew implimentati fl-Istati Membri kollha, speċifikament sistema ta’ rappreżentanza proporzjonali, limitu massimu elettorali ta’ 5 % u l-projbizzjoni fuq l-</w:t>
      </w:r>
      <w:proofErr w:type="spellStart"/>
      <w:r w:rsidRPr="005E7A6A">
        <w:t>MEPs</w:t>
      </w:r>
      <w:proofErr w:type="spellEnd"/>
      <w:r w:rsidRPr="005E7A6A">
        <w:t xml:space="preserve"> li jkollhom mandat doppju fil-parlamenti nazzjonali u fil-Parlament Ewropew; iqis, madankollu, li “</w:t>
      </w:r>
      <w:proofErr w:type="spellStart"/>
      <w:r w:rsidRPr="005E7A6A">
        <w:t>demos</w:t>
      </w:r>
      <w:proofErr w:type="spellEnd"/>
      <w:r w:rsidRPr="005E7A6A">
        <w:t xml:space="preserve">” Ewropew għadu ’l bogħod milli jitlesta u li l-isforzi ta’ politika jridu jiġu intensifikati biex l-UE ssir inqas </w:t>
      </w:r>
      <w:proofErr w:type="spellStart"/>
      <w:r w:rsidRPr="005E7A6A">
        <w:t>burokratika</w:t>
      </w:r>
      <w:proofErr w:type="spellEnd"/>
      <w:r w:rsidRPr="005E7A6A">
        <w:t xml:space="preserve"> u aktar demokratika; </w:t>
      </w:r>
    </w:p>
    <w:p w14:paraId="1D9EE96C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2.</w:t>
      </w:r>
      <w:r w:rsidRPr="005E7A6A">
        <w:tab/>
        <w:t xml:space="preserve">Itenni li l-elezzjonijiet Ewropej għadhom isiru fil-biċċa l-kbira taħt oqfsa legali u istituzzjonali nazzjonali, li ġew maħsuba f’fażi ferm differenti tal-integrazzjoni Ewropea; jenfasizza li dawn ir-regoli ma għadhomx jaqblu mar-rwol u s-setgħat leġiżlattivi msaħħa tal-Parlament Ewropew, b’mod partikolari minn mindu daħal fis-seħħ it-Trattat ta’ </w:t>
      </w:r>
      <w:proofErr w:type="spellStart"/>
      <w:r w:rsidRPr="005E7A6A">
        <w:t>Liżbona</w:t>
      </w:r>
      <w:proofErr w:type="spellEnd"/>
      <w:r w:rsidRPr="005E7A6A">
        <w:t>;</w:t>
      </w:r>
    </w:p>
    <w:p w14:paraId="746D8875" w14:textId="77777777" w:rsidR="00542FFE" w:rsidRPr="005E7A6A" w:rsidRDefault="00542FFE" w:rsidP="00542FFE">
      <w:pPr>
        <w:pStyle w:val="NormalHanging12a"/>
        <w:jc w:val="both"/>
      </w:pPr>
      <w:r w:rsidRPr="005E7A6A">
        <w:t>3.</w:t>
      </w:r>
      <w:r w:rsidRPr="005E7A6A">
        <w:tab/>
        <w:t xml:space="preserve">Ifakkar li d-Deċiżjoni tal-Kunsill (UE, Euratom) 2018/994 fiha għadd ta’ dispożizzjonijiet li l-Istati Membri huma jew obbligati jew mistiedna jimplimentaw; jirrimarka li xi Stati Membri ma </w:t>
      </w:r>
      <w:proofErr w:type="spellStart"/>
      <w:r w:rsidRPr="005E7A6A">
        <w:t>implimentawx</w:t>
      </w:r>
      <w:proofErr w:type="spellEnd"/>
      <w:r w:rsidRPr="005E7A6A">
        <w:t xml:space="preserve"> ċerti miżuri </w:t>
      </w:r>
      <w:proofErr w:type="spellStart"/>
      <w:r w:rsidRPr="005E7A6A">
        <w:t>fakultattivi</w:t>
      </w:r>
      <w:proofErr w:type="spellEnd"/>
      <w:r w:rsidRPr="005E7A6A">
        <w:t xml:space="preserve"> u li xi miżuri obbligatorji ġew implimentati b’mod differenti minn xi Stati Membri, bħal dawk li jikkonċernaw il-prevenzjoni ta’ votazzjoni doppja; jinnota li l-biċċa l-kbira tad-dispożizzjonijiet stabbiliti fid-Deċiżjoni tal-Kunsill (UE, Euratom) 2018/994 baqgħu </w:t>
      </w:r>
      <w:proofErr w:type="spellStart"/>
      <w:r w:rsidRPr="005E7A6A">
        <w:t>fakultattivi</w:t>
      </w:r>
      <w:proofErr w:type="spellEnd"/>
      <w:r w:rsidRPr="005E7A6A">
        <w:t xml:space="preserve">; iqis li t-traspożizzjoni limitata ta’ dawn id-dispożizzjonijiet mhux vinkolanti turi nuqqas ta’ rieda politika li </w:t>
      </w:r>
      <w:proofErr w:type="spellStart"/>
      <w:r w:rsidRPr="005E7A6A">
        <w:t>tingħeleb</w:t>
      </w:r>
      <w:proofErr w:type="spellEnd"/>
      <w:r w:rsidRPr="005E7A6A">
        <w:t xml:space="preserve"> ir-reżistenza nazzjonali u ta’ impenn lejn proċess demokratiku li jirrifletti aħjar id-dimensjoni Ewropea; </w:t>
      </w:r>
    </w:p>
    <w:p w14:paraId="2918E17F" w14:textId="77777777" w:rsidR="00542FFE" w:rsidRPr="005E7A6A" w:rsidRDefault="00542FFE" w:rsidP="00542FFE">
      <w:pPr>
        <w:pStyle w:val="NormalHanging12a"/>
        <w:jc w:val="both"/>
      </w:pPr>
      <w:r w:rsidRPr="005E7A6A">
        <w:t>4.</w:t>
      </w:r>
      <w:r w:rsidRPr="005E7A6A">
        <w:tab/>
        <w:t>Ifakkar li l-iskadenzi għall-finalizzazzjoni tal-listi elettorali qabel l-elezzjonijiet Ewropej ivarjaw ħafna bejn l-Istati Membri, u attwalment ivarjaw bejn 21 jum u 90 jum, li jpoġġi lill-kandidati u lill-votanti fl-UE kollha f’pożizzjoni mhux ugwali fir-rigward taż-żmien disponibbli biex jagħmlu l-kampanja tagħhom jew biex jirriflettu fuq l-għażla tal-vot tagħhom;</w:t>
      </w:r>
    </w:p>
    <w:p w14:paraId="3A8F9BAE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5.</w:t>
      </w:r>
      <w:r w:rsidRPr="005E7A6A">
        <w:tab/>
        <w:t xml:space="preserve">Jirrimarka li l-ħolqien ta’ sfera pubblika Ewropea u dibattitu politiku li jmur lil hinn mill-fruntieri nazzjonali, b’mod partikolari fil-kuntest tal-elezzjonijiet Ewropej, huwa essenzjali għat-tisħiħ tad-demokrazija tal-UE; jissottolinja li l-partiti politiċi Ewropej huma strument ewlieni fit-trawwim ta’ tali dibattitu; iqis li l-poloz tal-vot kollha jridu jinkludu l-ismijiet tal-kandidati u l-logo tal-partit politiku Ewropew li miegħu jkun </w:t>
      </w:r>
      <w:proofErr w:type="spellStart"/>
      <w:r w:rsidRPr="005E7A6A">
        <w:t>affiljat</w:t>
      </w:r>
      <w:proofErr w:type="spellEnd"/>
      <w:r w:rsidRPr="005E7A6A">
        <w:t xml:space="preserve"> kull partit nazzjonali, u li l-kandidati għandu jkollhom viżibbiltà xierqa fuq ix-xandiriet tal-kampanji online, televiżivi u fuq ir-radju, fuq il-posters u materjal ieħor li jintuża fil-kampanji elettorali Ewropej; iqis li dawn il-miżuri huma rekwiżit minimu biex il-votanti </w:t>
      </w:r>
      <w:r w:rsidRPr="005E7A6A">
        <w:lastRenderedPageBreak/>
        <w:t xml:space="preserve">jiġu infurmati dwar id-dimensjoni Ewropea tal-vot tagħhom u biex il-partiti politiċi Ewropej ikunu jistgħu jwettqu r-rwol tagħhom skont l-Artikolu 10(4) tat-TUE; jemmen li dawn il-miżuri jagħmlu l-elezzjonijiet Ewropej aktar trasparenti, jipprevjenu kwalunkwe distorsjoni tad-dritt tal-votanti li jiġu infurmati dwar l-eżistenza ta’ ftehimiet ta’ alleanza bejn il-partiti politiċi fl-elezzjonijiet Ewropej, u jippermettu liċ-ċittadini jitfgħu l-vot tagħhom b’mod konxju għal partit politiku li jappartjeni għall-grupp politiku preferut tagħhom fil-Parlament Ewropew; jiddeplora l-fatt li sal-lum, din għadha biss miżura </w:t>
      </w:r>
      <w:proofErr w:type="spellStart"/>
      <w:r w:rsidRPr="005E7A6A">
        <w:t>fakultattiva</w:t>
      </w:r>
      <w:proofErr w:type="spellEnd"/>
      <w:r w:rsidRPr="005E7A6A">
        <w:t xml:space="preserve"> skont id-Deċiżjoni tal-Kunsill (UE, Euratom) 2018/994 u li għadha ma ġiet </w:t>
      </w:r>
      <w:proofErr w:type="spellStart"/>
      <w:r w:rsidRPr="005E7A6A">
        <w:t>trasposta</w:t>
      </w:r>
      <w:proofErr w:type="spellEnd"/>
      <w:r w:rsidRPr="005E7A6A">
        <w:t xml:space="preserve"> fl-ebda leġiżlazzjoni nazzjonali; </w:t>
      </w:r>
    </w:p>
    <w:p w14:paraId="3254342F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6.</w:t>
      </w:r>
      <w:r w:rsidRPr="005E7A6A">
        <w:tab/>
        <w:t xml:space="preserve">Ifakkar fil-ħtieġa li jitkompla l-progress biex il-proċess elettorali jsir aktar inklużiv biex jiġi żgurat li kull ċittadin, irrispettivament miċ-ċirkostanzi tiegħu, ikollu opportunità ugwali biex jipparteċipa fil-proċess demokratiku; jirrimarka li r-regoli nazzjonali ta’ xi Stati Membri ma jippermettux lill-votanti b’diżabbiltà jibdlu l-post tal-votazzjoni assenjat lilhom għal ieħor li jakkomoda aħjar il-ħtiġijiet tagħhom jew jaċċessaw informazzjoni elettorali f’formati aċċessibbli; jenfasizza li kwalunkwe ostaklu għad-dritt tal-vot huwa inkompatibbli mal-obbligi li jirriżultaw mill-Konvenzjoni tan-NU dwar id-Drittijiet ta’ Persuni b’Diżabilità u għandu jitneħħa sabiex tiġi </w:t>
      </w:r>
      <w:proofErr w:type="spellStart"/>
      <w:r w:rsidRPr="005E7A6A">
        <w:t>ggarantita</w:t>
      </w:r>
      <w:proofErr w:type="spellEnd"/>
      <w:r w:rsidRPr="005E7A6A">
        <w:t xml:space="preserve"> l-aċċessibbiltà għal kulħadd matul il-proċess elettorali kollu; </w:t>
      </w:r>
    </w:p>
    <w:p w14:paraId="6362BDF9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7.</w:t>
      </w:r>
      <w:r w:rsidRPr="005E7A6A">
        <w:tab/>
        <w:t xml:space="preserve">Jinnota li l-votazzjoni bil-posta u l-mezzi komplementari tagħha huma ppreżentati fid-Deċiżjoni tal-Kunsill (UE, Euratom) 2018/994 bħala miżura </w:t>
      </w:r>
      <w:proofErr w:type="spellStart"/>
      <w:r w:rsidRPr="005E7A6A">
        <w:t>fakultattiva</w:t>
      </w:r>
      <w:proofErr w:type="spellEnd"/>
      <w:r w:rsidRPr="005E7A6A">
        <w:t xml:space="preserve"> mmirata biex tiffaċilita l-aċċessibbiltà għall-persuni b’diżabbiltà; jissottolinja li, filwaqt li dan l-objettiv huwa essenzjali, il-votazzjoni bil-posta għandha wkoll rwol usa’ biex il-parteċipazzjoni elettorali ssir aktar flessibbli u inklużiva; jenfasizza li l-offerta ta’ votazzjoni bil-posta bħala għażla garantita fl-Istati Membri kollha tkun ta’ benefiċċju mhux biss għall-persuni b’diżabbiltà iżda wkoll għaċ-ċittadini li ma jistgħux jivvutaw personalment minħabba ċirkostanzi straordinarji; iqis li l-iżgurar ta’ aċċess usa’ għall-votazzjoni bil-posta jsaħħaħ il-parteċipazzjoni, speċjalment fost iċ-ċittadini mobbli tal-UE u l-votanti żgħażagħ, u jikkontribwixxi biex tiżdied il-parteċipazzjoni elettorali ġenerali tal-votanti;</w:t>
      </w:r>
    </w:p>
    <w:p w14:paraId="5E1EDD8F" w14:textId="77777777" w:rsidR="00542FFE" w:rsidRPr="005E7A6A" w:rsidRDefault="00542FFE" w:rsidP="00542FFE">
      <w:pPr>
        <w:pStyle w:val="NormalHanging12a"/>
        <w:jc w:val="both"/>
      </w:pPr>
      <w:r w:rsidRPr="005E7A6A">
        <w:t>8.</w:t>
      </w:r>
      <w:r w:rsidRPr="005E7A6A">
        <w:tab/>
        <w:t xml:space="preserve">Ifakkar li s-sitwazzjoni ta’ ċittadini tal-UE b’ċittadinanza doppja għadha ma ġietx solvuta, peress li għadu possibbli li ċittadin tal-UE b’ċittadinanza doppja jiġi inkluż awtomatikament fir-reġistri elettorali ta’ aktar minn Stat Membru wieħed, mingħajr ebda mezz disponibbli biex jitneħħa mir-reġistru; jinnota li ċittadin tal-UE b’ċittadinanza doppja li huwa rreġistrat awtomatikament fuq aktar minn reġistru elettorali wieħed, iżda li jivvota biss fi Stat Membru wieħed, kif meħtieġ, jista’ madankollu jitqies li ma vvotax fl-Istat Membru l-ieħor u jista’ jiffaċċja penali b’riżultat ta’ dan; </w:t>
      </w:r>
    </w:p>
    <w:p w14:paraId="6126AA90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9.</w:t>
      </w:r>
      <w:r w:rsidRPr="005E7A6A">
        <w:tab/>
        <w:t xml:space="preserve">Jilqa’ l-inizjattiva tal-Parlament li jintroduċi arranġamenti ta’ votazzjoni bi prokura għal każijiet ta’ </w:t>
      </w:r>
      <w:proofErr w:type="spellStart"/>
      <w:r w:rsidRPr="005E7A6A">
        <w:t>liv</w:t>
      </w:r>
      <w:proofErr w:type="spellEnd"/>
      <w:r w:rsidRPr="005E7A6A">
        <w:t xml:space="preserve"> tal-</w:t>
      </w:r>
      <w:proofErr w:type="spellStart"/>
      <w:r w:rsidRPr="005E7A6A">
        <w:t>maternità</w:t>
      </w:r>
      <w:proofErr w:type="spellEnd"/>
      <w:r w:rsidRPr="005E7A6A">
        <w:t xml:space="preserve"> permezz ta’ emenda tal-Att Elettorali Ewropew, bħala soluzzjoni bilanċjata u prattika biex jiġu </w:t>
      </w:r>
      <w:proofErr w:type="spellStart"/>
      <w:r w:rsidRPr="005E7A6A">
        <w:t>appoġġjati</w:t>
      </w:r>
      <w:proofErr w:type="spellEnd"/>
      <w:r w:rsidRPr="005E7A6A">
        <w:t xml:space="preserve"> l-</w:t>
      </w:r>
      <w:proofErr w:type="spellStart"/>
      <w:r w:rsidRPr="005E7A6A">
        <w:t>MEPs</w:t>
      </w:r>
      <w:proofErr w:type="spellEnd"/>
      <w:r w:rsidRPr="005E7A6A">
        <w:t xml:space="preserve"> filwaqt li tiġi żgurata l-kontinwità tar-rappreżentanza; </w:t>
      </w:r>
    </w:p>
    <w:p w14:paraId="236A3A92" w14:textId="77777777" w:rsidR="00542FFE" w:rsidRPr="005E7A6A" w:rsidRDefault="00542FFE" w:rsidP="00542FFE">
      <w:pPr>
        <w:pStyle w:val="NormalHanging12a"/>
        <w:jc w:val="both"/>
      </w:pPr>
      <w:r w:rsidRPr="005E7A6A">
        <w:t>10.</w:t>
      </w:r>
      <w:r w:rsidRPr="005E7A6A">
        <w:tab/>
        <w:t xml:space="preserve">Jenfasizza li d-Deċiżjoni tal-Kunsill (UE, Euratom) 2018/994 għadha ma hijiex fis-seħħ peress li l-proċess ta’ ratifika għadu għaddej fi Stat Membru wieħed li fadal; jinnota li, filwaqt li l-Ġermanja </w:t>
      </w:r>
      <w:proofErr w:type="spellStart"/>
      <w:r w:rsidRPr="005E7A6A">
        <w:t>rratifikat</w:t>
      </w:r>
      <w:proofErr w:type="spellEnd"/>
      <w:r w:rsidRPr="005E7A6A">
        <w:t xml:space="preserve"> id-Deċiżjoni tal-Kunsill (UE, Euratom) 2018/994, il-liġi elettorali Ġermaniża għall-elezzjonijiet tal-Parlament Ewropew ma ġietx emendata minħabba li sakemm il-limitu ta’ 2 % ma jkunx obbligatorju skont id-dritt tal-UE, dan ma jistax jiġi introdott fil-liġi Ġermaniża;</w:t>
      </w:r>
    </w:p>
    <w:p w14:paraId="3D55A7DD" w14:textId="77777777" w:rsidR="00542FFE" w:rsidRPr="005E7A6A" w:rsidRDefault="00542FFE" w:rsidP="00542FFE">
      <w:pPr>
        <w:pStyle w:val="NormalHanging12a"/>
        <w:jc w:val="both"/>
      </w:pPr>
      <w:r w:rsidRPr="005E7A6A">
        <w:lastRenderedPageBreak/>
        <w:t>11.</w:t>
      </w:r>
      <w:r w:rsidRPr="005E7A6A">
        <w:tab/>
        <w:t xml:space="preserve">Jinnota r-rwol tal-Kummissjoni bħala l-faċilitatur fit-taħditiet istituzzjonali bejn il-Parlament u l-Kunsill dwar il-proposta l-ġdida għar-riforma tal-Att Elettorali Ewropew; iqis li huwa essenzjali li jkun hemm djalogu kostruttiv mal-Kunsill biex tiġi evalwata l-proposta tal-Parlament tal-2022 u jsir progress; jissottolinja li n-nuqqas ta’ progress ma huwiex dovut għal ostakli tekniċi jew legali iżda għal nuqqas ta’ rieda politika fost l-Istati Membri biex jinvolvu ruħhom fil-proposti tal-Parlament; jinsab konvint li dan ir-rapport għandu jipprovdi </w:t>
      </w:r>
      <w:proofErr w:type="spellStart"/>
      <w:r w:rsidRPr="005E7A6A">
        <w:t>impetu</w:t>
      </w:r>
      <w:proofErr w:type="spellEnd"/>
      <w:r w:rsidRPr="005E7A6A">
        <w:t xml:space="preserve"> ġdid biex jinbdew negozjati interistituzzjonali dwar il-proposta tal-2022 mingħajr dewmien u jħeġġeġ lill-presidenzi tal-Kunsill li jmiss jikkonformaw mal-obbligi tagħhom skont il-prinċipju ta’ kooperazzjoni reċiproka u sinċiera; </w:t>
      </w:r>
    </w:p>
    <w:p w14:paraId="1A15A54D" w14:textId="77777777" w:rsidR="00542FFE" w:rsidRPr="005E7A6A" w:rsidRDefault="00542FFE" w:rsidP="00542FFE">
      <w:pPr>
        <w:pStyle w:val="Subheading"/>
      </w:pPr>
      <w:r w:rsidRPr="005E7A6A">
        <w:t>Rakkomandazzjonijiet</w:t>
      </w:r>
    </w:p>
    <w:p w14:paraId="4B73308C" w14:textId="77777777" w:rsidR="00542FFE" w:rsidRPr="005E7A6A" w:rsidRDefault="00542FFE" w:rsidP="00542FFE">
      <w:pPr>
        <w:pStyle w:val="NormalHanging12a"/>
        <w:jc w:val="both"/>
      </w:pPr>
      <w:r w:rsidRPr="005E7A6A">
        <w:t>12.</w:t>
      </w:r>
      <w:r w:rsidRPr="005E7A6A">
        <w:tab/>
        <w:t xml:space="preserve">Iqis li t-trasparenza tal-proċess elettorali u l-aċċess għal informazzjoni affidabbli huma elementi essenzjali biex tiżdied is-sensibilizzazzjoni politika Ewropea u biex tiġi żgurata parteċipazzjoni elettorali li tkun għolja biżżejjed biex tikkostitwixxi mandat mill-elettorat; jenfasizza li l-kandidati għandu jkollhom l-istess opportunitajiet biex jagħmlu kampanja u li ċ-ċittadini għandhom jiġu infurmati minn kmieni sew dwar il-kandidati li joħorġu għall-elezzjonijiet Ewropej; jisħaq, għalhekk, fuq l-importanza li jiġu armonizzati l-iskadenzi għall-preżentazzjoni tal-listi elettorali fl-Istati Membri kollha, kif mitlub mill-Parlament f’diversi okkażjonijiet; </w:t>
      </w:r>
    </w:p>
    <w:p w14:paraId="1D1A3FD5" w14:textId="77777777" w:rsidR="00542FFE" w:rsidRPr="005E7A6A" w:rsidRDefault="00542FFE" w:rsidP="00542FFE">
      <w:pPr>
        <w:pStyle w:val="NormalHanging12a"/>
        <w:jc w:val="both"/>
      </w:pPr>
      <w:r w:rsidRPr="005E7A6A">
        <w:t>13.</w:t>
      </w:r>
      <w:r w:rsidRPr="005E7A6A">
        <w:tab/>
        <w:t xml:space="preserve">Jenfasizza li huwa essenzjali li jiġi ffaċilitat l-aċċess għall-votazzjoni fl-elezzjonijiet Ewropej u li jiġi </w:t>
      </w:r>
      <w:proofErr w:type="spellStart"/>
      <w:r w:rsidRPr="005E7A6A">
        <w:t>ggarantit</w:t>
      </w:r>
      <w:proofErr w:type="spellEnd"/>
      <w:r w:rsidRPr="005E7A6A">
        <w:t xml:space="preserve"> li dawk kollha li huma intitolati jivvotaw ikunu jistgħu jeżerċitaw dan id-dritt permezz tal-vot bil-posta jew mezzi komplementari oħra; jistieden lill-Istati Membri jiżguraw aċċess ugwali għall-informazzjoni u għall-proċess elettorali għaċ-ċittadini kollha, inklużi l-persuni b’diżabbiltà, speċjalment meta l-istrutturi pubbliċi ma jkunux kompletament aċċessibbli; jistieden, barra minn hekk, lill-Istati Membri jiggarantixxu d-dritt tal-vot u tal-kandidatura lill-persuni b’diżabilità billi jistabbilixxu dispożizzjonijiet li jarmonizzaw l-aċċessibbiltà tal-faċilitajiet tal-votazzjoni, tal-postijiet tal-votazzjoni, tal-proċeduri elettorali u tal-materjal elettorali għall-persuni b’diżabbiltà, u li </w:t>
      </w:r>
      <w:proofErr w:type="spellStart"/>
      <w:r w:rsidRPr="005E7A6A">
        <w:t>jippermettulhom</w:t>
      </w:r>
      <w:proofErr w:type="spellEnd"/>
      <w:r w:rsidRPr="005E7A6A">
        <w:t xml:space="preserve"> jivvutaw b’mod indipendenti u sigriet; jinnota li r-responsabbiltà għar-regolamentazzjoni tal-aċċessibbiltà tibqa’ kompletament f’idejn l-Istati Membri u </w:t>
      </w:r>
      <w:proofErr w:type="spellStart"/>
      <w:r w:rsidRPr="005E7A6A">
        <w:t>jistedinhom</w:t>
      </w:r>
      <w:proofErr w:type="spellEnd"/>
      <w:r w:rsidRPr="005E7A6A">
        <w:t xml:space="preserve"> jikkooperaw mal-organizzazzjonijiet tal-persuni b’diżabbiltà biex </w:t>
      </w:r>
      <w:proofErr w:type="spellStart"/>
      <w:r w:rsidRPr="005E7A6A">
        <w:t>jivvalutaw</w:t>
      </w:r>
      <w:proofErr w:type="spellEnd"/>
      <w:r w:rsidRPr="005E7A6A">
        <w:t xml:space="preserve"> u jindirizzaw l-ostakli legali u prattiċi li jipprevjenu l-parteċipazzjoni tagħhom fl-elezzjonijiet, kemm bħala votanti kif ukoll bħala kandidati; </w:t>
      </w:r>
    </w:p>
    <w:p w14:paraId="130F811C" w14:textId="77777777" w:rsidR="00542FFE" w:rsidRPr="005E7A6A" w:rsidRDefault="00542FFE" w:rsidP="00542FFE">
      <w:pPr>
        <w:pStyle w:val="NormalHanging12a"/>
        <w:jc w:val="both"/>
      </w:pPr>
      <w:r w:rsidRPr="005E7A6A">
        <w:t>14.</w:t>
      </w:r>
      <w:r w:rsidRPr="005E7A6A">
        <w:tab/>
        <w:t xml:space="preserve">Jistieden lill-Istati Membri kollha jimplimentaw il-miżuri </w:t>
      </w:r>
      <w:proofErr w:type="spellStart"/>
      <w:r w:rsidRPr="005E7A6A">
        <w:t>fakultattivi</w:t>
      </w:r>
      <w:proofErr w:type="spellEnd"/>
      <w:r w:rsidRPr="005E7A6A">
        <w:t xml:space="preserve"> kollha inklużi fid-Deċiżjoni tal-Kunsill (UE, Euratom) 2018/994 u, b’mod partikolari, itejbu l-viżibbiltà tal-alleanzi elettorali fl-elezzjonijiet Ewropej, l-affiljazzjoni tal-partiti politiċi nazzjonali mal-partiti politiċi Ewropej, l-assoċjazzjonijiet Ewropej tal-votanti u entitajiet elettorali Ewropej oħra, permezz ta’ kampanji tal-media, id-distribuzzjoni ta’ poloz tal-vot uniformi li jindikaw b’mod ċar l-alleanzi Ewropej f’kull Stat Membru, u indikazzjonijiet dwar il-materjal elettorali l-ieħor kollu; iqis li l-partiti nazzjonali u l-assoċjazzjonijiet tal-votanti għandhom jindikaw, fejn applikabbli, l-affiljazzjoni tagħhom ma’ partiti politiċi Ewropej, jew ma’ entitajiet elettorali Ewropej oħra matul il-kampanja elettorali, inkluż fuq il-polza tal-vot; </w:t>
      </w:r>
    </w:p>
    <w:p w14:paraId="54D8C186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15.</w:t>
      </w:r>
      <w:r w:rsidRPr="005E7A6A">
        <w:tab/>
        <w:t xml:space="preserve">Jistieden lill-Istati Membri kollha jieħdu passi konkreti biex jarmonizzaw ir-rekwiżiti tal-kandidatura sabiex jiżguraw aċċess ġust u ugwali għall-proċess elettorali għall-atturi politiċi kollha, f’konformità mal-prinċipju tal-kompetizzjoni ġusta u l-pluraliżmu </w:t>
      </w:r>
      <w:r w:rsidRPr="005E7A6A">
        <w:lastRenderedPageBreak/>
        <w:t xml:space="preserve">demokratiku; </w:t>
      </w:r>
    </w:p>
    <w:p w14:paraId="1A850DEB" w14:textId="77777777" w:rsidR="00542FFE" w:rsidRPr="005E7A6A" w:rsidRDefault="00542FFE" w:rsidP="00542FFE">
      <w:pPr>
        <w:pStyle w:val="NormalHanging12a"/>
        <w:jc w:val="both"/>
        <w:rPr>
          <w:bCs/>
          <w:iCs/>
        </w:rPr>
      </w:pPr>
      <w:r w:rsidRPr="005E7A6A">
        <w:t>16.</w:t>
      </w:r>
      <w:r w:rsidRPr="005E7A6A">
        <w:tab/>
        <w:t>Jissottolinja li r-ratifika tad-Deċiżjoni tal-Kunsill (UE, Euratom) 2018/994 mill-Istati Membri kollha għadha obbligatorja biex tkun tista’ tidħol fis-seħħ; jistieden, għalhekk, lill-Istat Membru li fadal biex jibda l-proċedura ta’ ratifika;</w:t>
      </w:r>
    </w:p>
    <w:p w14:paraId="7D73BAD9" w14:textId="77777777" w:rsidR="00542FFE" w:rsidRPr="005E7A6A" w:rsidRDefault="00542FFE" w:rsidP="00542FFE">
      <w:pPr>
        <w:pStyle w:val="NormalHanging12a"/>
        <w:jc w:val="center"/>
        <w:rPr>
          <w:bCs/>
          <w:iCs/>
        </w:rPr>
      </w:pPr>
      <w:r w:rsidRPr="005E7A6A">
        <w:t>°</w:t>
      </w:r>
    </w:p>
    <w:p w14:paraId="5BD405CD" w14:textId="77777777" w:rsidR="00542FFE" w:rsidRPr="005E7A6A" w:rsidRDefault="00542FFE" w:rsidP="00542FFE">
      <w:pPr>
        <w:pStyle w:val="NormalHanging12a"/>
        <w:jc w:val="center"/>
        <w:rPr>
          <w:bCs/>
          <w:iCs/>
        </w:rPr>
      </w:pPr>
      <w:r w:rsidRPr="005E7A6A">
        <w:t>°</w:t>
      </w:r>
      <w:r w:rsidRPr="005E7A6A">
        <w:tab/>
      </w:r>
      <w:r w:rsidRPr="005E7A6A">
        <w:tab/>
        <w:t>°</w:t>
      </w:r>
    </w:p>
    <w:p w14:paraId="6FEF63C2" w14:textId="2C90C683" w:rsidR="005E7A6A" w:rsidRPr="005E7A6A" w:rsidRDefault="00542FFE" w:rsidP="005E7A6A">
      <w:pPr>
        <w:pStyle w:val="NormalHanging12a"/>
      </w:pPr>
      <w:r w:rsidRPr="005E7A6A">
        <w:t>17.</w:t>
      </w:r>
      <w:r w:rsidRPr="005E7A6A">
        <w:tab/>
        <w:t>Jagħti istruzzjonijiet lill-President tiegħu biex tgħaddi din ir-riżoluzzjoni lill-Kunsill u lill-Kummissjoni.</w:t>
      </w:r>
    </w:p>
    <w:p w14:paraId="00F6515E" w14:textId="3DB5F57B" w:rsidR="00E365E1" w:rsidRPr="005E7A6A" w:rsidRDefault="00E365E1" w:rsidP="003C1A82"/>
    <w:sectPr w:rsidR="00E365E1" w:rsidRPr="005E7A6A" w:rsidSect="005E7A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6E978" w14:textId="77777777" w:rsidR="003C1A82" w:rsidRPr="005E7A6A" w:rsidRDefault="003C1A82">
      <w:r w:rsidRPr="005E7A6A">
        <w:separator/>
      </w:r>
    </w:p>
  </w:endnote>
  <w:endnote w:type="continuationSeparator" w:id="0">
    <w:p w14:paraId="22BE9E92" w14:textId="77777777" w:rsidR="003C1A82" w:rsidRPr="005E7A6A" w:rsidRDefault="003C1A82">
      <w:r w:rsidRPr="005E7A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8C03" w14:textId="77777777" w:rsidR="00064002" w:rsidRPr="005E7A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B19EB" w14:textId="77777777" w:rsidR="00064002" w:rsidRPr="005E7A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F26D2" w14:textId="77777777" w:rsidR="00064002" w:rsidRPr="005E7A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46C6A" w14:textId="77777777" w:rsidR="003C1A82" w:rsidRPr="005E7A6A" w:rsidRDefault="003C1A82">
      <w:r w:rsidRPr="005E7A6A">
        <w:separator/>
      </w:r>
    </w:p>
  </w:footnote>
  <w:footnote w:type="continuationSeparator" w:id="0">
    <w:p w14:paraId="467D8CAE" w14:textId="77777777" w:rsidR="003C1A82" w:rsidRPr="005E7A6A" w:rsidRDefault="003C1A82">
      <w:r w:rsidRPr="005E7A6A">
        <w:continuationSeparator/>
      </w:r>
    </w:p>
  </w:footnote>
  <w:footnote w:id="1">
    <w:p w14:paraId="33721208" w14:textId="3CF97FF4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E7A6A">
        <w:rPr>
          <w:sz w:val="24"/>
          <w:lang w:val="mt-MT"/>
        </w:rPr>
        <w:t xml:space="preserve">ĠU L 278, 8.10.1976, p. 5., ELI: </w:t>
      </w:r>
      <w:hyperlink r:id="rId1" w:history="1">
        <w:r w:rsidRPr="005E7A6A">
          <w:rPr>
            <w:rStyle w:val="Hyperlink"/>
            <w:sz w:val="24"/>
            <w:lang w:val="mt-MT"/>
          </w:rPr>
          <w:t>https://eur-lex.europa.eu/legal-content/MT/TXT/?uri=CELEX:41976X1008(01)</w:t>
        </w:r>
      </w:hyperlink>
      <w:r w:rsidRPr="005E7A6A">
        <w:rPr>
          <w:sz w:val="24"/>
          <w:lang w:val="mt-MT"/>
        </w:rPr>
        <w:t>.</w:t>
      </w:r>
    </w:p>
  </w:footnote>
  <w:footnote w:id="2">
    <w:p w14:paraId="3A2A8D61" w14:textId="21E7425B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E7A6A">
        <w:rPr>
          <w:sz w:val="24"/>
          <w:lang w:val="mt-MT"/>
        </w:rPr>
        <w:t xml:space="preserve">76/787/KEFA, KEE, Euratom: Id-Deċiżjoni tar-rappreżentanti tal-Istati Membri li jiltaqgħu fil-kunsill dwar l-Att li jikkonċerna l-elezzjoni tar-rappreżentanti tal-Assemblea b’suffraġju universali dirett (ĠU L 278, 8.10.1976, p. </w:t>
      </w:r>
      <w:r w:rsidRPr="005E7A6A">
        <w:rPr>
          <w:sz w:val="24"/>
          <w:lang w:val="mt-MT"/>
        </w:rPr>
        <w:t xml:space="preserve">1, ELI: </w:t>
      </w:r>
      <w:hyperlink r:id="rId2" w:history="1">
        <w:r w:rsidRPr="005E7A6A">
          <w:rPr>
            <w:rStyle w:val="Hyperlink"/>
            <w:sz w:val="24"/>
            <w:lang w:val="mt-MT"/>
          </w:rPr>
          <w:t>https://eur-lex.europa.eu/legal-content/MT/TXT/?uri=CELEX:41976D0787</w:t>
        </w:r>
      </w:hyperlink>
      <w:r w:rsidRPr="005E7A6A">
        <w:rPr>
          <w:sz w:val="24"/>
          <w:lang w:val="mt-MT"/>
        </w:rPr>
        <w:t>).</w:t>
      </w:r>
    </w:p>
  </w:footnote>
  <w:footnote w:id="3">
    <w:p w14:paraId="0D7E9F3A" w14:textId="74FFC6B9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E7A6A">
        <w:rPr>
          <w:sz w:val="24"/>
          <w:lang w:val="mt-MT"/>
        </w:rPr>
        <w:t xml:space="preserve">ĠU L 304, 20.11.2010, p. </w:t>
      </w:r>
      <w:r w:rsidRPr="005E7A6A">
        <w:rPr>
          <w:sz w:val="24"/>
          <w:lang w:val="mt-MT"/>
        </w:rPr>
        <w:t xml:space="preserve">47, ELI: </w:t>
      </w:r>
      <w:hyperlink r:id="rId3" w:history="1">
        <w:r w:rsidRPr="005E7A6A">
          <w:rPr>
            <w:rStyle w:val="Hyperlink"/>
            <w:sz w:val="24"/>
            <w:lang w:val="mt-MT"/>
          </w:rPr>
          <w:t>https://eur-lex.europa.eu/legal-content/MT/TXT/?uri=CELEX:32010Q1120(01)</w:t>
        </w:r>
      </w:hyperlink>
      <w:r w:rsidRPr="005E7A6A">
        <w:rPr>
          <w:sz w:val="24"/>
          <w:lang w:val="mt-MT"/>
        </w:rPr>
        <w:t>.</w:t>
      </w:r>
    </w:p>
  </w:footnote>
  <w:footnote w:id="4">
    <w:p w14:paraId="4DAF3781" w14:textId="50045B36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375BD">
        <w:rPr>
          <w:sz w:val="24"/>
          <w:lang w:val="mt-MT"/>
        </w:rPr>
        <w:t>ĠU C 366, 27.10.2017, p. 7</w:t>
      </w:r>
      <w:r w:rsidRPr="005E7A6A">
        <w:rPr>
          <w:sz w:val="24"/>
          <w:lang w:val="mt-MT"/>
        </w:rPr>
        <w:t>.</w:t>
      </w:r>
    </w:p>
  </w:footnote>
  <w:footnote w:id="5">
    <w:p w14:paraId="55F13BFC" w14:textId="7E9E68B7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375BD">
        <w:rPr>
          <w:sz w:val="24"/>
          <w:lang w:val="mt-MT"/>
        </w:rPr>
        <w:t>ĠU C 465, 6.12.2022, p. 171</w:t>
      </w:r>
      <w:r w:rsidRPr="005E7A6A">
        <w:rPr>
          <w:sz w:val="24"/>
          <w:lang w:val="mt-MT"/>
        </w:rPr>
        <w:t xml:space="preserve">. </w:t>
      </w:r>
    </w:p>
  </w:footnote>
  <w:footnote w:id="6">
    <w:p w14:paraId="22971082" w14:textId="5F85C18C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E7A6A">
        <w:rPr>
          <w:sz w:val="24"/>
          <w:lang w:val="mt-MT"/>
        </w:rPr>
        <w:t xml:space="preserve">ĠU L 178, 16.7.2018, p. </w:t>
      </w:r>
      <w:r w:rsidRPr="005E7A6A">
        <w:rPr>
          <w:sz w:val="24"/>
          <w:lang w:val="mt-MT"/>
        </w:rPr>
        <w:t xml:space="preserve">1, ELI: </w:t>
      </w:r>
      <w:hyperlink r:id="rId4" w:history="1">
        <w:r w:rsidRPr="005E7A6A">
          <w:rPr>
            <w:rStyle w:val="Hyperlink"/>
            <w:sz w:val="24"/>
            <w:lang w:val="mt-MT"/>
          </w:rPr>
          <w:t>http://data.europa.eu/eli/dec/2018/994/oj</w:t>
        </w:r>
      </w:hyperlink>
      <w:r w:rsidRPr="005E7A6A">
        <w:rPr>
          <w:sz w:val="24"/>
          <w:lang w:val="mt-MT"/>
        </w:rPr>
        <w:t>.</w:t>
      </w:r>
    </w:p>
  </w:footnote>
  <w:footnote w:id="7">
    <w:p w14:paraId="18611C87" w14:textId="3CF1F49A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E7A6A">
        <w:rPr>
          <w:sz w:val="24"/>
          <w:lang w:val="mt-MT"/>
        </w:rPr>
        <w:t xml:space="preserve">Ir-Regolament (UE, Euratom) Nru 1141/2014 tal-Parlament Ewropew u tal-Kunsill tat-22 ta’ Ottubru 2014 dwar l-istatut u l-finanzjament tal-partiti politiċi Ewropej u l-fondazzjonijiet politiċi Ewropej, (ĠU L 317, 4.11.2014, p. </w:t>
      </w:r>
      <w:r w:rsidRPr="005E7A6A">
        <w:rPr>
          <w:sz w:val="24"/>
          <w:lang w:val="mt-MT"/>
        </w:rPr>
        <w:t xml:space="preserve">1, ELI: </w:t>
      </w:r>
      <w:hyperlink r:id="rId5" w:history="1">
        <w:r w:rsidRPr="005E7A6A">
          <w:rPr>
            <w:rStyle w:val="Hyperlink"/>
            <w:sz w:val="24"/>
            <w:lang w:val="mt-MT"/>
          </w:rPr>
          <w:t>http://data.europa.eu/eli/reg/2014/1141/oj</w:t>
        </w:r>
      </w:hyperlink>
      <w:r w:rsidRPr="005E7A6A">
        <w:rPr>
          <w:sz w:val="24"/>
          <w:lang w:val="mt-MT"/>
        </w:rPr>
        <w:t xml:space="preserve">). </w:t>
      </w:r>
    </w:p>
  </w:footnote>
  <w:footnote w:id="8">
    <w:p w14:paraId="60901D97" w14:textId="527749B8" w:rsidR="00542FFE" w:rsidRPr="005E7A6A" w:rsidRDefault="00542FFE" w:rsidP="005E7A6A">
      <w:pPr>
        <w:pStyle w:val="FootnoteText"/>
        <w:ind w:left="567" w:hanging="567"/>
        <w:rPr>
          <w:sz w:val="24"/>
          <w:lang w:val="mt-MT"/>
        </w:rPr>
      </w:pPr>
      <w:r w:rsidRPr="005E7A6A">
        <w:rPr>
          <w:rStyle w:val="FootnoteReference"/>
          <w:sz w:val="24"/>
          <w:lang w:val="mt-MT"/>
        </w:rPr>
        <w:footnoteRef/>
      </w:r>
      <w:r w:rsidR="005E7A6A" w:rsidRPr="005E7A6A">
        <w:rPr>
          <w:sz w:val="24"/>
          <w:lang w:val="mt-MT"/>
        </w:rPr>
        <w:t xml:space="preserve"> </w:t>
      </w:r>
      <w:r w:rsidR="005E7A6A" w:rsidRPr="005E7A6A">
        <w:rPr>
          <w:sz w:val="24"/>
          <w:lang w:val="mt-MT"/>
        </w:rPr>
        <w:tab/>
      </w:r>
      <w:r w:rsidRPr="005E7A6A">
        <w:rPr>
          <w:sz w:val="24"/>
          <w:lang w:val="mt-MT"/>
        </w:rPr>
        <w:t xml:space="preserve">Id-Deċiżjoni tal-Kunsill (UE, Euratom) 2018/994 tat-13 ta’ Lulju 2018 li temenda l-Att li jikkonċerna l-elezzjoni tal-membri tal-Parlament Ewropew b’vot universali dirett, anness mad-Deċiżjoni tal-Kunsill 76/787/KEFA, KEE, Euratom tal-20 ta’ Settembru 1976 1976 (ĠU L 178, 16.7.2018, p. </w:t>
      </w:r>
      <w:r w:rsidRPr="005E7A6A">
        <w:rPr>
          <w:sz w:val="24"/>
          <w:lang w:val="mt-MT"/>
        </w:rPr>
        <w:t>1, ELI: </w:t>
      </w:r>
      <w:hyperlink r:id="rId6" w:tooltip="Jagħti aċċess għal dan id-dokument permezz tal-ELI URI tiegħu." w:history="1">
        <w:r w:rsidRPr="005E7A6A">
          <w:rPr>
            <w:rStyle w:val="Hyperlink"/>
            <w:sz w:val="24"/>
            <w:lang w:val="mt-MT"/>
          </w:rPr>
          <w:t>http://data.europa.eu/eli/dec/2018/994/oj</w:t>
        </w:r>
      </w:hyperlink>
      <w:r w:rsidRPr="005E7A6A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2D13D" w14:textId="77777777" w:rsidR="00064002" w:rsidRPr="005E7A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E299E" w14:textId="77777777" w:rsidR="00064002" w:rsidRPr="005E7A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FB845" w14:textId="77777777" w:rsidR="00064002" w:rsidRPr="005E7A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5946472">
    <w:abstractNumId w:val="9"/>
  </w:num>
  <w:num w:numId="2" w16cid:durableId="1126465452">
    <w:abstractNumId w:val="9"/>
  </w:num>
  <w:num w:numId="3" w16cid:durableId="1336881800">
    <w:abstractNumId w:val="7"/>
  </w:num>
  <w:num w:numId="4" w16cid:durableId="712846447">
    <w:abstractNumId w:val="7"/>
  </w:num>
  <w:num w:numId="5" w16cid:durableId="1210537693">
    <w:abstractNumId w:val="6"/>
  </w:num>
  <w:num w:numId="6" w16cid:durableId="543324849">
    <w:abstractNumId w:val="6"/>
  </w:num>
  <w:num w:numId="7" w16cid:durableId="1835409418">
    <w:abstractNumId w:val="5"/>
  </w:num>
  <w:num w:numId="8" w16cid:durableId="1322923158">
    <w:abstractNumId w:val="5"/>
  </w:num>
  <w:num w:numId="9" w16cid:durableId="2057854589">
    <w:abstractNumId w:val="4"/>
  </w:num>
  <w:num w:numId="10" w16cid:durableId="1909338755">
    <w:abstractNumId w:val="4"/>
  </w:num>
  <w:num w:numId="11" w16cid:durableId="1355574270">
    <w:abstractNumId w:val="8"/>
  </w:num>
  <w:num w:numId="12" w16cid:durableId="479735026">
    <w:abstractNumId w:val="8"/>
  </w:num>
  <w:num w:numId="13" w16cid:durableId="1785884778">
    <w:abstractNumId w:val="3"/>
  </w:num>
  <w:num w:numId="14" w16cid:durableId="452752940">
    <w:abstractNumId w:val="3"/>
  </w:num>
  <w:num w:numId="15" w16cid:durableId="1122772236">
    <w:abstractNumId w:val="2"/>
  </w:num>
  <w:num w:numId="16" w16cid:durableId="1422797924">
    <w:abstractNumId w:val="2"/>
  </w:num>
  <w:num w:numId="17" w16cid:durableId="769812904">
    <w:abstractNumId w:val="1"/>
  </w:num>
  <w:num w:numId="18" w16cid:durableId="1464620510">
    <w:abstractNumId w:val="1"/>
  </w:num>
  <w:num w:numId="19" w16cid:durableId="481428881">
    <w:abstractNumId w:val="0"/>
  </w:num>
  <w:num w:numId="20" w16cid:durableId="1230269152">
    <w:abstractNumId w:val="0"/>
  </w:num>
  <w:num w:numId="21" w16cid:durableId="1015694465">
    <w:abstractNumId w:val="9"/>
  </w:num>
  <w:num w:numId="22" w16cid:durableId="918296536">
    <w:abstractNumId w:val="7"/>
  </w:num>
  <w:num w:numId="23" w16cid:durableId="561408990">
    <w:abstractNumId w:val="6"/>
  </w:num>
  <w:num w:numId="24" w16cid:durableId="1062943413">
    <w:abstractNumId w:val="5"/>
  </w:num>
  <w:num w:numId="25" w16cid:durableId="1678576100">
    <w:abstractNumId w:val="4"/>
  </w:num>
  <w:num w:numId="26" w16cid:durableId="950671827">
    <w:abstractNumId w:val="8"/>
  </w:num>
  <w:num w:numId="27" w16cid:durableId="1493989918">
    <w:abstractNumId w:val="3"/>
  </w:num>
  <w:num w:numId="28" w16cid:durableId="879128674">
    <w:abstractNumId w:val="2"/>
  </w:num>
  <w:num w:numId="29" w16cid:durableId="92165519">
    <w:abstractNumId w:val="1"/>
  </w:num>
  <w:num w:numId="30" w16cid:durableId="716977416">
    <w:abstractNumId w:val="0"/>
  </w:num>
  <w:num w:numId="31" w16cid:durableId="832720748">
    <w:abstractNumId w:val="9"/>
  </w:num>
  <w:num w:numId="32" w16cid:durableId="2102723271">
    <w:abstractNumId w:val="7"/>
  </w:num>
  <w:num w:numId="33" w16cid:durableId="24528654">
    <w:abstractNumId w:val="6"/>
  </w:num>
  <w:num w:numId="34" w16cid:durableId="2052342348">
    <w:abstractNumId w:val="5"/>
  </w:num>
  <w:num w:numId="35" w16cid:durableId="2046132077">
    <w:abstractNumId w:val="4"/>
  </w:num>
  <w:num w:numId="36" w16cid:durableId="1236476640">
    <w:abstractNumId w:val="8"/>
  </w:num>
  <w:num w:numId="37" w16cid:durableId="1065421330">
    <w:abstractNumId w:val="3"/>
  </w:num>
  <w:num w:numId="38" w16cid:durableId="1213426419">
    <w:abstractNumId w:val="2"/>
  </w:num>
  <w:num w:numId="39" w16cid:durableId="1721517962">
    <w:abstractNumId w:val="1"/>
  </w:num>
  <w:num w:numId="40" w16cid:durableId="1479109540">
    <w:abstractNumId w:val="0"/>
  </w:num>
  <w:num w:numId="41" w16cid:durableId="988285646">
    <w:abstractNumId w:val="10"/>
  </w:num>
  <w:num w:numId="42" w16cid:durableId="1213155535">
    <w:abstractNumId w:val="10"/>
  </w:num>
  <w:num w:numId="43" w16cid:durableId="1258755970">
    <w:abstractNumId w:val="10"/>
  </w:num>
  <w:num w:numId="44" w16cid:durableId="10423678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2/2025"/>
    <w:docVar w:name="dvlangue" w:val="MT"/>
    <w:docVar w:name="dvnumam" w:val="0"/>
    <w:docVar w:name="dvpe" w:val="767.970"/>
    <w:docVar w:name="dvrapporteur" w:val="Rapporteur: "/>
    <w:docVar w:name="dvtitre" w:val="Riżoluzzjoni leġiżlattiva tal-Parlament Ewropew xx xx xxxx 2026 dwar ir-riforma tal-Att Elettorali Ewropew – ostakli għar-ratifika u l-implimentazzjoni fl-Istati Membri(2025/2028(INI))"/>
  </w:docVars>
  <w:rsids>
    <w:rsidRoot w:val="003C1A8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1A8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5BD"/>
    <w:rsid w:val="00542FFE"/>
    <w:rsid w:val="00545827"/>
    <w:rsid w:val="00560270"/>
    <w:rsid w:val="005C2568"/>
    <w:rsid w:val="005E7A6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C60"/>
    <w:rsid w:val="00865F67"/>
    <w:rsid w:val="008816C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1E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C7F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28F02"/>
  <w15:chartTrackingRefBased/>
  <w15:docId w15:val="{DA000DDF-9D52-4412-ABCC-CB1E7427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42FFE"/>
    <w:pPr>
      <w:spacing w:after="240"/>
      <w:ind w:left="567" w:hanging="567"/>
    </w:pPr>
  </w:style>
  <w:style w:type="paragraph" w:customStyle="1" w:styleId="Subheading">
    <w:name w:val="Subheading"/>
    <w:basedOn w:val="Normal"/>
    <w:rsid w:val="00542FFE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542FFE"/>
    <w:pPr>
      <w:spacing w:before="480" w:after="240"/>
    </w:pPr>
  </w:style>
  <w:style w:type="character" w:styleId="Hyperlink">
    <w:name w:val="Hyperlink"/>
    <w:basedOn w:val="DefaultParagraphFont"/>
    <w:rsid w:val="00542F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MT/TXT/?uri=CELEX:32010Q1120(01)" TargetMode="External"/><Relationship Id="rId2" Type="http://schemas.openxmlformats.org/officeDocument/2006/relationships/hyperlink" Target="https://eur-lex.europa.eu/legal-content/MT/TXT/?uri=CELEX:41976D0787" TargetMode="External"/><Relationship Id="rId1" Type="http://schemas.openxmlformats.org/officeDocument/2006/relationships/hyperlink" Target="https://eur-lex.europa.eu/legal-content/MT/TXT/?uri=CELEX:41976X1008(01)" TargetMode="External"/><Relationship Id="rId6" Type="http://schemas.openxmlformats.org/officeDocument/2006/relationships/hyperlink" Target="https://eur-lex.europa.eu/legal-content/MT/TXT/?uri=CELEX:32018D0994" TargetMode="External"/><Relationship Id="rId5" Type="http://schemas.openxmlformats.org/officeDocument/2006/relationships/hyperlink" Target="https://eur-lex.europa.eu/legal-content/MT/TXT/?uri=CELEX:32014R1141" TargetMode="External"/><Relationship Id="rId4" Type="http://schemas.openxmlformats.org/officeDocument/2006/relationships/hyperlink" Target="https://eur-lex.europa.eu/legal-content/MT/TXT/?uri=CELEX:32018D09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2235</Words>
  <Characters>16698</Characters>
  <Application>Microsoft Office Word</Application>
  <DocSecurity>0</DocSecurity>
  <Lines>642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2026-01-20T12:51:00Z</dcterms:created>
  <dcterms:modified xsi:type="dcterms:W3CDTF">2026-01-20T12:51:00Z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A10-0252/2025</vt:lpwstr>
  </property>
  <property fmtid="{D5CDD505-2E9C-101B-9397-08002B2CF9AE}" pid="4" name="&lt;Type&gt;">
    <vt:lpwstr>RR</vt:lpwstr>
  </property>
</Properties>
</file>