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4784" w14:paraId="164553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9F3614" w14:textId="77777777" w:rsidR="00751A4A" w:rsidRPr="00B24784" w:rsidRDefault="00967967" w:rsidP="0010095E">
            <w:pPr>
              <w:pStyle w:val="EPName"/>
            </w:pPr>
            <w:r w:rsidRPr="00B24784">
              <w:t>Parlament Europejski</w:t>
            </w:r>
          </w:p>
          <w:p w14:paraId="51EA4E0B" w14:textId="77777777" w:rsidR="00751A4A" w:rsidRPr="00B247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4784">
              <w:t>2024</w:t>
            </w:r>
            <w:r w:rsidR="00817416" w:rsidRPr="00B24784">
              <w:t>-202</w:t>
            </w:r>
            <w:r w:rsidRPr="00B24784">
              <w:t>9</w:t>
            </w:r>
          </w:p>
        </w:tc>
        <w:tc>
          <w:tcPr>
            <w:tcW w:w="2268" w:type="dxa"/>
            <w:shd w:val="clear" w:color="auto" w:fill="auto"/>
          </w:tcPr>
          <w:p w14:paraId="24C0DF5A" w14:textId="77777777" w:rsidR="00751A4A" w:rsidRPr="00B24784" w:rsidRDefault="00187494" w:rsidP="0010095E">
            <w:pPr>
              <w:pStyle w:val="EPLogo"/>
            </w:pPr>
            <w:r w:rsidRPr="00B24784">
              <w:rPr>
                <w:noProof/>
                <w:lang w:eastAsia="ja-JP"/>
              </w:rPr>
              <w:drawing>
                <wp:inline distT="0" distB="0" distL="0" distR="0" wp14:anchorId="05C634D1" wp14:editId="1FE4E8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3F802" w14:textId="77777777" w:rsidR="00D058B8" w:rsidRPr="00B24784" w:rsidRDefault="00D058B8" w:rsidP="004C5D52">
      <w:pPr>
        <w:pStyle w:val="LineTop"/>
      </w:pPr>
    </w:p>
    <w:p w14:paraId="1F3E6289" w14:textId="77777777" w:rsidR="00680577" w:rsidRPr="00B24784" w:rsidRDefault="00967967" w:rsidP="00680577">
      <w:pPr>
        <w:pStyle w:val="EPBodyTA1"/>
      </w:pPr>
      <w:r w:rsidRPr="00B24784">
        <w:t>TEKSTY PRZYJĘTE</w:t>
      </w:r>
    </w:p>
    <w:p w14:paraId="3756D459" w14:textId="77777777" w:rsidR="00D058B8" w:rsidRPr="00B24784" w:rsidRDefault="00D058B8" w:rsidP="00D058B8">
      <w:pPr>
        <w:pStyle w:val="LineBottom"/>
      </w:pPr>
    </w:p>
    <w:p w14:paraId="191D251D" w14:textId="674AAF38" w:rsidR="00967967" w:rsidRPr="00B24784" w:rsidRDefault="00967967" w:rsidP="00967967">
      <w:pPr>
        <w:pStyle w:val="ATHeading1"/>
      </w:pPr>
      <w:bookmarkStart w:id="0" w:name="TANumber"/>
      <w:bookmarkStart w:id="1" w:name="_Hlk219802354"/>
      <w:r w:rsidRPr="00B24784">
        <w:t>P10_TA(2026)000</w:t>
      </w:r>
      <w:r w:rsidR="0021237C">
        <w:t>6</w:t>
      </w:r>
      <w:bookmarkEnd w:id="0"/>
    </w:p>
    <w:p w14:paraId="0E2587A7" w14:textId="77777777" w:rsidR="00967967" w:rsidRPr="00B24784" w:rsidRDefault="00967967" w:rsidP="00967967">
      <w:pPr>
        <w:pStyle w:val="ATHeading2"/>
      </w:pPr>
      <w:bookmarkStart w:id="2" w:name="title"/>
      <w:r w:rsidRPr="00B24784">
        <w:t>Reforma europejskiego aktu wyborczego – przeszkody w jego ratyfikacji i wdrażaniu w państwach członkowskich</w:t>
      </w:r>
      <w:bookmarkEnd w:id="2"/>
    </w:p>
    <w:p w14:paraId="50D1DB66" w14:textId="77777777" w:rsidR="00967967" w:rsidRPr="00B24784" w:rsidRDefault="00967967" w:rsidP="00967967">
      <w:pPr>
        <w:rPr>
          <w:i/>
          <w:vanish/>
        </w:rPr>
      </w:pPr>
      <w:r w:rsidRPr="00B24784">
        <w:rPr>
          <w:i/>
        </w:rPr>
        <w:fldChar w:fldCharType="begin"/>
      </w:r>
      <w:r w:rsidRPr="00B24784">
        <w:rPr>
          <w:i/>
        </w:rPr>
        <w:instrText xml:space="preserve"> TC"(</w:instrText>
      </w:r>
      <w:bookmarkStart w:id="3" w:name="DocNumber"/>
      <w:r w:rsidRPr="00B24784">
        <w:rPr>
          <w:i/>
        </w:rPr>
        <w:instrText>A10-0252/2025</w:instrText>
      </w:r>
      <w:bookmarkEnd w:id="3"/>
      <w:r w:rsidRPr="00B24784">
        <w:rPr>
          <w:i/>
        </w:rPr>
        <w:instrText xml:space="preserve"> - Sprawozdawca: Borja Giménez Larraz)"\l3 \n&gt; \* MERGEFORMAT </w:instrText>
      </w:r>
      <w:r w:rsidRPr="00B24784">
        <w:rPr>
          <w:i/>
        </w:rPr>
        <w:fldChar w:fldCharType="end"/>
      </w:r>
    </w:p>
    <w:p w14:paraId="1DDAA7B5" w14:textId="77777777" w:rsidR="00967967" w:rsidRPr="00B24784" w:rsidRDefault="00967967" w:rsidP="00967967">
      <w:pPr>
        <w:rPr>
          <w:vanish/>
        </w:rPr>
      </w:pPr>
      <w:bookmarkStart w:id="4" w:name="Commission"/>
      <w:r w:rsidRPr="00B24784">
        <w:rPr>
          <w:vanish/>
        </w:rPr>
        <w:t>Komisja Spraw Konstytucyjnych</w:t>
      </w:r>
      <w:bookmarkEnd w:id="4"/>
    </w:p>
    <w:p w14:paraId="68608173" w14:textId="77777777" w:rsidR="00967967" w:rsidRPr="00B24784" w:rsidRDefault="00967967" w:rsidP="00967967">
      <w:pPr>
        <w:rPr>
          <w:vanish/>
        </w:rPr>
      </w:pPr>
      <w:bookmarkStart w:id="5" w:name="PE"/>
      <w:r w:rsidRPr="00B24784">
        <w:rPr>
          <w:vanish/>
        </w:rPr>
        <w:t>PE767.970</w:t>
      </w:r>
      <w:bookmarkEnd w:id="5"/>
    </w:p>
    <w:p w14:paraId="61A2017F" w14:textId="47CF60E8" w:rsidR="00967967" w:rsidRPr="00B24784" w:rsidRDefault="00967967" w:rsidP="00045447">
      <w:pPr>
        <w:pStyle w:val="ATHeading3"/>
      </w:pPr>
      <w:bookmarkStart w:id="6" w:name="Sujet"/>
      <w:r w:rsidRPr="00B24784">
        <w:t xml:space="preserve">Rezolucja Parlamentu Europejskiego z dnia </w:t>
      </w:r>
      <w:r w:rsidR="00E4688B" w:rsidRPr="00E95876">
        <w:t>20</w:t>
      </w:r>
      <w:r w:rsidR="00660406" w:rsidRPr="00E95876">
        <w:t xml:space="preserve"> stycznia</w:t>
      </w:r>
      <w:r w:rsidRPr="00E95876">
        <w:t xml:space="preserve"> 2026 r. </w:t>
      </w:r>
      <w:r w:rsidR="0021237C" w:rsidRPr="00B24784">
        <w:t>„</w:t>
      </w:r>
      <w:r w:rsidRPr="0021237C">
        <w:t>Reforma europejskiego aktu wyborczego – przeszkody w jego ratyfikacji i wdrażaniu w państwach członkowskich</w:t>
      </w:r>
      <w:bookmarkEnd w:id="6"/>
      <w:r w:rsidR="0021237C" w:rsidRPr="00B24784">
        <w:t>”</w:t>
      </w:r>
      <w:r w:rsidRPr="0021237C">
        <w:t xml:space="preserve"> </w:t>
      </w:r>
      <w:bookmarkStart w:id="7" w:name="References"/>
      <w:r w:rsidRPr="0021237C">
        <w:t>(2025/2028(INI))</w:t>
      </w:r>
      <w:bookmarkEnd w:id="7"/>
    </w:p>
    <w:p w14:paraId="471EC516" w14:textId="77777777" w:rsidR="0001335C" w:rsidRPr="00B24784" w:rsidRDefault="0001335C" w:rsidP="0001335C">
      <w:pPr>
        <w:pStyle w:val="EPComma"/>
      </w:pPr>
      <w:bookmarkStart w:id="8" w:name="TextBodyBegin"/>
      <w:bookmarkEnd w:id="8"/>
      <w:bookmarkEnd w:id="1"/>
      <w:r w:rsidRPr="00B24784">
        <w:rPr>
          <w:i/>
        </w:rPr>
        <w:t>Parlament Europejski</w:t>
      </w:r>
      <w:r w:rsidRPr="00B24784">
        <w:t>,</w:t>
      </w:r>
    </w:p>
    <w:p w14:paraId="027BAEE5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tab/>
        <w:t>uwzględniając traktaty, w szczególności art. 9, 10, 14 i art. 17 ust. 7 Traktatu o Unii Europejskiej (TUE) oraz art. 22, art. 223 ust. 1 i art. 225 Traktatu o funkcjonowaniu Unii Europejskiej (TFUE),</w:t>
      </w:r>
    </w:p>
    <w:p w14:paraId="5DF128C2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tab/>
        <w:t>uwzględniając Akt dotyczący wyborów przedstawicieli do Parlamentu Europejskiego w powszechnych wyborach bezpośrednich</w:t>
      </w:r>
      <w:r w:rsidRPr="00B24784">
        <w:rPr>
          <w:rStyle w:val="FootnoteReference"/>
        </w:rPr>
        <w:footnoteReference w:id="1"/>
      </w:r>
      <w:r w:rsidRPr="00B24784">
        <w:t xml:space="preserve"> („europejski akt wyborczy”) załączony do decyzji Rady z dnia 20 września 1976 r.</w:t>
      </w:r>
      <w:r w:rsidRPr="00B24784">
        <w:rPr>
          <w:rStyle w:val="FootnoteReference"/>
        </w:rPr>
        <w:footnoteReference w:id="2"/>
      </w:r>
      <w:r w:rsidRPr="00B24784">
        <w:t xml:space="preserve"> wraz ze zmianami,</w:t>
      </w:r>
    </w:p>
    <w:p w14:paraId="07B582B5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tab/>
        <w:t>uwzględniając porozumienie ramowe z dnia 20 października 2010 r. w sprawie stosunków między Parlamentem Europejskim i Komisją Europejską</w:t>
      </w:r>
      <w:r w:rsidRPr="00B24784">
        <w:rPr>
          <w:rStyle w:val="FootnoteReference"/>
        </w:rPr>
        <w:footnoteReference w:id="3"/>
      </w:r>
      <w:r w:rsidRPr="00B24784">
        <w:t>,</w:t>
      </w:r>
    </w:p>
    <w:p w14:paraId="59641745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tab/>
        <w:t>uwzględniając swoją rezolucję z dnia 11 listopada 2015 r. w sprawie reformy prawa wyborczego Unii Europejskiej</w:t>
      </w:r>
      <w:r w:rsidRPr="00B24784">
        <w:rPr>
          <w:rStyle w:val="FootnoteReference"/>
        </w:rPr>
        <w:footnoteReference w:id="4"/>
      </w:r>
      <w:r w:rsidRPr="00B24784">
        <w:t>,</w:t>
      </w:r>
    </w:p>
    <w:p w14:paraId="6FDD90C6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tab/>
        <w:t>uwzględniając swoje stanowisko z dnia 3 maja 2022 r. w sprawie wniosku dotyczącego rozporządzenia Rady w sprawie wyboru posłów do Parlamentu Europejskiego w powszechnych wyborach bezpośrednich, uchylającego decyzję Rady (76/787/EWWiS, EWG, Euratom) oraz Akt dotyczący wyborów przedstawicieli do Parlamentu Europejskiego w powszechnych wyborach bezpośrednich załączony do tej decyzji (2020/2220(INL) — 2022/0902(APP))</w:t>
      </w:r>
      <w:r w:rsidRPr="00B24784">
        <w:rPr>
          <w:rStyle w:val="FootnoteReference"/>
        </w:rPr>
        <w:footnoteReference w:id="5"/>
      </w:r>
      <w:r w:rsidRPr="00B24784">
        <w:t>,</w:t>
      </w:r>
    </w:p>
    <w:p w14:paraId="2207EC8D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tab/>
        <w:t xml:space="preserve">uwzględniając decyzję Rady (UE, Euratom) 2018/994 z dnia 13 lipca 2018 r. </w:t>
      </w:r>
      <w:r w:rsidRPr="00B24784">
        <w:lastRenderedPageBreak/>
        <w:t>zmieniającą Akt dotyczący wyborów członków Parlamentu Europejskiego w powszechnych wyborach bezpośrednich, załączony do decyzji Rady 76/787/EWWiS, EWG, Euratom z dnia 20 września 1976 r.</w:t>
      </w:r>
      <w:r w:rsidRPr="00B24784">
        <w:rPr>
          <w:rStyle w:val="FootnoteReference"/>
        </w:rPr>
        <w:footnoteReference w:id="6"/>
      </w:r>
      <w:r w:rsidRPr="00B24784">
        <w:t>,</w:t>
      </w:r>
    </w:p>
    <w:p w14:paraId="250A9100" w14:textId="77777777" w:rsidR="0001335C" w:rsidRPr="00B24784" w:rsidRDefault="0001335C" w:rsidP="0001335C">
      <w:pPr>
        <w:pStyle w:val="NormalHanging12a"/>
      </w:pPr>
      <w:r w:rsidRPr="00B24784">
        <w:t>–</w:t>
      </w:r>
      <w:r w:rsidRPr="00B24784">
        <w:rPr>
          <w:b/>
          <w:i/>
        </w:rPr>
        <w:tab/>
      </w:r>
      <w:r w:rsidRPr="00B24784">
        <w:t>uwzględniając Konwencję Narodów Zjednoczonych o prawach osób niepełnosprawnych,</w:t>
      </w:r>
    </w:p>
    <w:p w14:paraId="2169742F" w14:textId="77777777" w:rsidR="0001335C" w:rsidRPr="00B24784" w:rsidRDefault="0001335C" w:rsidP="00660406">
      <w:pPr>
        <w:pStyle w:val="NormalHanging12a"/>
      </w:pPr>
      <w:r w:rsidRPr="00B24784">
        <w:t>–</w:t>
      </w:r>
      <w:r w:rsidRPr="00B24784">
        <w:tab/>
        <w:t>uwzględniając art. 55 Regulaminu oraz art. 1 ust. 1 lit. e) decyzji Konferencji Przewodniczących z dnia 12 grudnia 2002 r. dotyczącej procedury udzielania zgody na sporządzenie sprawozdań z własnej inicjatywy, a także załącznik 3 do tej decyzji,</w:t>
      </w:r>
    </w:p>
    <w:p w14:paraId="659AF7FA" w14:textId="77777777" w:rsidR="0001335C" w:rsidRPr="00B24784" w:rsidRDefault="0001335C" w:rsidP="00045447">
      <w:pPr>
        <w:pStyle w:val="NormalHanging12a"/>
      </w:pPr>
      <w:r w:rsidRPr="00B24784">
        <w:t>–</w:t>
      </w:r>
      <w:r w:rsidRPr="00B24784">
        <w:tab/>
        <w:t>uwzględniając sprawozdanie Komisji Spraw Konstytucyjnych (A10-0252/2025),</w:t>
      </w:r>
    </w:p>
    <w:p w14:paraId="052827E9" w14:textId="77777777" w:rsidR="0001335C" w:rsidRPr="00B24784" w:rsidRDefault="0001335C" w:rsidP="00045447">
      <w:pPr>
        <w:pStyle w:val="NormalHanging12a"/>
        <w:tabs>
          <w:tab w:val="left" w:pos="567"/>
        </w:tabs>
      </w:pPr>
      <w:r w:rsidRPr="00B24784">
        <w:t>A.</w:t>
      </w:r>
      <w:r w:rsidRPr="00B24784">
        <w:tab/>
        <w:t xml:space="preserve">mając na uwadze, że art. 223 TFUE daje Parlamentowi Europejskiemu prawo do zainicjowania reformy własnej procedury wyborczej, w celu wypracowania jednolitej procedury mającej zastosowanie w całej UE lub procedury opartej na zasadach wspólnych dla wszystkich państw członkowskich, oraz do udzielenia zgody na tę reformę; mając na uwadze, że instytucje UE i państwa członkowskie UE są związane zasadą lojalnej współpracy określoną w art. 4 ust. 3 TUE; </w:t>
      </w:r>
    </w:p>
    <w:p w14:paraId="708FD34F" w14:textId="77777777" w:rsidR="0001335C" w:rsidRPr="00B24784" w:rsidRDefault="0001335C" w:rsidP="00660406">
      <w:pPr>
        <w:pStyle w:val="NormalHanging12a"/>
        <w:ind w:hanging="570"/>
        <w:rPr>
          <w:bCs/>
          <w:iCs/>
        </w:rPr>
      </w:pPr>
      <w:r w:rsidRPr="00B24784">
        <w:t>B.</w:t>
      </w:r>
      <w:r w:rsidRPr="00B24784">
        <w:tab/>
        <w:t xml:space="preserve">mając na uwadze, że jednolita procedura wyborcza nie tylko zapewniłaby większą równość i przejrzystość procesu wyborczego, ale także sprzyjałaby powstaniu europejskiej sfery politycznej i publicznej, wzmacniając tym samym legitymację UE i jej instytucji; </w:t>
      </w:r>
    </w:p>
    <w:p w14:paraId="58AA6A58" w14:textId="77777777" w:rsidR="0001335C" w:rsidRPr="00B24784" w:rsidRDefault="0001335C" w:rsidP="00045447">
      <w:pPr>
        <w:pStyle w:val="NormalHanging12a"/>
      </w:pPr>
      <w:r w:rsidRPr="00B24784">
        <w:t>C.</w:t>
      </w:r>
      <w:r w:rsidRPr="00B24784">
        <w:tab/>
        <w:t xml:space="preserve">mając na uwadze, że zgodnie z art. 223 ust. 1 TFUE wejście w życie zmienionego europejskiego aktu wyborczego podlega zatwierdzeniu przez wszystkie państwa członkowskie zgodnie z ich odpowiednimi wymogami konstytucyjnymi, przy czym każde państwo członkowskie zachowuje pełną swobodę decydowania o terminie jego ratyfikacji; </w:t>
      </w:r>
    </w:p>
    <w:p w14:paraId="1CBE9A7F" w14:textId="77777777" w:rsidR="0001335C" w:rsidRPr="00B24784" w:rsidRDefault="0001335C" w:rsidP="00045447">
      <w:pPr>
        <w:pStyle w:val="NormalHanging12a"/>
      </w:pPr>
      <w:r w:rsidRPr="00B24784">
        <w:t>D.</w:t>
      </w:r>
      <w:r w:rsidRPr="00B24784">
        <w:tab/>
        <w:t>mając na uwadze, że możliwość opracowania jednolitej procedury wyborczej w oparciu o powszechne wybory bezpośrednie jest zapisana w traktatach od 1957 r.;</w:t>
      </w:r>
    </w:p>
    <w:p w14:paraId="5739BC86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E.</w:t>
      </w:r>
      <w:r w:rsidRPr="00B24784">
        <w:tab/>
        <w:t>mając na uwadze, że w europejskim akcie wyborczym z 1976 r. określono cel ustanowienia takiej jednolitej procedury i wyraźnie upoważniono Parlament Europejski do podjęcia niezbędnych kroków w tym celu; mając na uwadze, że możliwość ustanowienia „wspólnych zasad” zamiast zharmonizowanej procedury wprowadzono dopiero na późniejszym etapie, jako pragmatyczną odpowiedź na utrzymujące się trudności w osiągnięciu jednomyślnej zgody w sprawie jednolitej procedury wyborczej; mając na uwadze, że ta zmiana podejścia doprowadziła do nieustannego, nierównomiernego wdrażania reform wyborczych, a tym samym podważyła pierwotnego ducha traktatów i europejskiego aktu wyborczego z 1976 r. oraz opóźniła ustanowienie europejskich ram wyborczych;</w:t>
      </w:r>
    </w:p>
    <w:p w14:paraId="5D0237F8" w14:textId="77777777" w:rsidR="0001335C" w:rsidRPr="00B24784" w:rsidRDefault="0001335C" w:rsidP="00045447">
      <w:pPr>
        <w:pStyle w:val="NormalHanging12a"/>
      </w:pPr>
      <w:r w:rsidRPr="00B24784">
        <w:t>F.</w:t>
      </w:r>
      <w:r w:rsidRPr="00B24784">
        <w:tab/>
        <w:t xml:space="preserve">mając na uwadze, że reforma procedury wyborczej Parlamentu powinna mieć na celu wzmocnienie demokratycznego wymiaru wyborów europejskich i legitymacji procesu decyzyjnego UE przez zapewnienie równego uczestnictwa wszystkich obywateli UE, a tym samym dostosowanie ram wyborczych do roli Parlamentu jako współprawodawcy wybieranego bezpośrednio przez obywateli UE; mając na uwadze, że taka reforma </w:t>
      </w:r>
      <w:r w:rsidRPr="00B24784">
        <w:lastRenderedPageBreak/>
        <w:t xml:space="preserve">powinna służyć wzmocnieniu koncepcji obywatelstwa UE, poprawie funkcjonowania Parlamentu i rządzenia w UE, a także wzmocnieniu zasad równości wyborczej, równych szans i włączenia społecznego; mając na uwadze, że powinna ona zwiększyć zaangażowanie młodzieży, a także przejrzystość i dostępność; </w:t>
      </w:r>
    </w:p>
    <w:p w14:paraId="392A1663" w14:textId="77777777" w:rsidR="0001335C" w:rsidRPr="00B24784" w:rsidRDefault="0001335C" w:rsidP="00045447">
      <w:pPr>
        <w:pStyle w:val="NormalHanging12a"/>
      </w:pPr>
      <w:r w:rsidRPr="00B24784">
        <w:t>G.</w:t>
      </w:r>
      <w:r w:rsidRPr="00B24784">
        <w:tab/>
        <w:t xml:space="preserve">mając na uwadze, że wszechstronne porozumienie w sprawie prawdziwie jednolitej procedury wyborczej nie zostało jeszcze osiągnięte, a obecne ramy są nadal bardzo zróżnicowane; mając na uwadze, że w niektórych aspektach nastąpiła stopniowa konwergencja, jednak obecne przepisy w państwach członkowskich są wciąż ogromnie zróżnicowane w kluczowych obszarach, co zagraża równości wyborczej i osłabia poczucie uczestnictwa w jednolitych, wspólnych wyborach europejskich, a także zaufanie obywateli do europejskiego procesu demokratycznego; </w:t>
      </w:r>
    </w:p>
    <w:p w14:paraId="1EA9A005" w14:textId="77777777" w:rsidR="0001335C" w:rsidRPr="00B24784" w:rsidRDefault="0001335C" w:rsidP="00045447">
      <w:pPr>
        <w:pStyle w:val="NormalHanging12a"/>
      </w:pPr>
      <w:r w:rsidRPr="00B24784">
        <w:t>H.</w:t>
      </w:r>
      <w:r w:rsidRPr="00B24784">
        <w:tab/>
        <w:t>mając na uwadze, że pomimo szeregu reform wybory europejskie nadal są w większości przypadków regulowane przepisami krajowymi, kampanie wyborcze nadal mają w dużej mierze charakter krajowy, a europejskie partie polityczne nie mogą w wystarczający sposób wypełniać swojego mandatu konstytucyjnego i przyczyniać się „do kształtowania europejskiej świadomości politycznej i wyrażania woli obywateli Unii” zgodnie z wymogiem art. 10 ust. 4 TUE; mając na uwadze, że przekształcenie rozporządzenia w sprawie statusu i finansowania europejskich partii politycznych i europejskich fundacji politycznych</w:t>
      </w:r>
      <w:r w:rsidRPr="00B24784">
        <w:rPr>
          <w:rStyle w:val="FootnoteReference"/>
        </w:rPr>
        <w:footnoteReference w:id="7"/>
      </w:r>
      <w:r w:rsidRPr="00B24784">
        <w:t xml:space="preserve"> zapewniło pewną jasność w tym zakresie; </w:t>
      </w:r>
    </w:p>
    <w:p w14:paraId="6C6CA14D" w14:textId="77777777" w:rsidR="0001335C" w:rsidRPr="00B24784" w:rsidRDefault="0001335C" w:rsidP="00045447">
      <w:pPr>
        <w:pStyle w:val="NormalHanging12a"/>
      </w:pPr>
      <w:r w:rsidRPr="00B24784">
        <w:t>I.</w:t>
      </w:r>
      <w:r w:rsidRPr="00B24784">
        <w:tab/>
        <w:t>mając na uwadze, że progiem wyborczym przy przydziale mandatów jest minimalny odsetek głosów, które partia polityczna lub koalicja musi uzyskać, aby otrzymać miejsce w zgromadzeniu ustawodawczym.</w:t>
      </w:r>
    </w:p>
    <w:p w14:paraId="1E74FDBD" w14:textId="77777777" w:rsidR="0001335C" w:rsidRPr="00B24784" w:rsidRDefault="0001335C" w:rsidP="00045447">
      <w:pPr>
        <w:pStyle w:val="NormalHanging12a"/>
      </w:pPr>
      <w:r w:rsidRPr="00B24784">
        <w:t>J.</w:t>
      </w:r>
      <w:r w:rsidRPr="00B24784">
        <w:tab/>
        <w:t>mając na uwadze, że w decyzji Rady (UE, Euratom) 2018/994</w:t>
      </w:r>
      <w:r w:rsidRPr="00B24784">
        <w:rPr>
          <w:rStyle w:val="FootnoteReference"/>
        </w:rPr>
        <w:footnoteReference w:id="8"/>
      </w:r>
      <w:r w:rsidRPr="00B24784">
        <w:t xml:space="preserve"> ustanawia się próg 2–5 % dla państw członkowskich, których okręgi wyborcze liczą ponad 35 mandatów; mając na uwadze, że progi wyborcze muszą zapewniać równowagę między możliwościami sprawowania rządów a pluralizmem politycznym;</w:t>
      </w:r>
    </w:p>
    <w:p w14:paraId="0936EB65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K.</w:t>
      </w:r>
      <w:r w:rsidRPr="00B24784">
        <w:tab/>
        <w:t xml:space="preserve">mając na uwadze, że w procesie ratyfikacji reformy z 2018 r. wystąpiły opóźnienia, a kilka państw członkowskich nie zakończyło niezbędnych procedur ratyfikacyjnych przed wyborami europejskimi w 2024 r.; </w:t>
      </w:r>
    </w:p>
    <w:p w14:paraId="1AF129DB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L.</w:t>
      </w:r>
      <w:r w:rsidRPr="00B24784">
        <w:tab/>
        <w:t xml:space="preserve">mając na uwadze, że każdy obywatel UE ma równe szanse uczestnictwa w procesie demokratycznym, aby zagwarantować bardziej inkluzywny proces wyborczy; mając na uwadze, że niewielu posłów do Parlamentu Europejskiego należy do mniejszości narodowych i etnicznych oficjalnie uznanych za mniejszości w ich państwach członkowskich zgodnie z ich unormowaniami konstytucyjnymi lub ustawowymi oraz instrumentami Rady Europy; mając na uwadze, że w sprawozdaniu Komisji Weneckiej i Rady Demokratycznych Wyborów z 15 marca 2005 r. w sprawie przepisów wyborczych i działań pozytywnych na rzecz udziału mniejszości narodowych w </w:t>
      </w:r>
      <w:r w:rsidRPr="00B24784">
        <w:lastRenderedPageBreak/>
        <w:t xml:space="preserve">procesie decyzyjnym w krajach europejskich zalecono szereg środków służących zapewnieniu sprawiedliwej reprezentacji mniejszości; </w:t>
      </w:r>
    </w:p>
    <w:p w14:paraId="30DF77D3" w14:textId="77777777" w:rsidR="0001335C" w:rsidRPr="00B24784" w:rsidRDefault="0001335C" w:rsidP="00045447">
      <w:pPr>
        <w:pStyle w:val="NormalHanging12a"/>
      </w:pPr>
      <w:r w:rsidRPr="00B24784">
        <w:t>M.</w:t>
      </w:r>
      <w:r w:rsidRPr="00B24784">
        <w:tab/>
        <w:t xml:space="preserve">mając na uwadze, że reforma procedury wyborczej na podstawie art. 223 ust. 1 TFUE musi być w pełni zgodna z zasadami pomocniczości i proporcjonalności oraz prerogatywami parlamentów narodowych w zakresie kontroli i ratyfikacji; </w:t>
      </w:r>
    </w:p>
    <w:p w14:paraId="08049526" w14:textId="77777777" w:rsidR="0001335C" w:rsidRPr="00B24784" w:rsidRDefault="0001335C" w:rsidP="00660406">
      <w:pPr>
        <w:pStyle w:val="Subheading"/>
      </w:pPr>
      <w:r w:rsidRPr="00B24784">
        <w:t>Główne wnioski</w:t>
      </w:r>
    </w:p>
    <w:p w14:paraId="05A5FB17" w14:textId="77777777" w:rsidR="0001335C" w:rsidRPr="00B24784" w:rsidRDefault="0001335C" w:rsidP="00045447">
      <w:pPr>
        <w:pStyle w:val="NormalHanging12a"/>
      </w:pPr>
      <w:r w:rsidRPr="00B24784">
        <w:t>1.</w:t>
      </w:r>
      <w:r w:rsidRPr="00B24784">
        <w:tab/>
        <w:t xml:space="preserve">przypomina, że większa europeizacja krajowych przepisów wyborczych dotyczących wyborów do Parlamentu Europejskiego przyniosłaby wiele korzyści, w szczególności jeżeli chodzi o dostępność dla grup defaworyzowanych, wspólne terminy zamykania list wyborczych, zapobieganie podwójnemu głosowaniu oraz zwiększenie widoczności i roli europejskich partii politycznych w procesach wyborczych; przypomina jednocześnie, że wiele przepisów obecnego europejskiego aktu wyborczego wdrożono we wszystkich państwach członkowskich, a mianowicie reprezentację proporcjonalną, maksymalny próg wyborczy wynoszący 5 % oraz zakaz sprawowania przez posłów podwójnych mandatów w parlamencie narodowym i w Parlamencie Europejskim; niemniej uważa, że droga do stworzenia europejskiego demosu jest jeszcze długa i że należy zintensyfikować działania polityczne, aby UE stała się mniej biurokratyczna i bardziej demokratyczna; </w:t>
      </w:r>
    </w:p>
    <w:p w14:paraId="4B9E4AF1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2.</w:t>
      </w:r>
      <w:r w:rsidRPr="00B24784">
        <w:tab/>
        <w:t>przypomina, że wybory europejskie nadal są przeprowadzane w dużej mierze w ramach krajowych ram prawnych i instytucjonalnych, które zostały opracowane na zupełnie innym etapie integracji europejskiej; podkreśla, że przepisy te nie odpowiadają już wzmocnionej roli i zwiększonym uprawnieniom ustawodawczym Parlamentu Europejskiego, zwłaszcza od czasu wejścia w życie Traktatu z Lizbony;</w:t>
      </w:r>
    </w:p>
    <w:p w14:paraId="12ADD220" w14:textId="77777777" w:rsidR="0001335C" w:rsidRPr="00B24784" w:rsidRDefault="0001335C" w:rsidP="00045447">
      <w:pPr>
        <w:pStyle w:val="NormalHanging12a"/>
      </w:pPr>
      <w:r w:rsidRPr="00B24784">
        <w:t>3.</w:t>
      </w:r>
      <w:r w:rsidRPr="00B24784">
        <w:tab/>
        <w:t xml:space="preserve">przypomina, że decyzja Rady (UE, Euratom) 2018/994 zawiera szereg przepisów, do których wdrożenia państwa członkowskie są zobowiązane lub zachęcane; zwraca uwagę, że niektóre państwa członkowskie nie wdrożyły środków fakultatywnych, a niektóre środki obowiązkowe wdrożyły w różny sposób, jak na przykład przepisy dotyczące zapobiegania podwójnemu głosowaniu; zauważa, że większość przepisów określonych w decyzji Rady (UE, Euratom) 2018/994 pozostaje fakultatywna; uważa, że ograniczona transpozycja tych niewiążących przepisów świadczy o braku woli politycznej do przezwyciężenia oporów w poszczególnych krajach i zaangażowania się w proces demokratyczny, który lepiej odzwierciedla wymiar europejski; </w:t>
      </w:r>
    </w:p>
    <w:p w14:paraId="3162CF8C" w14:textId="77777777" w:rsidR="0001335C" w:rsidRPr="00B24784" w:rsidRDefault="0001335C" w:rsidP="00045447">
      <w:pPr>
        <w:pStyle w:val="NormalHanging12a"/>
      </w:pPr>
      <w:r w:rsidRPr="00B24784">
        <w:t>4.</w:t>
      </w:r>
      <w:r w:rsidRPr="00B24784">
        <w:tab/>
        <w:t>przypomina, że terminy zamknięcia list wyborczych przed wyborami europejskimi są różne w zależności od państwa członkowskiego i wynoszą obecnie od 21 do 90 dni, co stawia kandydatów i wyborców w całej UE w nierównej sytuacji, jeżeli chodzi o czas na prowadzenie kampanii lub zastanowienie się nad wyborem;</w:t>
      </w:r>
    </w:p>
    <w:p w14:paraId="36C0F0FF" w14:textId="1D357DA9" w:rsidR="0001335C" w:rsidRPr="00B24784" w:rsidRDefault="0001335C" w:rsidP="00045447">
      <w:pPr>
        <w:pStyle w:val="NormalHanging12a"/>
        <w:rPr>
          <w:bCs/>
          <w:iCs/>
        </w:rPr>
      </w:pPr>
      <w:r w:rsidRPr="00B24784">
        <w:t>5.</w:t>
      </w:r>
      <w:r w:rsidRPr="00B24784">
        <w:tab/>
        <w:t xml:space="preserve">zwraca uwagę, że utworzenie europejskiej sfery publicznej i debaty politycznej wykraczającej poza granice krajowe, zwłaszcza w kontekście wyborów europejskich, ma zasadnicze znaczenie dla wzmocnienia demokracji w UE; podkreśla, że europejskie partie polityczne są kluczowym instrumentem wspierania takiej debaty; uważa, że na krajowych kartach do głosowania obowiązkowo powinny widnieć imiona i nazwiska kandydatów oraz logo europejskiej partii politycznej, do której należy partia krajowa, a kandydatom należy zapewnić odpowiednią widoczność w internetowych, telewizyjnych i radiowych audycjach wyborczych, na plakatach i w innych materiałach </w:t>
      </w:r>
      <w:r w:rsidRPr="00B24784">
        <w:lastRenderedPageBreak/>
        <w:t>wykorzystywanych w europejskich kampaniach wyborczych; uważa, że środki te stanowią minimalny wymóg informowania wyborców o europejskim wymiarze głosowania i umożliwiają europejskim partiom politycznym wypełnianie ich roli na mocy art. 10 ust. 4 TUE; uważa, że środki te zwiększyłyby przejrzystość wyborów europejskich, zapobiegłyby naruszeniom przysługującego wyborcom prawa do informacji o istnieniu porozumień koalicyjnych między partiami politycznymi w wyborach europejskich oraz umożliwiłyby obywatelom świadome oddanie głosu na partię polityczną należącą do preferowanej przez nich grupy politycznej w Parlamencie Europejskim; ubolewa nad faktem, że w decyzji Rady (UE, Euratom) 2018/</w:t>
      </w:r>
      <w:r w:rsidR="0075576C">
        <w:t>994</w:t>
      </w:r>
      <w:r w:rsidRPr="00B24784">
        <w:t xml:space="preserve"> jest to jedynie środek fakultatywny, który jak do tej pory nie został przetransponowany do żadnego ustawodawstwa krajowego; </w:t>
      </w:r>
    </w:p>
    <w:p w14:paraId="22EA36E3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6.</w:t>
      </w:r>
      <w:r w:rsidRPr="00B24784">
        <w:tab/>
        <w:t xml:space="preserve">przypomina o potrzebie dalszych postępów w zwiększaniu inkluzywności procesu wyborczego, aby zapewnić każdemu obywatelowi, niezależnie od jego sytuacji, równe szanse udziału w procesie demokratycznym; zwraca uwagę, że w niektórych państwach członkowskich przepisy krajowe nie zezwalają wyborcom z niepełnosprawnościami na zmianę przypisanego im lokalu wyborczego na inny, który lepiej odpowiada ich potrzebom, ani na dostęp do informacji wyborczych w przystępnych formatach; podkreśla, że wszelkie bariery w korzystaniu przez osoby z niepełnosprawnościami z prawa do głosowania i kandydowania są niezgodne z zobowiązaniami wynikającymi z Konwencji ONZ o prawach osób niepełnosprawnych i należy usunąć te bariery, aby zagwarantować powszechną dostępność w całym procesie wyborczym; </w:t>
      </w:r>
    </w:p>
    <w:p w14:paraId="0E486A8D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7.</w:t>
      </w:r>
      <w:r w:rsidRPr="00B24784">
        <w:tab/>
        <w:t>zauważa, że głosowanie korespondencyjne i jego środki uzupełniające zostały przedstawione w decyzji Rady (UE, Euratom) 2018/994 jako środek fakultatywny mający ułatwić dostępność dla osób z niepełnosprawnościami; podkreśla, że chociaż cel ten ma zasadnicze znaczenie, głosowanie korespondencyjne odgrywa również szerszą rolę w zwiększaniu elastyczności i inkluzywności udziału w wyborach; podkreśla, że oferowanie głosowania korespondencyjnego jako gwarantowanej opcji we wszystkich państwach członkowskich przyniosłoby korzyści nie tylko osobom z niepełnosprawnościami, ale również obywatelom, którzy nie mogą głosować osobiście z powodu nadzwyczajnych okoliczności; uważa, że zapewnienie szerszego dostępu do głosowania korespondencyjnego zwiększyłoby uczestnictwo, zwłaszcza wśród przemieszczających się obywateli UE i młodszych wyborców, oraz przyczyniłoby się do zwiększenia ogólnej frekwencji wyborczej;</w:t>
      </w:r>
    </w:p>
    <w:p w14:paraId="0B2C4CA9" w14:textId="77777777" w:rsidR="0001335C" w:rsidRPr="00B24784" w:rsidRDefault="0001335C" w:rsidP="00045447">
      <w:pPr>
        <w:pStyle w:val="NormalHanging12a"/>
      </w:pPr>
      <w:r w:rsidRPr="00B24784">
        <w:t>8.</w:t>
      </w:r>
      <w:r w:rsidRPr="00B24784">
        <w:tab/>
        <w:t xml:space="preserve">przypomina, że sytuacja obywateli UE posiadających podwójne obywatelstwo nie została jeszcze rozwiązana, ponieważ wciąż istnieje możliwość, że osoba taka jest automatycznie wpisana na listę wyborców w więcej niż jednym państwie członkowskim i nie ma możliwości wyrejestrowania się; zauważa, że obywatel UE posiadający podwójne obywatelstwo, który jest automatycznie zarejestrowany na więcej niż jednej liście wyborców, ale zgodnie z wymogami głosuje tylko w jednym państwie członkowskim, może zostać uznany w innym państwie członkowskim za osobę, która nie głosowała, i w rezultacie może podlegać karze; </w:t>
      </w:r>
    </w:p>
    <w:p w14:paraId="3D85B408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9.</w:t>
      </w:r>
      <w:r w:rsidRPr="00B24784">
        <w:tab/>
        <w:t xml:space="preserve">z zadowoleniem przyjmuje inicjatywę Parlamentu, aby za pomocą poprawki do europejskiego aktu wyborczego wprowadzić możliwość głosowania przez pełnomocnika w przypadku urlopu macierzyńskiego, co stanowi zrównoważone i praktyczne rozwiązanie, które wspiera posłów do PE, a zarazem zapewnia ciągłość reprezentacji; </w:t>
      </w:r>
    </w:p>
    <w:p w14:paraId="4D585911" w14:textId="77777777" w:rsidR="0001335C" w:rsidRPr="00B24784" w:rsidRDefault="0001335C" w:rsidP="00045447">
      <w:pPr>
        <w:pStyle w:val="NormalHanging12a"/>
      </w:pPr>
      <w:r w:rsidRPr="00B24784">
        <w:t>10.</w:t>
      </w:r>
      <w:r w:rsidRPr="00B24784">
        <w:tab/>
        <w:t xml:space="preserve">podkreśla, że decyzja Rady (UE, Euratom) 2018/994 nie weszła jeszcze w życie, </w:t>
      </w:r>
      <w:r w:rsidRPr="00B24784">
        <w:lastRenderedPageBreak/>
        <w:t>ponieważ w jednym z państw członkowskich wciąż trwa proces jej ratyfikacji; zauważa, że chociaż Niemcy ratyfikowały decyzję Rady (UE, Euratom) 2018/994, niemiecka ustawa o wyborach europejskich nie została zmieniona, ponieważ dopóki próg 2 % nie jest obowiązkowy na mocy prawa UE, dopóty nie można go wprowadzić do prawa niemieckiego;</w:t>
      </w:r>
    </w:p>
    <w:p w14:paraId="515DC9ED" w14:textId="77777777" w:rsidR="0001335C" w:rsidRPr="00B24784" w:rsidRDefault="0001335C" w:rsidP="00045447">
      <w:pPr>
        <w:pStyle w:val="NormalHanging12a"/>
      </w:pPr>
      <w:r w:rsidRPr="00B24784">
        <w:t>11.</w:t>
      </w:r>
      <w:r w:rsidRPr="00B24784">
        <w:tab/>
        <w:t xml:space="preserve">odnotowuje, że Komisja pełni rolę pośrednika w rozmowach instytucjonalnych między Parlamentem a Radą w sprawie nowego wniosku dotyczącego reformy europejskiego prawa wyborczego; uważa, że konieczne jest zaangażowanie się w konstruktywny dialog z Radą, aby ocenić wniosek Parlamentu z 2022 r. i poczynić postępy; podkreśla, że brak postępów nie wynika z przeszkód technicznych lub prawnych, lecz z braku woli politycznej państw członkowskich do zaangażowania się w prace nad propozycjami Parlamentu; uważa, że niniejsze sprawozdanie powinno dać nowy impuls do niezwłocznego rozpoczęcia negocjacji międzyinstytucjonalnych w sprawie wniosku z 2022 r., i wzywa przyszłe prezydencje Rady do wypełnienia zobowiązań wynikających z zasady wzajemnej i lojalnej współpracy; </w:t>
      </w:r>
    </w:p>
    <w:p w14:paraId="16186064" w14:textId="77777777" w:rsidR="0001335C" w:rsidRPr="00B24784" w:rsidRDefault="0001335C" w:rsidP="00660406">
      <w:pPr>
        <w:pStyle w:val="Subheading"/>
      </w:pPr>
      <w:r w:rsidRPr="00B24784">
        <w:t>Zalecenia</w:t>
      </w:r>
    </w:p>
    <w:p w14:paraId="4036A742" w14:textId="77777777" w:rsidR="0001335C" w:rsidRPr="00B24784" w:rsidRDefault="0001335C" w:rsidP="00045447">
      <w:pPr>
        <w:pStyle w:val="NormalHanging12a"/>
      </w:pPr>
      <w:r w:rsidRPr="00B24784">
        <w:t>12.</w:t>
      </w:r>
      <w:r w:rsidRPr="00B24784">
        <w:tab/>
        <w:t xml:space="preserve">uważa, że przejrzystość procesu wyborczego i dostęp do wiarygodnych informacji są zasadniczymi czynnikami podnoszącymi europejską świadomość polityczną i zapewniającymi frekwencję wyborczą, która będzie na tyle wysoka, by stanowić mandat od wyborców; podkreśla, że kandydaci powinni mieć takie same możliwości prowadzenia kampanii, a obywatele powinni być informowani z dużym wyprzedzeniem o kandydatach startujących w wyborach europejskich; podkreśla w związku z tym znaczenie harmonizacji terminów przedstawiania list wyborczych we wszystkich państwach członkowskich, co Parlament wielokrotnie postulował; </w:t>
      </w:r>
    </w:p>
    <w:p w14:paraId="0BBB5B08" w14:textId="77777777" w:rsidR="0001335C" w:rsidRPr="00B24784" w:rsidRDefault="0001335C" w:rsidP="00045447">
      <w:pPr>
        <w:pStyle w:val="NormalHanging12a"/>
      </w:pPr>
      <w:r w:rsidRPr="00B24784">
        <w:t>13.</w:t>
      </w:r>
      <w:r w:rsidRPr="00B24784">
        <w:tab/>
        <w:t xml:space="preserve">podkreśla, że zasadnicze znaczenie ma ułatwienie dostępu do głosowania w wyborach europejskich oraz zadbanie o to, by wszyscy uprawnieni do głosowania mogli korzystać z tego prawa za pośrednictwem głosowania korespondencyjnego lub innych środków uzupełniających; wzywa państwa członkowskie do zapewnienia równego dostępu do informacji i procesu wyborczego wszystkim obywatelom, w tym osobom z niepełnosprawnościami, zwłaszcza gdy struktury publiczne nie są w pełni dostępne; wzywa ponadto państwa członkowskie do zagwarantowania osobom z niepełnosprawnościami prawa do głosowania i kandydowania w wyborach poprzez ustanowienie przepisów harmonizujących dostępność pomieszczeń, lokali, procedur i materiałów wyborczych dla osób z niepełnosprawnościami oraz umożliwiających im niezależne i tajne głosowanie; zauważa, że odpowiedzialność za uregulowanie kwestii dostępności spoczywa wyłącznie na państwach członkowskich, i zachęca je do współpracy z organizacjami osób z niepełnosprawnościami w celu oceny i usunięcia barier prawnych i praktycznych, które uniemożliwiają im udział w wyborach, zarówno w roli wyborców, jak i w roli kandydatów; </w:t>
      </w:r>
    </w:p>
    <w:p w14:paraId="2DA00365" w14:textId="77777777" w:rsidR="0001335C" w:rsidRPr="00B24784" w:rsidRDefault="0001335C" w:rsidP="00045447">
      <w:pPr>
        <w:pStyle w:val="NormalHanging12a"/>
      </w:pPr>
      <w:r w:rsidRPr="00B24784">
        <w:t>14.</w:t>
      </w:r>
      <w:r w:rsidRPr="00B24784">
        <w:tab/>
        <w:t xml:space="preserve">wzywa wszystkie państwa członkowskie do wdrożenia wszystkich środków fakultatywnych zawartych w decyzji Rady (UE, Euratom) 2018/994, a zwłaszcza do zwiększenia widoczności koalicji wyborczych w wyborach europejskich, przynależności krajowych partii politycznych do europejskich partii politycznych, europejskich stowarzyszeń wyborców i innych europejskich podmiotów wyborczych za pośrednictwem kampanii medialnych, dystrybucji jednolitych kart do głosowania, które wyraźnie wskazują sojusze europejskie w każdym państwie członkowskim, oraz </w:t>
      </w:r>
      <w:r w:rsidRPr="00B24784">
        <w:lastRenderedPageBreak/>
        <w:t xml:space="preserve">wszelkich innych materiałów wyborczych; uważa, że podczas kampanii wyborczej krajowe partie i stowarzyszenia wyborców powinny wskazać – w stosownych przypadkach – swoją przynależność do europejskich partii politycznych lub innych europejskich podmiotów wyborczych, w tym na kartach do głosowania; </w:t>
      </w:r>
    </w:p>
    <w:p w14:paraId="6EAF0A16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15.</w:t>
      </w:r>
      <w:r w:rsidRPr="00B24784">
        <w:tab/>
        <w:t xml:space="preserve">wzywa wszystkie państwa członkowskie do podjęcia konkretnych kroków w celu harmonizacji wymogów dotyczących kandydowania, aby zapewnić wszystkim podmiotom politycznym sprawiedliwy i równy dostęp do procesu wyborczego, zgodnie z zasadami uczciwej konkurencji i pluralizmu demokratycznego; </w:t>
      </w:r>
    </w:p>
    <w:p w14:paraId="4C22EA5F" w14:textId="77777777" w:rsidR="0001335C" w:rsidRPr="00B24784" w:rsidRDefault="0001335C" w:rsidP="00045447">
      <w:pPr>
        <w:pStyle w:val="NormalHanging12a"/>
        <w:rPr>
          <w:bCs/>
          <w:iCs/>
        </w:rPr>
      </w:pPr>
      <w:r w:rsidRPr="00B24784">
        <w:t>16.</w:t>
      </w:r>
      <w:r w:rsidRPr="00B24784">
        <w:tab/>
        <w:t>podkreśla, że decyzja Rady (UE, Euratom) 2018/994 może wejść w życie dopiero po ratyfikacji przez wszystkie państwa członkowskie; w związku z tym wzywa państwa członkowskie, które jeszcze tego nie uczyniły, do rozpoczęcia procedury ratyfikacji;</w:t>
      </w:r>
    </w:p>
    <w:p w14:paraId="72862C6E" w14:textId="77777777" w:rsidR="0001335C" w:rsidRPr="00B24784" w:rsidRDefault="0001335C" w:rsidP="0001335C">
      <w:pPr>
        <w:pStyle w:val="NormalHanging12a"/>
        <w:jc w:val="center"/>
        <w:rPr>
          <w:bCs/>
          <w:iCs/>
        </w:rPr>
      </w:pPr>
      <w:r w:rsidRPr="00B24784">
        <w:t>°</w:t>
      </w:r>
    </w:p>
    <w:p w14:paraId="206363B6" w14:textId="77777777" w:rsidR="0001335C" w:rsidRPr="00B24784" w:rsidRDefault="0001335C" w:rsidP="0001335C">
      <w:pPr>
        <w:pStyle w:val="NormalHanging12a"/>
        <w:jc w:val="center"/>
        <w:rPr>
          <w:bCs/>
          <w:iCs/>
        </w:rPr>
      </w:pPr>
      <w:r w:rsidRPr="00B24784">
        <w:t>°</w:t>
      </w:r>
      <w:r w:rsidRPr="00B24784">
        <w:tab/>
      </w:r>
      <w:r w:rsidRPr="00B24784">
        <w:tab/>
        <w:t>°</w:t>
      </w:r>
    </w:p>
    <w:p w14:paraId="1FF4F863" w14:textId="6B166BEA" w:rsidR="00B24784" w:rsidRPr="00B24784" w:rsidRDefault="0001335C" w:rsidP="00B24784">
      <w:pPr>
        <w:pStyle w:val="NormalHanging12a"/>
      </w:pPr>
      <w:r w:rsidRPr="00B24784">
        <w:t>17.</w:t>
      </w:r>
      <w:r w:rsidRPr="00B24784">
        <w:tab/>
        <w:t>zobowiązuje swoją przewodniczącą do przekazania niniejszej rezolucji Radzie i Komisji.</w:t>
      </w:r>
    </w:p>
    <w:p w14:paraId="33C946BC" w14:textId="0A89D5FB" w:rsidR="00E365E1" w:rsidRPr="00B24784" w:rsidRDefault="00E365E1" w:rsidP="00967967"/>
    <w:sectPr w:rsidR="00E365E1" w:rsidRPr="00B24784" w:rsidSect="00B2478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880D5" w14:textId="77777777" w:rsidR="00967967" w:rsidRPr="00B24784" w:rsidRDefault="00967967">
      <w:r w:rsidRPr="00B24784">
        <w:separator/>
      </w:r>
    </w:p>
  </w:endnote>
  <w:endnote w:type="continuationSeparator" w:id="0">
    <w:p w14:paraId="39F11970" w14:textId="77777777" w:rsidR="00967967" w:rsidRPr="00B24784" w:rsidRDefault="00967967">
      <w:r w:rsidRPr="00B247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33B7F" w14:textId="77777777" w:rsidR="00967967" w:rsidRPr="00B24784" w:rsidRDefault="00967967">
      <w:r w:rsidRPr="00B24784">
        <w:separator/>
      </w:r>
    </w:p>
  </w:footnote>
  <w:footnote w:type="continuationSeparator" w:id="0">
    <w:p w14:paraId="6271D6E2" w14:textId="77777777" w:rsidR="00967967" w:rsidRPr="00B24784" w:rsidRDefault="00967967">
      <w:r w:rsidRPr="00B24784">
        <w:continuationSeparator/>
      </w:r>
    </w:p>
  </w:footnote>
  <w:footnote w:id="1">
    <w:p w14:paraId="08C8B0DA" w14:textId="69CF71A9" w:rsidR="0001335C" w:rsidRPr="00B24784" w:rsidRDefault="0001335C" w:rsidP="00B24784">
      <w:pPr>
        <w:pStyle w:val="FootnoteText"/>
        <w:ind w:left="567" w:hanging="567"/>
        <w:rPr>
          <w:sz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r w:rsidRPr="00B24784">
        <w:rPr>
          <w:sz w:val="24"/>
          <w:lang w:val="pl-PL"/>
        </w:rPr>
        <w:t xml:space="preserve">Dz.U. L 278 z 8.10.1976, s. 5, ELI: </w:t>
      </w:r>
      <w:hyperlink r:id="rId1" w:history="1">
        <w:r w:rsidRPr="00B24784">
          <w:rPr>
            <w:rStyle w:val="Hyperlink"/>
            <w:sz w:val="24"/>
            <w:lang w:val="pl-PL"/>
          </w:rPr>
          <w:t>http://data.europa.eu/eli/dec/1976/787(2)/oj</w:t>
        </w:r>
      </w:hyperlink>
      <w:r w:rsidRPr="00B24784">
        <w:rPr>
          <w:sz w:val="24"/>
          <w:lang w:val="pl-PL"/>
        </w:rPr>
        <w:t>.</w:t>
      </w:r>
    </w:p>
  </w:footnote>
  <w:footnote w:id="2">
    <w:p w14:paraId="163543A9" w14:textId="2F083DC7" w:rsidR="0001335C" w:rsidRPr="00B24784" w:rsidRDefault="0001335C" w:rsidP="00B24784">
      <w:pPr>
        <w:pStyle w:val="FootnoteText"/>
        <w:ind w:left="567" w:hanging="567"/>
        <w:rPr>
          <w:sz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r w:rsidRPr="00B24784">
        <w:rPr>
          <w:sz w:val="24"/>
          <w:lang w:val="pl-PL"/>
        </w:rPr>
        <w:t xml:space="preserve">76/787/EWWiS, EWG, Euratom: Decyzja przedstawicieli państw członkowskich zebranych w Radzie w sprawie aktu dotyczącego wyborów przedstawicieli do Zgromadzenia w powszechnych wyborach bezpośrednich (Dz.U. L 278 z 8.10.1976, s. 1, ELI: </w:t>
      </w:r>
      <w:hyperlink r:id="rId2" w:history="1">
        <w:r w:rsidRPr="00B24784">
          <w:rPr>
            <w:rStyle w:val="Hyperlink"/>
            <w:sz w:val="24"/>
            <w:lang w:val="pl-PL"/>
          </w:rPr>
          <w:t>http://data.europa.eu/eli/dec/1976/787(1)/oj</w:t>
        </w:r>
      </w:hyperlink>
      <w:r w:rsidRPr="00B24784">
        <w:rPr>
          <w:sz w:val="24"/>
          <w:lang w:val="pl-PL"/>
        </w:rPr>
        <w:t>).</w:t>
      </w:r>
    </w:p>
  </w:footnote>
  <w:footnote w:id="3">
    <w:p w14:paraId="1471612C" w14:textId="66DCAD0D" w:rsidR="0001335C" w:rsidRPr="0075576C" w:rsidRDefault="0001335C" w:rsidP="00B24784">
      <w:pPr>
        <w:pStyle w:val="FootnoteText"/>
        <w:ind w:left="567" w:hanging="567"/>
        <w:rPr>
          <w:sz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75576C">
        <w:rPr>
          <w:sz w:val="24"/>
          <w:lang w:val="pl-PL"/>
        </w:rPr>
        <w:t xml:space="preserve"> </w:t>
      </w:r>
      <w:r w:rsidR="00B24784" w:rsidRPr="0075576C">
        <w:rPr>
          <w:sz w:val="24"/>
          <w:lang w:val="pl-PL"/>
        </w:rPr>
        <w:tab/>
      </w:r>
      <w:r w:rsidRPr="0075576C">
        <w:rPr>
          <w:sz w:val="24"/>
          <w:lang w:val="pl-PL"/>
        </w:rPr>
        <w:t>Dz.U. L 304</w:t>
      </w:r>
      <w:r w:rsidR="0075576C" w:rsidRPr="0075576C">
        <w:rPr>
          <w:sz w:val="24"/>
          <w:lang w:val="pl-PL"/>
        </w:rPr>
        <w:t xml:space="preserve"> z</w:t>
      </w:r>
      <w:r w:rsidRPr="0075576C">
        <w:rPr>
          <w:sz w:val="24"/>
          <w:lang w:val="pl-PL"/>
        </w:rPr>
        <w:t xml:space="preserve"> 20.11.2010, s. 47, ELI: </w:t>
      </w:r>
      <w:hyperlink r:id="rId3" w:history="1">
        <w:r w:rsidRPr="0075576C">
          <w:rPr>
            <w:rStyle w:val="Hyperlink"/>
            <w:sz w:val="24"/>
            <w:lang w:val="pl-PL"/>
          </w:rPr>
          <w:t>http://data.europa.eu/eli/agree_interinstit/2010/1120/oj.</w:t>
        </w:r>
      </w:hyperlink>
    </w:p>
  </w:footnote>
  <w:footnote w:id="4">
    <w:p w14:paraId="5CA97FFE" w14:textId="280610BB" w:rsidR="0001335C" w:rsidRPr="00660406" w:rsidRDefault="0001335C" w:rsidP="00B24784">
      <w:pPr>
        <w:pStyle w:val="FootnoteText"/>
        <w:ind w:left="567" w:hanging="567"/>
        <w:rPr>
          <w:sz w:val="24"/>
          <w:szCs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hyperlink r:id="rId4" w:history="1">
        <w:r w:rsidRPr="0075576C">
          <w:rPr>
            <w:szCs w:val="24"/>
            <w:lang w:val="pl-PL"/>
          </w:rPr>
          <w:t>Dz.U. C 366 z 27.10.2017, s. 7</w:t>
        </w:r>
      </w:hyperlink>
      <w:r w:rsidRPr="00660406">
        <w:rPr>
          <w:sz w:val="24"/>
          <w:szCs w:val="24"/>
          <w:lang w:val="pl-PL"/>
        </w:rPr>
        <w:t>.</w:t>
      </w:r>
    </w:p>
  </w:footnote>
  <w:footnote w:id="5">
    <w:p w14:paraId="6DA01726" w14:textId="5EBBE71A" w:rsidR="0001335C" w:rsidRPr="00660406" w:rsidRDefault="0001335C" w:rsidP="00B24784">
      <w:pPr>
        <w:pStyle w:val="FootnoteText"/>
        <w:ind w:left="567" w:hanging="567"/>
        <w:rPr>
          <w:sz w:val="24"/>
          <w:szCs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hyperlink r:id="rId5" w:history="1">
        <w:r w:rsidRPr="0075576C">
          <w:rPr>
            <w:szCs w:val="24"/>
            <w:lang w:val="pl-PL"/>
          </w:rPr>
          <w:t>Dz.U. C 465 z 6.12.2022, s. 171</w:t>
        </w:r>
      </w:hyperlink>
      <w:r w:rsidRPr="00660406">
        <w:rPr>
          <w:sz w:val="24"/>
          <w:szCs w:val="24"/>
          <w:lang w:val="pl-PL"/>
        </w:rPr>
        <w:t xml:space="preserve">. </w:t>
      </w:r>
    </w:p>
  </w:footnote>
  <w:footnote w:id="6">
    <w:p w14:paraId="31A511E1" w14:textId="6482D72F" w:rsidR="0001335C" w:rsidRPr="00B24784" w:rsidRDefault="0001335C" w:rsidP="00B24784">
      <w:pPr>
        <w:pStyle w:val="FootnoteText"/>
        <w:ind w:left="567" w:hanging="567"/>
        <w:rPr>
          <w:sz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r w:rsidRPr="00B24784">
        <w:rPr>
          <w:sz w:val="24"/>
          <w:lang w:val="pl-PL"/>
        </w:rPr>
        <w:t xml:space="preserve">Dz.U. L 178 z 16.7.2018, s. 1, ELI: </w:t>
      </w:r>
      <w:hyperlink r:id="rId6" w:history="1">
        <w:r w:rsidRPr="00B24784">
          <w:rPr>
            <w:rStyle w:val="Hyperlink"/>
            <w:sz w:val="24"/>
            <w:lang w:val="pl-PL"/>
          </w:rPr>
          <w:t>http://data.europa.eu/eli/dec/2018/994/oj.</w:t>
        </w:r>
      </w:hyperlink>
    </w:p>
  </w:footnote>
  <w:footnote w:id="7">
    <w:p w14:paraId="24ABAEFF" w14:textId="55329D96" w:rsidR="0001335C" w:rsidRPr="00B24784" w:rsidRDefault="0001335C" w:rsidP="00B24784">
      <w:pPr>
        <w:pStyle w:val="FootnoteText"/>
        <w:ind w:left="567" w:hanging="567"/>
        <w:rPr>
          <w:sz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r w:rsidRPr="00B24784">
        <w:rPr>
          <w:sz w:val="24"/>
          <w:lang w:val="pl-PL"/>
        </w:rPr>
        <w:t xml:space="preserve">Rozporządzenie Parlamentu Europejskiego i Rady (UE, Euratom) nr 1141/2014 z dnia 22 października 2014 r. w sprawie statusu i finansowania europejskich partii politycznych i europejskich fundacji politycznych (Dz.U. L 317 z 4.11.2014, s. 1, ELI: </w:t>
      </w:r>
      <w:hyperlink r:id="rId7" w:history="1">
        <w:r w:rsidRPr="00B24784">
          <w:rPr>
            <w:rStyle w:val="Hyperlink"/>
            <w:sz w:val="24"/>
            <w:lang w:val="pl-PL"/>
          </w:rPr>
          <w:t>http://data.europa.eu/eli/reg/2014/1141/oj</w:t>
        </w:r>
      </w:hyperlink>
      <w:r w:rsidRPr="00B24784">
        <w:rPr>
          <w:sz w:val="24"/>
          <w:lang w:val="pl-PL"/>
        </w:rPr>
        <w:t xml:space="preserve">). </w:t>
      </w:r>
    </w:p>
  </w:footnote>
  <w:footnote w:id="8">
    <w:p w14:paraId="69652056" w14:textId="1F012A08" w:rsidR="0001335C" w:rsidRPr="00B24784" w:rsidRDefault="0001335C" w:rsidP="00B24784">
      <w:pPr>
        <w:pStyle w:val="FootnoteText"/>
        <w:ind w:left="567" w:hanging="567"/>
        <w:rPr>
          <w:sz w:val="24"/>
          <w:lang w:val="pl-PL"/>
        </w:rPr>
      </w:pPr>
      <w:r w:rsidRPr="00B24784">
        <w:rPr>
          <w:rStyle w:val="FootnoteReference"/>
          <w:sz w:val="24"/>
          <w:lang w:val="pl-PL"/>
        </w:rPr>
        <w:footnoteRef/>
      </w:r>
      <w:r w:rsidR="00B24784" w:rsidRPr="00B24784">
        <w:rPr>
          <w:sz w:val="24"/>
          <w:lang w:val="pl-PL"/>
        </w:rPr>
        <w:t xml:space="preserve"> </w:t>
      </w:r>
      <w:r w:rsidR="00B24784" w:rsidRPr="00B24784">
        <w:rPr>
          <w:sz w:val="24"/>
          <w:lang w:val="pl-PL"/>
        </w:rPr>
        <w:tab/>
      </w:r>
      <w:r w:rsidRPr="00B24784">
        <w:rPr>
          <w:sz w:val="24"/>
          <w:lang w:val="pl-PL"/>
        </w:rPr>
        <w:t>Decyzja Rady (UE, Euratom) 2018/994 z dnia 13 lipca 2018 r. zmieniająca Akt dotyczący wyborów przedstawicieli do Parlamentu Europejskiego w powszechnych wyborach bezpośrednich, załączony do decyzji Rady 76/787/EWWiS, EWG, Euratom z dnia 20 września 1976 r. (Dz.U. L 178 z 16.7.2018, s. 1, ELI: </w:t>
      </w:r>
      <w:hyperlink r:id="rId8" w:tooltip="Umożliwia dostęp do tego dokumentu poprzez ELI URI." w:history="1">
        <w:r w:rsidRPr="00B24784">
          <w:rPr>
            <w:rStyle w:val="Hyperlink"/>
            <w:sz w:val="24"/>
            <w:lang w:val="pl-PL"/>
          </w:rPr>
          <w:t>http://data.europa.eu/eli/dec/2018/994/oj</w:t>
        </w:r>
      </w:hyperlink>
      <w:r w:rsidRPr="00B24784">
        <w:rPr>
          <w:sz w:val="24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4884990">
    <w:abstractNumId w:val="9"/>
  </w:num>
  <w:num w:numId="2" w16cid:durableId="1808235519">
    <w:abstractNumId w:val="9"/>
  </w:num>
  <w:num w:numId="3" w16cid:durableId="1372916776">
    <w:abstractNumId w:val="7"/>
  </w:num>
  <w:num w:numId="4" w16cid:durableId="926964100">
    <w:abstractNumId w:val="7"/>
  </w:num>
  <w:num w:numId="5" w16cid:durableId="1573007576">
    <w:abstractNumId w:val="6"/>
  </w:num>
  <w:num w:numId="6" w16cid:durableId="146552693">
    <w:abstractNumId w:val="6"/>
  </w:num>
  <w:num w:numId="7" w16cid:durableId="355040442">
    <w:abstractNumId w:val="5"/>
  </w:num>
  <w:num w:numId="8" w16cid:durableId="727608292">
    <w:abstractNumId w:val="5"/>
  </w:num>
  <w:num w:numId="9" w16cid:durableId="810441420">
    <w:abstractNumId w:val="4"/>
  </w:num>
  <w:num w:numId="10" w16cid:durableId="92094929">
    <w:abstractNumId w:val="4"/>
  </w:num>
  <w:num w:numId="11" w16cid:durableId="948044088">
    <w:abstractNumId w:val="8"/>
  </w:num>
  <w:num w:numId="12" w16cid:durableId="601035308">
    <w:abstractNumId w:val="8"/>
  </w:num>
  <w:num w:numId="13" w16cid:durableId="863976357">
    <w:abstractNumId w:val="3"/>
  </w:num>
  <w:num w:numId="14" w16cid:durableId="744187620">
    <w:abstractNumId w:val="3"/>
  </w:num>
  <w:num w:numId="15" w16cid:durableId="1435783726">
    <w:abstractNumId w:val="2"/>
  </w:num>
  <w:num w:numId="16" w16cid:durableId="688678364">
    <w:abstractNumId w:val="2"/>
  </w:num>
  <w:num w:numId="17" w16cid:durableId="1473711077">
    <w:abstractNumId w:val="1"/>
  </w:num>
  <w:num w:numId="18" w16cid:durableId="1599026004">
    <w:abstractNumId w:val="1"/>
  </w:num>
  <w:num w:numId="19" w16cid:durableId="1468007577">
    <w:abstractNumId w:val="0"/>
  </w:num>
  <w:num w:numId="20" w16cid:durableId="1135370718">
    <w:abstractNumId w:val="0"/>
  </w:num>
  <w:num w:numId="21" w16cid:durableId="1334380457">
    <w:abstractNumId w:val="9"/>
  </w:num>
  <w:num w:numId="22" w16cid:durableId="1084181678">
    <w:abstractNumId w:val="7"/>
  </w:num>
  <w:num w:numId="23" w16cid:durableId="707948678">
    <w:abstractNumId w:val="6"/>
  </w:num>
  <w:num w:numId="24" w16cid:durableId="503282209">
    <w:abstractNumId w:val="5"/>
  </w:num>
  <w:num w:numId="25" w16cid:durableId="431049109">
    <w:abstractNumId w:val="4"/>
  </w:num>
  <w:num w:numId="26" w16cid:durableId="869874057">
    <w:abstractNumId w:val="8"/>
  </w:num>
  <w:num w:numId="27" w16cid:durableId="191379827">
    <w:abstractNumId w:val="3"/>
  </w:num>
  <w:num w:numId="28" w16cid:durableId="543566938">
    <w:abstractNumId w:val="2"/>
  </w:num>
  <w:num w:numId="29" w16cid:durableId="158695376">
    <w:abstractNumId w:val="1"/>
  </w:num>
  <w:num w:numId="30" w16cid:durableId="1044404272">
    <w:abstractNumId w:val="0"/>
  </w:num>
  <w:num w:numId="31" w16cid:durableId="281038824">
    <w:abstractNumId w:val="9"/>
  </w:num>
  <w:num w:numId="32" w16cid:durableId="266012041">
    <w:abstractNumId w:val="7"/>
  </w:num>
  <w:num w:numId="33" w16cid:durableId="1376655370">
    <w:abstractNumId w:val="6"/>
  </w:num>
  <w:num w:numId="34" w16cid:durableId="678196207">
    <w:abstractNumId w:val="5"/>
  </w:num>
  <w:num w:numId="35" w16cid:durableId="1485391634">
    <w:abstractNumId w:val="4"/>
  </w:num>
  <w:num w:numId="36" w16cid:durableId="574903860">
    <w:abstractNumId w:val="8"/>
  </w:num>
  <w:num w:numId="37" w16cid:durableId="493495406">
    <w:abstractNumId w:val="3"/>
  </w:num>
  <w:num w:numId="38" w16cid:durableId="1466972302">
    <w:abstractNumId w:val="2"/>
  </w:num>
  <w:num w:numId="39" w16cid:durableId="948269783">
    <w:abstractNumId w:val="1"/>
  </w:num>
  <w:num w:numId="40" w16cid:durableId="1418985639">
    <w:abstractNumId w:val="0"/>
  </w:num>
  <w:num w:numId="41" w16cid:durableId="1905489486">
    <w:abstractNumId w:val="10"/>
  </w:num>
  <w:num w:numId="42" w16cid:durableId="1010529438">
    <w:abstractNumId w:val="10"/>
  </w:num>
  <w:num w:numId="43" w16cid:durableId="456529170">
    <w:abstractNumId w:val="10"/>
  </w:num>
  <w:num w:numId="44" w16cid:durableId="269506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2/2025"/>
    <w:docVar w:name="dvlangue" w:val="PL"/>
    <w:docVar w:name="dvnumam" w:val="0"/>
    <w:docVar w:name="dvpe" w:val="767.970"/>
    <w:docVar w:name="dvrapporteur" w:val="Sprawozdawca: "/>
    <w:docVar w:name="dvtitre" w:val="Rezolucja Parlamentu Europejskiego z dnia  2026 r. Reforma europejskiego aktu wyborczego – przeszkody w jego ratyfikacji i wdrażaniu w państwach członkowskich(2025/2028(INI))"/>
  </w:docVars>
  <w:rsids>
    <w:rsidRoot w:val="00967967"/>
    <w:rsid w:val="00002272"/>
    <w:rsid w:val="0001335C"/>
    <w:rsid w:val="0004544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37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4EF"/>
    <w:rsid w:val="004C0004"/>
    <w:rsid w:val="004C5D52"/>
    <w:rsid w:val="0050519A"/>
    <w:rsid w:val="005072A1"/>
    <w:rsid w:val="00514517"/>
    <w:rsid w:val="005352A0"/>
    <w:rsid w:val="00545827"/>
    <w:rsid w:val="00560270"/>
    <w:rsid w:val="005C2568"/>
    <w:rsid w:val="005C5953"/>
    <w:rsid w:val="005F1B17"/>
    <w:rsid w:val="006037C0"/>
    <w:rsid w:val="00660406"/>
    <w:rsid w:val="006631B6"/>
    <w:rsid w:val="00680577"/>
    <w:rsid w:val="006F74FA"/>
    <w:rsid w:val="00731ADD"/>
    <w:rsid w:val="00734777"/>
    <w:rsid w:val="00747932"/>
    <w:rsid w:val="00751A4A"/>
    <w:rsid w:val="0075576C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967"/>
    <w:rsid w:val="00981893"/>
    <w:rsid w:val="00A1687D"/>
    <w:rsid w:val="00A43E52"/>
    <w:rsid w:val="00A4678D"/>
    <w:rsid w:val="00A722E1"/>
    <w:rsid w:val="00A778C7"/>
    <w:rsid w:val="00AB441E"/>
    <w:rsid w:val="00AB6293"/>
    <w:rsid w:val="00AE0928"/>
    <w:rsid w:val="00AF3B82"/>
    <w:rsid w:val="00B12E95"/>
    <w:rsid w:val="00B22876"/>
    <w:rsid w:val="00B24784"/>
    <w:rsid w:val="00B46BF0"/>
    <w:rsid w:val="00B558F0"/>
    <w:rsid w:val="00BD48FE"/>
    <w:rsid w:val="00BD7BD8"/>
    <w:rsid w:val="00BE6ADC"/>
    <w:rsid w:val="00C0537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88B"/>
    <w:rsid w:val="00E820A4"/>
    <w:rsid w:val="00E9587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4EEFE"/>
  <w15:chartTrackingRefBased/>
  <w15:docId w15:val="{2987038C-7CE1-4CA5-9265-01B1E4E2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1335C"/>
    <w:pPr>
      <w:spacing w:after="240"/>
      <w:ind w:left="567" w:hanging="567"/>
    </w:pPr>
  </w:style>
  <w:style w:type="paragraph" w:customStyle="1" w:styleId="Subheading">
    <w:name w:val="Subheading"/>
    <w:basedOn w:val="Normal"/>
    <w:rsid w:val="0001335C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01335C"/>
    <w:pPr>
      <w:spacing w:before="480" w:after="240"/>
    </w:pPr>
  </w:style>
  <w:style w:type="character" w:styleId="Hyperlink">
    <w:name w:val="Hyperlink"/>
    <w:basedOn w:val="DefaultParagraphFont"/>
    <w:rsid w:val="0001335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60406"/>
    <w:rPr>
      <w:sz w:val="24"/>
      <w:lang w:val="pl-PL"/>
    </w:rPr>
  </w:style>
  <w:style w:type="paragraph" w:styleId="HTMLPreformatted">
    <w:name w:val="HTML Preformatted"/>
    <w:basedOn w:val="Normal"/>
    <w:link w:val="HTMLPreformattedChar"/>
    <w:rsid w:val="00660406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660406"/>
    <w:rPr>
      <w:rFonts w:ascii="Consolas" w:hAnsi="Consolas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4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18/994/oj" TargetMode="External"/><Relationship Id="rId3" Type="http://schemas.openxmlformats.org/officeDocument/2006/relationships/hyperlink" Target="https://eur-lex.europa.eu/legal-content/PL/TXT/HTML/?uri=CELEX:32010Q1120(01)" TargetMode="External"/><Relationship Id="rId7" Type="http://schemas.openxmlformats.org/officeDocument/2006/relationships/hyperlink" Target="http://data.europa.eu/eli/reg/2014/1141/oj" TargetMode="External"/><Relationship Id="rId2" Type="http://schemas.openxmlformats.org/officeDocument/2006/relationships/hyperlink" Target="http://data.europa.eu/eli/dec/1976/787(1)/oj" TargetMode="External"/><Relationship Id="rId1" Type="http://schemas.openxmlformats.org/officeDocument/2006/relationships/hyperlink" Target="http://data.europa.eu/eli/dec/1976/787(2)/oj" TargetMode="External"/><Relationship Id="rId6" Type="http://schemas.openxmlformats.org/officeDocument/2006/relationships/hyperlink" Target="https://eur-lex.europa.eu/legal-content/PL/TXT/HTML/?uri=CELEX:32018D0994" TargetMode="External"/><Relationship Id="rId5" Type="http://schemas.openxmlformats.org/officeDocument/2006/relationships/hyperlink" Target="https://eur-lex.europa.eu/legal-content/PL/TXT/?uri=oj:JOC_2022_465_R_0018" TargetMode="External"/><Relationship Id="rId4" Type="http://schemas.openxmlformats.org/officeDocument/2006/relationships/hyperlink" Target="https://eur-lex.europa.eu/legal-content/PL/TXT/?uri=CELEX:52015IP0395&amp;amp;qid=17496537264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2404</Words>
  <Characters>16213</Characters>
  <Application>Microsoft Office Word</Application>
  <DocSecurity>0</DocSecurity>
  <Lines>135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KLIMKOWSKI Andrzej</cp:lastModifiedBy>
  <cp:revision>3</cp:revision>
  <cp:lastPrinted>2004-11-19T15:42:00Z</cp:lastPrinted>
  <dcterms:created xsi:type="dcterms:W3CDTF">2026-01-20T10:57:00Z</dcterms:created>
  <dcterms:modified xsi:type="dcterms:W3CDTF">2026-02-26T13:16:00Z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A10-0252/2025</vt:lpwstr>
  </property>
  <property fmtid="{D5CDD505-2E9C-101B-9397-08002B2CF9AE}" pid="4" name="&lt;Type&gt;">
    <vt:lpwstr>RR</vt:lpwstr>
  </property>
</Properties>
</file>