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B0352" w14:paraId="2412D86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F904C64" w14:textId="77777777" w:rsidR="00751A4A" w:rsidRPr="000B0352" w:rsidRDefault="00A473C2" w:rsidP="0010095E">
            <w:pPr>
              <w:pStyle w:val="EPName"/>
            </w:pPr>
            <w:r w:rsidRPr="000B0352">
              <w:t>Európsky parlament</w:t>
            </w:r>
          </w:p>
          <w:p w14:paraId="4DCF6C2C" w14:textId="77777777" w:rsidR="00751A4A" w:rsidRPr="000B035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B0352">
              <w:t>2024</w:t>
            </w:r>
            <w:r w:rsidR="00817416" w:rsidRPr="000B0352">
              <w:t>-202</w:t>
            </w:r>
            <w:r w:rsidRPr="000B0352">
              <w:t>9</w:t>
            </w:r>
          </w:p>
        </w:tc>
        <w:tc>
          <w:tcPr>
            <w:tcW w:w="2268" w:type="dxa"/>
            <w:shd w:val="clear" w:color="auto" w:fill="auto"/>
          </w:tcPr>
          <w:p w14:paraId="2975B7A4" w14:textId="77777777" w:rsidR="00751A4A" w:rsidRPr="000B0352" w:rsidRDefault="00187494" w:rsidP="0010095E">
            <w:pPr>
              <w:pStyle w:val="EPLogo"/>
            </w:pPr>
            <w:r w:rsidRPr="000B0352">
              <w:rPr>
                <w:noProof/>
                <w:lang w:eastAsia="ja-JP"/>
              </w:rPr>
              <w:drawing>
                <wp:inline distT="0" distB="0" distL="0" distR="0" wp14:anchorId="282C3CD0" wp14:editId="4425CBC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03FE39" w14:textId="77777777" w:rsidR="00D058B8" w:rsidRPr="000B0352" w:rsidRDefault="00D058B8" w:rsidP="004C5D52">
      <w:pPr>
        <w:pStyle w:val="LineTop"/>
      </w:pPr>
    </w:p>
    <w:p w14:paraId="6E3C8348" w14:textId="77777777" w:rsidR="00680577" w:rsidRPr="000B0352" w:rsidRDefault="00A473C2" w:rsidP="00680577">
      <w:pPr>
        <w:pStyle w:val="EPBodyTA1"/>
      </w:pPr>
      <w:r w:rsidRPr="000B0352">
        <w:t>PRIJATÉ TEXTY</w:t>
      </w:r>
    </w:p>
    <w:p w14:paraId="2285524D" w14:textId="77777777" w:rsidR="00D058B8" w:rsidRPr="000B0352" w:rsidRDefault="00D058B8" w:rsidP="00D058B8">
      <w:pPr>
        <w:pStyle w:val="LineBottom"/>
      </w:pPr>
    </w:p>
    <w:p w14:paraId="6FB3292A" w14:textId="56CB5EED" w:rsidR="00A473C2" w:rsidRPr="000B0352" w:rsidRDefault="00A473C2" w:rsidP="00A473C2">
      <w:pPr>
        <w:pStyle w:val="ATHeading1"/>
      </w:pPr>
      <w:bookmarkStart w:id="0" w:name="TANumber"/>
      <w:r w:rsidRPr="000B0352">
        <w:t>P10_TA(2026)000</w:t>
      </w:r>
      <w:r w:rsidR="008A0CCA" w:rsidRPr="000B0352">
        <w:t>6</w:t>
      </w:r>
      <w:bookmarkEnd w:id="0"/>
    </w:p>
    <w:p w14:paraId="473F1E41" w14:textId="77777777" w:rsidR="00A473C2" w:rsidRPr="000B0352" w:rsidRDefault="00A473C2" w:rsidP="00A473C2">
      <w:pPr>
        <w:pStyle w:val="ATHeading2"/>
      </w:pPr>
      <w:bookmarkStart w:id="1" w:name="title"/>
      <w:r w:rsidRPr="000B0352">
        <w:t>Reforma európskeho aktu o voľbách – prekážky ratifikácie a vykonávania v členských štátoch</w:t>
      </w:r>
      <w:bookmarkEnd w:id="1"/>
    </w:p>
    <w:p w14:paraId="5B786FF7" w14:textId="77777777" w:rsidR="00A473C2" w:rsidRPr="000B0352" w:rsidRDefault="00A473C2" w:rsidP="00A473C2">
      <w:pPr>
        <w:rPr>
          <w:i/>
          <w:vanish/>
        </w:rPr>
      </w:pPr>
      <w:r w:rsidRPr="000B0352">
        <w:rPr>
          <w:i/>
        </w:rPr>
        <w:fldChar w:fldCharType="begin"/>
      </w:r>
      <w:r w:rsidRPr="000B0352">
        <w:rPr>
          <w:i/>
        </w:rPr>
        <w:instrText xml:space="preserve"> TC"(</w:instrText>
      </w:r>
      <w:bookmarkStart w:id="2" w:name="DocNumber"/>
      <w:r w:rsidRPr="000B0352">
        <w:rPr>
          <w:i/>
        </w:rPr>
        <w:instrText>A10-0252/2025</w:instrText>
      </w:r>
      <w:bookmarkEnd w:id="2"/>
      <w:r w:rsidRPr="000B0352">
        <w:rPr>
          <w:i/>
        </w:rPr>
        <w:instrText xml:space="preserve"> - Spravodajca: Borja Giménez Larraz)"\l3 \n&gt; \* MERGEFORMAT </w:instrText>
      </w:r>
      <w:r w:rsidRPr="000B0352">
        <w:rPr>
          <w:i/>
        </w:rPr>
        <w:fldChar w:fldCharType="end"/>
      </w:r>
    </w:p>
    <w:p w14:paraId="366C3418" w14:textId="77777777" w:rsidR="00A473C2" w:rsidRPr="000B0352" w:rsidRDefault="00A473C2" w:rsidP="00A473C2">
      <w:pPr>
        <w:rPr>
          <w:vanish/>
        </w:rPr>
      </w:pPr>
      <w:bookmarkStart w:id="3" w:name="Commission"/>
      <w:r w:rsidRPr="000B0352">
        <w:rPr>
          <w:vanish/>
        </w:rPr>
        <w:t>Výbor pre ústavné veci</w:t>
      </w:r>
      <w:bookmarkEnd w:id="3"/>
    </w:p>
    <w:p w14:paraId="70173CA1" w14:textId="77777777" w:rsidR="00A473C2" w:rsidRPr="000B0352" w:rsidRDefault="00A473C2" w:rsidP="00A473C2">
      <w:pPr>
        <w:rPr>
          <w:vanish/>
        </w:rPr>
      </w:pPr>
      <w:bookmarkStart w:id="4" w:name="PE"/>
      <w:r w:rsidRPr="000B0352">
        <w:rPr>
          <w:vanish/>
        </w:rPr>
        <w:t>PE767.970</w:t>
      </w:r>
      <w:bookmarkEnd w:id="4"/>
    </w:p>
    <w:p w14:paraId="467DEA5E" w14:textId="72B65CCC" w:rsidR="00A473C2" w:rsidRPr="000B0352" w:rsidRDefault="00A473C2" w:rsidP="00A473C2">
      <w:pPr>
        <w:pStyle w:val="ATHeading3"/>
      </w:pPr>
      <w:bookmarkStart w:id="5" w:name="Sujet"/>
      <w:r w:rsidRPr="000B0352">
        <w:t xml:space="preserve">Uznesenie Európskeho parlamentu z </w:t>
      </w:r>
      <w:r w:rsidR="008A0CCA" w:rsidRPr="000B0352">
        <w:t>20</w:t>
      </w:r>
      <w:r w:rsidRPr="000B0352">
        <w:t xml:space="preserve">. </w:t>
      </w:r>
      <w:r w:rsidR="00B15179" w:rsidRPr="000B0352">
        <w:t>januára</w:t>
      </w:r>
      <w:r w:rsidRPr="000B0352">
        <w:t xml:space="preserve"> 2026 o reforme európskeho aktu o voľbách – prekážky ratifikácie a vykonávania v členských štátoch</w:t>
      </w:r>
      <w:bookmarkEnd w:id="5"/>
      <w:r w:rsidRPr="000B0352">
        <w:t xml:space="preserve"> </w:t>
      </w:r>
      <w:bookmarkStart w:id="6" w:name="References"/>
      <w:r w:rsidRPr="000B0352">
        <w:t>(2025/2028(INI))</w:t>
      </w:r>
      <w:bookmarkEnd w:id="6"/>
    </w:p>
    <w:p w14:paraId="45D6F4DE" w14:textId="77777777" w:rsidR="009719A9" w:rsidRPr="000B0352" w:rsidRDefault="009719A9" w:rsidP="009719A9">
      <w:pPr>
        <w:pStyle w:val="EPComma"/>
      </w:pPr>
      <w:bookmarkStart w:id="7" w:name="TextBodyBegin"/>
      <w:bookmarkEnd w:id="7"/>
      <w:r w:rsidRPr="000B0352">
        <w:rPr>
          <w:i/>
        </w:rPr>
        <w:t>Európsky parlament</w:t>
      </w:r>
      <w:r w:rsidRPr="000B0352">
        <w:t>,</w:t>
      </w:r>
    </w:p>
    <w:p w14:paraId="627CC6E8" w14:textId="2A3D3354" w:rsidR="009719A9" w:rsidRPr="000B0352" w:rsidRDefault="009719A9" w:rsidP="00B15179">
      <w:pPr>
        <w:pStyle w:val="NormalHanging12a"/>
      </w:pPr>
      <w:r w:rsidRPr="000B0352">
        <w:t>–</w:t>
      </w:r>
      <w:r w:rsidRPr="000B0352">
        <w:tab/>
        <w:t>so zreteľom na zmluvy, najmä</w:t>
      </w:r>
      <w:r w:rsidR="00496FDB" w:rsidRPr="000B0352">
        <w:t xml:space="preserve"> na</w:t>
      </w:r>
      <w:r w:rsidRPr="000B0352">
        <w:t xml:space="preserve"> články 9, 10, 14</w:t>
      </w:r>
      <w:r w:rsidR="00496FDB" w:rsidRPr="000B0352">
        <w:t xml:space="preserve"> a</w:t>
      </w:r>
      <w:r w:rsidRPr="000B0352">
        <w:t xml:space="preserve"> článok 17 ods. 7 Zmluvy o Európskej únii (Z</w:t>
      </w:r>
      <w:r w:rsidR="00464A00" w:rsidRPr="000B0352">
        <w:t xml:space="preserve">mluva o </w:t>
      </w:r>
      <w:r w:rsidRPr="000B0352">
        <w:t>EÚ) a člán</w:t>
      </w:r>
      <w:r w:rsidR="00496FDB" w:rsidRPr="000B0352">
        <w:t>o</w:t>
      </w:r>
      <w:r w:rsidRPr="000B0352">
        <w:t xml:space="preserve">k 22, </w:t>
      </w:r>
      <w:r w:rsidR="00496FDB" w:rsidRPr="000B0352">
        <w:t xml:space="preserve">článok </w:t>
      </w:r>
      <w:r w:rsidRPr="000B0352">
        <w:t>223 ods. 1 a</w:t>
      </w:r>
      <w:r w:rsidR="00496FDB" w:rsidRPr="000B0352">
        <w:t xml:space="preserve"> článok </w:t>
      </w:r>
      <w:r w:rsidRPr="000B0352">
        <w:t>225 Zmluvy o fungovaní Európskej únie (ZFEÚ),</w:t>
      </w:r>
    </w:p>
    <w:p w14:paraId="67E79F73" w14:textId="77777777" w:rsidR="009719A9" w:rsidRPr="000B0352" w:rsidRDefault="009719A9" w:rsidP="00B15179">
      <w:pPr>
        <w:pStyle w:val="NormalHanging12a"/>
      </w:pPr>
      <w:r w:rsidRPr="000B0352">
        <w:t>–</w:t>
      </w:r>
      <w:r w:rsidRPr="000B0352">
        <w:tab/>
        <w:t>so zreteľom na Akt o priamych a všeobecných voľbách poslancov Európskeho parlamentu</w:t>
      </w:r>
      <w:r w:rsidRPr="000B0352">
        <w:rPr>
          <w:rStyle w:val="FootnoteReference"/>
        </w:rPr>
        <w:footnoteReference w:id="1"/>
      </w:r>
      <w:r w:rsidRPr="000B0352">
        <w:t xml:space="preserve"> (európsky akt o voľbách), ktorý je pripojený k rozhodnutiu Rady z 20. septembra 1976</w:t>
      </w:r>
      <w:r w:rsidRPr="000B0352">
        <w:rPr>
          <w:rStyle w:val="FootnoteReference"/>
        </w:rPr>
        <w:footnoteReference w:id="2"/>
      </w:r>
      <w:r w:rsidRPr="000B0352">
        <w:t>, v znení zmien,</w:t>
      </w:r>
    </w:p>
    <w:p w14:paraId="3BDCF191" w14:textId="77777777" w:rsidR="009719A9" w:rsidRPr="000B0352" w:rsidRDefault="009719A9" w:rsidP="00B15179">
      <w:pPr>
        <w:pStyle w:val="NormalHanging12a"/>
      </w:pPr>
      <w:r w:rsidRPr="000B0352">
        <w:t>–</w:t>
      </w:r>
      <w:r w:rsidRPr="000B0352">
        <w:tab/>
        <w:t>so zreteľom na Rámcovú dohodu o vzťahoch medzi Európskym parlamentom a Európskou komisiou z 20. októbra 2010</w:t>
      </w:r>
      <w:r w:rsidRPr="000B0352">
        <w:rPr>
          <w:rStyle w:val="FootnoteReference"/>
        </w:rPr>
        <w:footnoteReference w:id="3"/>
      </w:r>
      <w:r w:rsidRPr="000B0352">
        <w:t>,</w:t>
      </w:r>
    </w:p>
    <w:p w14:paraId="262C2C02" w14:textId="77777777" w:rsidR="009719A9" w:rsidRPr="000B0352" w:rsidRDefault="009719A9" w:rsidP="00B15179">
      <w:pPr>
        <w:pStyle w:val="NormalHanging12a"/>
      </w:pPr>
      <w:r w:rsidRPr="000B0352">
        <w:t>–</w:t>
      </w:r>
      <w:r w:rsidRPr="000B0352">
        <w:tab/>
        <w:t>so zreteľom na svoje uznesenie z 11. novembra 2015 o reforme volebného zákona Európskej únie</w:t>
      </w:r>
      <w:r w:rsidRPr="000B0352">
        <w:rPr>
          <w:rStyle w:val="FootnoteReference"/>
        </w:rPr>
        <w:footnoteReference w:id="4"/>
      </w:r>
      <w:r w:rsidRPr="000B0352">
        <w:t>,</w:t>
      </w:r>
    </w:p>
    <w:p w14:paraId="07A10486" w14:textId="77777777" w:rsidR="009719A9" w:rsidRPr="000B0352" w:rsidRDefault="009719A9" w:rsidP="00B15179">
      <w:pPr>
        <w:pStyle w:val="NormalHanging12a"/>
      </w:pPr>
      <w:r w:rsidRPr="000B0352">
        <w:t>–</w:t>
      </w:r>
      <w:r w:rsidRPr="000B0352">
        <w:tab/>
        <w:t xml:space="preserve">so zreteľom na svoju pozíciu z 3. mája 2022 o návrhu nariadenia Rady o priamych a všeobecných voľbách poslancov Európskeho parlamentu, ktorým sa zrušuje rozhodnutie Rady (76/787/ESUO, EHS, </w:t>
      </w:r>
      <w:proofErr w:type="spellStart"/>
      <w:r w:rsidRPr="000B0352">
        <w:t>Euratom</w:t>
      </w:r>
      <w:proofErr w:type="spellEnd"/>
      <w:r w:rsidRPr="000B0352">
        <w:t xml:space="preserve">) a Akt o priamych a všeobecných voľbách poslancov Európskeho parlamentu pripojený k tomuto rozhodnutiu (2020/2220(INL) – </w:t>
      </w:r>
      <w:r w:rsidRPr="000B0352">
        <w:lastRenderedPageBreak/>
        <w:t>2022/0902(APP))</w:t>
      </w:r>
      <w:r w:rsidRPr="000B0352">
        <w:rPr>
          <w:rStyle w:val="FootnoteReference"/>
        </w:rPr>
        <w:footnoteReference w:id="5"/>
      </w:r>
      <w:r w:rsidRPr="000B0352">
        <w:t>,</w:t>
      </w:r>
    </w:p>
    <w:p w14:paraId="47373A35" w14:textId="77777777" w:rsidR="009719A9" w:rsidRPr="000B0352" w:rsidRDefault="009719A9" w:rsidP="00B15179">
      <w:pPr>
        <w:pStyle w:val="NormalHanging12a"/>
      </w:pPr>
      <w:r w:rsidRPr="000B0352">
        <w:t>–</w:t>
      </w:r>
      <w:r w:rsidRPr="000B0352">
        <w:tab/>
        <w:t xml:space="preserve">so zreteľom na rozhodnutie Rady (EÚ, </w:t>
      </w:r>
      <w:proofErr w:type="spellStart"/>
      <w:r w:rsidRPr="000B0352">
        <w:t>Euratom</w:t>
      </w:r>
      <w:proofErr w:type="spellEnd"/>
      <w:r w:rsidRPr="000B0352">
        <w:t xml:space="preserve">) 2018/994 z 13. júla 2018, ktorým sa mení Akt o priamych a všeobecných voľbách poslancov Európskeho parlamentu pripojený k rozhodnutiu Rady 76/787/ESUO, EHS, </w:t>
      </w:r>
      <w:proofErr w:type="spellStart"/>
      <w:r w:rsidRPr="000B0352">
        <w:t>Euratom</w:t>
      </w:r>
      <w:proofErr w:type="spellEnd"/>
      <w:r w:rsidRPr="000B0352">
        <w:t xml:space="preserve"> z 20. septembra 1976</w:t>
      </w:r>
      <w:r w:rsidRPr="000B0352">
        <w:rPr>
          <w:rStyle w:val="FootnoteReference"/>
        </w:rPr>
        <w:footnoteReference w:id="6"/>
      </w:r>
      <w:r w:rsidRPr="000B0352">
        <w:t>,</w:t>
      </w:r>
    </w:p>
    <w:p w14:paraId="2CC0DF91" w14:textId="77777777" w:rsidR="009719A9" w:rsidRPr="000B0352" w:rsidRDefault="009719A9" w:rsidP="00B15179">
      <w:pPr>
        <w:pStyle w:val="NormalHanging12a"/>
      </w:pPr>
      <w:r w:rsidRPr="000B0352">
        <w:t>–</w:t>
      </w:r>
      <w:r w:rsidRPr="000B0352">
        <w:rPr>
          <w:b/>
          <w:i/>
        </w:rPr>
        <w:tab/>
      </w:r>
      <w:r w:rsidRPr="000B0352">
        <w:t>so zreteľom na Dohovor OSN o právach osôb so zdravotným postihnutím,</w:t>
      </w:r>
    </w:p>
    <w:p w14:paraId="7E4D8F1F" w14:textId="77777777" w:rsidR="009719A9" w:rsidRPr="000B0352" w:rsidRDefault="009719A9" w:rsidP="00B15179">
      <w:pPr>
        <w:pStyle w:val="NormalHanging12a"/>
      </w:pPr>
      <w:r w:rsidRPr="000B0352">
        <w:t>–</w:t>
      </w:r>
      <w:r w:rsidRPr="000B0352">
        <w:tab/>
        <w:t>so zreteľom na článok 55 rokovacieho poriadku, ako aj na článok 1 ods. 1 písm. e) rozhodnutia Konferencie predsedov z 12. decembra 2002 o postupe udelenia súhlasu s vypracovaním iniciatívnych správ a na prílohu 3 k tomuto rozhodnutiu,</w:t>
      </w:r>
    </w:p>
    <w:p w14:paraId="0078831D" w14:textId="77777777" w:rsidR="009719A9" w:rsidRPr="000B0352" w:rsidRDefault="009719A9" w:rsidP="00B15179">
      <w:pPr>
        <w:pStyle w:val="NormalHanging12a"/>
      </w:pPr>
      <w:r w:rsidRPr="000B0352">
        <w:t>–</w:t>
      </w:r>
      <w:r w:rsidRPr="000B0352">
        <w:tab/>
        <w:t>so zreteľom na správu Výboru pre ústavné veci (A10-0252/2025),</w:t>
      </w:r>
    </w:p>
    <w:p w14:paraId="2A4AA3E9" w14:textId="5A20161A" w:rsidR="009719A9" w:rsidRPr="000B0352" w:rsidRDefault="009719A9" w:rsidP="00B15179">
      <w:pPr>
        <w:pStyle w:val="NormalHanging12a"/>
        <w:tabs>
          <w:tab w:val="left" w:pos="567"/>
        </w:tabs>
      </w:pPr>
      <w:r w:rsidRPr="000B0352">
        <w:t>A.</w:t>
      </w:r>
      <w:r w:rsidRPr="000B0352">
        <w:tab/>
        <w:t xml:space="preserve">keďže článok 223 ZFEÚ dáva </w:t>
      </w:r>
      <w:r w:rsidR="00A667E7" w:rsidRPr="000B0352">
        <w:t>Európskemu p</w:t>
      </w:r>
      <w:r w:rsidRPr="000B0352">
        <w:t>arlamentu právo začať reformu svojho volebného postupu s cieľom vypracovať jednotný postup, ktorý sa uplatní na celom území EÚ, alebo postup, ktorý je založený na zásadách spoločných pre všetky členské štáty, a právo udeliť súhlas s touto reformou; keďže inštitúcie EÚ a členské štáty sú viazané zásadou vzájomnej lojálnej spolupráce stanovenou v článku 4 ods. 3 Z</w:t>
      </w:r>
      <w:r w:rsidR="00496FDB" w:rsidRPr="000B0352">
        <w:t xml:space="preserve">mluvy o </w:t>
      </w:r>
      <w:r w:rsidRPr="000B0352">
        <w:t xml:space="preserve">EÚ; </w:t>
      </w:r>
    </w:p>
    <w:p w14:paraId="0C7EFA37" w14:textId="77777777" w:rsidR="009719A9" w:rsidRPr="000B0352" w:rsidRDefault="009719A9" w:rsidP="00B15179">
      <w:pPr>
        <w:pStyle w:val="NormalHanging12a"/>
        <w:ind w:hanging="570"/>
        <w:rPr>
          <w:bCs/>
          <w:iCs/>
        </w:rPr>
      </w:pPr>
      <w:r w:rsidRPr="000B0352">
        <w:t>B.</w:t>
      </w:r>
      <w:r w:rsidRPr="000B0352">
        <w:tab/>
        <w:t xml:space="preserve">keďže jednotný volebný postup by zabezpečil nielen väčšiu rovnosť a transparentnosť vo volebnom procese, ale podporil by aj vznik európskej politickej a verejnej sféry, čím by sa posilnila legitimita EÚ a jej inštitúcií; </w:t>
      </w:r>
    </w:p>
    <w:p w14:paraId="7E51C36A" w14:textId="77777777" w:rsidR="009719A9" w:rsidRPr="000B0352" w:rsidRDefault="009719A9" w:rsidP="00B15179">
      <w:pPr>
        <w:pStyle w:val="NormalHanging12a"/>
      </w:pPr>
      <w:r w:rsidRPr="000B0352">
        <w:t>C.</w:t>
      </w:r>
      <w:r w:rsidRPr="000B0352">
        <w:tab/>
        <w:t xml:space="preserve">keďže v súlade s článkom 223 ods. 1 ZFEÚ nadobudnutie účinnosti zmeneného európskeho aktu o voľbách podlieha schváleniu všetkými členskými štátmi v súlade s ich príslušnými ústavnými požiadavkami, pričom každý členský štát si ponecháva plnú právomoc rozhodnúť o tom, kedy ho ratifikuje; </w:t>
      </w:r>
    </w:p>
    <w:p w14:paraId="21C2C13E" w14:textId="77777777" w:rsidR="009719A9" w:rsidRPr="000B0352" w:rsidRDefault="009719A9" w:rsidP="00B15179">
      <w:pPr>
        <w:pStyle w:val="NormalHanging12a"/>
      </w:pPr>
      <w:r w:rsidRPr="000B0352">
        <w:t>D.</w:t>
      </w:r>
      <w:r w:rsidRPr="000B0352">
        <w:tab/>
        <w:t>keďže možnosť vytvorenia jednotného volebného postupu založeného na priamych a všeobecných voľbách je zakotvená v zmluvách od roku 1957;</w:t>
      </w:r>
    </w:p>
    <w:p w14:paraId="477C2FD4" w14:textId="2411A0FA" w:rsidR="009719A9" w:rsidRPr="000B0352" w:rsidRDefault="009719A9" w:rsidP="00B15179">
      <w:pPr>
        <w:pStyle w:val="NormalHanging12a"/>
        <w:rPr>
          <w:bCs/>
          <w:iCs/>
        </w:rPr>
      </w:pPr>
      <w:r w:rsidRPr="000B0352">
        <w:t>E.</w:t>
      </w:r>
      <w:r w:rsidRPr="000B0352">
        <w:tab/>
        <w:t xml:space="preserve">keďže samotný európsky akt o voľbách z roku 1976 jasne stanovil cieľ zaviesť takýto jednotný postup a výslovne poveril </w:t>
      </w:r>
      <w:r w:rsidR="00A667E7" w:rsidRPr="000B0352">
        <w:t>Európsky p</w:t>
      </w:r>
      <w:r w:rsidRPr="000B0352">
        <w:t>arlament, aby na tento účel prijal potrebné opatrenia; keďže možnosť stanoviť „spoločné zásady“ namiesto harmonizovaného postupu bola zavedená až v neskoršej fáze ako pragmatická reakcia na pretrvávajúce ťažkosti pri dosahovaní jednomyseľnej dohody o jednotnom volebnom postupe; keďže tento posun v prístupe viedol k pretrvávajúcemu a nerovnomernému vykonávaniu volebných reforiem, čím sa oslabil pôvodný duch zmlúv a európskeho aktu o voľbách z roku 1976 a oddialilo sa vytvorenie európskeho volebného rámca;</w:t>
      </w:r>
    </w:p>
    <w:p w14:paraId="0243BCB9" w14:textId="3E307AF4" w:rsidR="009719A9" w:rsidRPr="000B0352" w:rsidRDefault="009719A9" w:rsidP="00B15179">
      <w:pPr>
        <w:pStyle w:val="NormalHanging12a"/>
      </w:pPr>
      <w:r w:rsidRPr="000B0352">
        <w:t>F.</w:t>
      </w:r>
      <w:r w:rsidRPr="000B0352">
        <w:tab/>
        <w:t xml:space="preserve">keďže cieľom reformy volebného postupu </w:t>
      </w:r>
      <w:r w:rsidR="00A667E7" w:rsidRPr="000B0352">
        <w:t>Európskeho p</w:t>
      </w:r>
      <w:r w:rsidRPr="000B0352">
        <w:t xml:space="preserve">arlamentu by malo byť posilnenie demokratického rozmeru európskych volieb a legitimity rozhodovacieho procesu EÚ zabezpečením rovnocennej účasti všetkých občanov EÚ, čím sa volebný rámec zosúladí s úlohou </w:t>
      </w:r>
      <w:r w:rsidR="00A667E7" w:rsidRPr="000B0352">
        <w:t>Európskeho p</w:t>
      </w:r>
      <w:r w:rsidRPr="000B0352">
        <w:t xml:space="preserve">arlamentu ako </w:t>
      </w:r>
      <w:proofErr w:type="spellStart"/>
      <w:r w:rsidRPr="000B0352">
        <w:t>spoluzákonodarcu</w:t>
      </w:r>
      <w:proofErr w:type="spellEnd"/>
      <w:r w:rsidRPr="000B0352">
        <w:t xml:space="preserve"> priamo voleného občanmi EÚ; keďže takáto reforma by mala slúžiť na posilnenie koncepcie občianstva EÚ, zlepšenie fungovania </w:t>
      </w:r>
      <w:r w:rsidR="00A667E7" w:rsidRPr="000B0352">
        <w:t>Európskeho p</w:t>
      </w:r>
      <w:r w:rsidRPr="000B0352">
        <w:t xml:space="preserve">arlamentu a riadenia EÚ a posilnenie zásad rovnosti vo voľbách, rovnakých príležitostí a inklúzie; keďže by sa tým mala </w:t>
      </w:r>
      <w:r w:rsidRPr="000B0352">
        <w:lastRenderedPageBreak/>
        <w:t xml:space="preserve">zvýšiť transparentnosť, prístupnosť a zapojenie mládeže; </w:t>
      </w:r>
    </w:p>
    <w:p w14:paraId="7BABBD7A" w14:textId="77777777" w:rsidR="009719A9" w:rsidRPr="000B0352" w:rsidRDefault="009719A9" w:rsidP="00B15179">
      <w:pPr>
        <w:pStyle w:val="NormalHanging12a"/>
      </w:pPr>
      <w:r w:rsidRPr="000B0352">
        <w:t>G.</w:t>
      </w:r>
      <w:r w:rsidRPr="000B0352">
        <w:tab/>
        <w:t xml:space="preserve">keďže ešte nebola dosiahnutá komplexná dohoda o skutočne jednotnom volebnom postupe a súčasný rámec je naďalej veľmi roztrieštený; keďže v určitých aspektoch došlo k postupnej konvergencii, ale súčasné vnútroštátne pravidlá naďalej vytvárajú značné rozdiely v kľúčových oblastiach medzi členskými štátmi, čo podkopáva rovnosť vo voľbách a oslabuje vnímanie jednotných, spoločných európskych volieb, ako aj dôveru občanov v európsky demokratický proces; </w:t>
      </w:r>
    </w:p>
    <w:p w14:paraId="0690DAFA" w14:textId="1930BB8D" w:rsidR="009719A9" w:rsidRPr="000B0352" w:rsidRDefault="009719A9" w:rsidP="00B15179">
      <w:pPr>
        <w:pStyle w:val="NormalHanging12a"/>
      </w:pPr>
      <w:r w:rsidRPr="000B0352">
        <w:t>H.</w:t>
      </w:r>
      <w:r w:rsidRPr="000B0352">
        <w:tab/>
        <w:t>keďže napriek niekoľkým reformám sa európske voľby riadia stále z väčšej časti vnútroštátnymi právnymi predpismi, volebné kampane sú naďalej do veľkej miery vnútroštátne a európske politické strany nedokážu dostatočne plniť svoj ústavný mandát a prispievať „k formovaniu európskeho politického vedomia a k vyjadrovaniu vôle občanov Únie“, ako sa vyžaduje v článku 10 ods. 4 Z</w:t>
      </w:r>
      <w:r w:rsidR="00496FDB" w:rsidRPr="000B0352">
        <w:t xml:space="preserve">mluvy o </w:t>
      </w:r>
      <w:r w:rsidRPr="000B0352">
        <w:t>EÚ; keďže prepracované znenie nariadenia o štatúte a financovaní európskych politických strán a európskych politických nadácií</w:t>
      </w:r>
      <w:r w:rsidRPr="000B0352">
        <w:rPr>
          <w:rStyle w:val="FootnoteReference"/>
        </w:rPr>
        <w:footnoteReference w:id="7"/>
      </w:r>
      <w:r w:rsidRPr="000B0352">
        <w:t xml:space="preserve"> prinieslo určitú jasnosť v tomto ohľade; </w:t>
      </w:r>
    </w:p>
    <w:p w14:paraId="7E2D515A" w14:textId="77777777" w:rsidR="009719A9" w:rsidRPr="000B0352" w:rsidRDefault="009719A9" w:rsidP="00B15179">
      <w:pPr>
        <w:pStyle w:val="NormalHanging12a"/>
      </w:pPr>
      <w:r w:rsidRPr="000B0352">
        <w:t>I.</w:t>
      </w:r>
      <w:r w:rsidRPr="000B0352">
        <w:tab/>
        <w:t>keďže volebný prah na pridelenie kresiel je minimálne percento hlasov, ktoré musí politická strana alebo koalícia získať, aby získala kreslo v zákonodarnom zhromaždení;</w:t>
      </w:r>
    </w:p>
    <w:p w14:paraId="2B96F42A" w14:textId="7C976699" w:rsidR="009719A9" w:rsidRPr="000B0352" w:rsidRDefault="009719A9" w:rsidP="00B15179">
      <w:pPr>
        <w:pStyle w:val="NormalHanging12a"/>
      </w:pPr>
      <w:r w:rsidRPr="000B0352">
        <w:t>J.</w:t>
      </w:r>
      <w:r w:rsidRPr="000B0352">
        <w:tab/>
        <w:t xml:space="preserve">keďže v rozhodnutí Rady </w:t>
      </w:r>
      <w:r w:rsidR="0097079A" w:rsidRPr="000B0352">
        <w:t xml:space="preserve">(EÚ, </w:t>
      </w:r>
      <w:proofErr w:type="spellStart"/>
      <w:r w:rsidR="0097079A" w:rsidRPr="000B0352">
        <w:t>Euratom</w:t>
      </w:r>
      <w:proofErr w:type="spellEnd"/>
      <w:r w:rsidR="0097079A" w:rsidRPr="000B0352">
        <w:t xml:space="preserve">) </w:t>
      </w:r>
      <w:r w:rsidRPr="000B0352">
        <w:t>2018/994</w:t>
      </w:r>
      <w:r w:rsidRPr="000B0352">
        <w:rPr>
          <w:rStyle w:val="FootnoteReference"/>
        </w:rPr>
        <w:footnoteReference w:id="8"/>
      </w:r>
      <w:r w:rsidRPr="000B0352">
        <w:t xml:space="preserve"> sa stanovuje prahová hodnota medzi 2 % a 5 % pre členské štáty vo volebných obvodoch s viac ako 35 kreslami; keďže volebné prahy musia zabezpečiť rovnováhu medzi riadením a politickou pluralitou;</w:t>
      </w:r>
    </w:p>
    <w:p w14:paraId="5921BC82" w14:textId="77777777" w:rsidR="009719A9" w:rsidRPr="000B0352" w:rsidRDefault="009719A9" w:rsidP="00B15179">
      <w:pPr>
        <w:pStyle w:val="NormalHanging12a"/>
        <w:rPr>
          <w:bCs/>
          <w:iCs/>
        </w:rPr>
      </w:pPr>
      <w:r w:rsidRPr="000B0352">
        <w:t>K.</w:t>
      </w:r>
      <w:r w:rsidRPr="000B0352">
        <w:tab/>
        <w:t xml:space="preserve">keďže v procese ratifikácie reformy z roku 2018 došlo k značným oneskoreniam, pričom niekoľko členských štátov nedokončilo potrebné postupy včas pred voľbami do Európskeho parlamentu v roku 2024; </w:t>
      </w:r>
    </w:p>
    <w:p w14:paraId="7E49AB7A" w14:textId="77777777" w:rsidR="009719A9" w:rsidRPr="000B0352" w:rsidRDefault="009719A9" w:rsidP="00B15179">
      <w:pPr>
        <w:pStyle w:val="NormalHanging12a"/>
        <w:rPr>
          <w:bCs/>
          <w:iCs/>
        </w:rPr>
      </w:pPr>
      <w:r w:rsidRPr="000B0352">
        <w:t>L.</w:t>
      </w:r>
      <w:r w:rsidRPr="000B0352">
        <w:tab/>
        <w:t xml:space="preserve">keďže každý občan EÚ má rovnakú príležitosť zúčastniť sa na demokratickom procese, aby sa zaručil </w:t>
      </w:r>
      <w:proofErr w:type="spellStart"/>
      <w:r w:rsidRPr="000B0352">
        <w:t>inkluzívnejší</w:t>
      </w:r>
      <w:proofErr w:type="spellEnd"/>
      <w:r w:rsidRPr="000B0352">
        <w:t xml:space="preserve"> volebný proces; keďže len niekoľko poslancov Európskeho parlamentu patrí k národnostným a etnickým menšinám, ktoré sú v členských štátoch oficiálne uznané za menšiny v ich príslušných členských štátoch v súlade s ich príslušnými ústavnými alebo právnymi rámcami a príslušnými nástrojmi Rady Európy; keďže v správe Benátskej komisie a Rady pre demokratické voľby z 15. marca 2005 o volebných pravidlách a pozitívnych opatreniach pre účasť národnostných menšín na rozhodovacom procese v európskych krajinách sa odporučilo niekoľko opatrení na zabezpečenie spravodlivého zastúpenia menšín; </w:t>
      </w:r>
    </w:p>
    <w:p w14:paraId="6B4468DE" w14:textId="77777777" w:rsidR="009719A9" w:rsidRPr="000B0352" w:rsidRDefault="009719A9" w:rsidP="00B15179">
      <w:pPr>
        <w:pStyle w:val="NormalHanging12a"/>
      </w:pPr>
      <w:r w:rsidRPr="000B0352">
        <w:t>M.</w:t>
      </w:r>
      <w:r w:rsidRPr="000B0352">
        <w:tab/>
        <w:t xml:space="preserve">keďže reforma volebného postupu na základe článku 223 ods. 1 ZFEÚ musí plne rešpektovať zásady subsidiarity a proporcionality a kontrolné a ratifikačné právomoci národných parlamentov; </w:t>
      </w:r>
    </w:p>
    <w:p w14:paraId="3A780F19" w14:textId="77777777" w:rsidR="009719A9" w:rsidRPr="000B0352" w:rsidRDefault="009719A9" w:rsidP="00B15179">
      <w:pPr>
        <w:pStyle w:val="Subheading"/>
      </w:pPr>
      <w:r w:rsidRPr="000B0352">
        <w:lastRenderedPageBreak/>
        <w:t>Hlavné závery</w:t>
      </w:r>
    </w:p>
    <w:p w14:paraId="247CDEA1" w14:textId="77777777" w:rsidR="009719A9" w:rsidRPr="000B0352" w:rsidRDefault="009719A9" w:rsidP="00B15179">
      <w:pPr>
        <w:pStyle w:val="NormalHanging12a"/>
      </w:pPr>
      <w:r w:rsidRPr="000B0352">
        <w:t>1.</w:t>
      </w:r>
      <w:r w:rsidRPr="000B0352">
        <w:tab/>
        <w:t>pripomína, že ceste k europeizácii vnútroštátnych volebných pravidiel týkajúcich sa volieb do Európskeho parlamentu by prospelo ďalšie posilnenie, najmä pokiaľ ide o prístupnosť pre znevýhodnené skupiny, spoločné lehoty na dokončenie volebných zoznamov, predchádzanie dvojitému hlasovaniu a posilnenie viditeľnosti a úlohy európskych politických strán vo volebných procesoch; pripomína však, že mnohé existujúce ustanovenia súčasného aktu európskych voľbách boli zavedené vo všetkých členských štátoch, konkrétne systém pomerného zastúpenia, maximálny volebný prah 5 % a zákaz dvojitého mandátu poslancov Európskeho parlamentu v národných parlamentoch a v Európskom parlamente; domnieva sa však, že dokončenie európskeho „</w:t>
      </w:r>
      <w:proofErr w:type="spellStart"/>
      <w:r w:rsidRPr="000B0352">
        <w:t>démosu</w:t>
      </w:r>
      <w:proofErr w:type="spellEnd"/>
      <w:r w:rsidRPr="000B0352">
        <w:t xml:space="preserve">“ nie je vôbec v dohľade a že sa musí zintenzívniť politické úsilie, aby sa EÚ stala menej byrokratickou a demokratickejšou; </w:t>
      </w:r>
    </w:p>
    <w:p w14:paraId="65759BD4" w14:textId="77777777" w:rsidR="009719A9" w:rsidRPr="000B0352" w:rsidRDefault="009719A9" w:rsidP="00B15179">
      <w:pPr>
        <w:pStyle w:val="NormalHanging12a"/>
        <w:rPr>
          <w:bCs/>
          <w:iCs/>
        </w:rPr>
      </w:pPr>
      <w:r w:rsidRPr="000B0352">
        <w:t>2.</w:t>
      </w:r>
      <w:r w:rsidRPr="000B0352">
        <w:tab/>
        <w:t>opakuje, že európske voľby sa naďalej uskutočňujú prevažne vo vnútroštátnych právnych a inštitucionálnych rámcoch, ktoré boli koncipované vo výrazne odlišnej fáze európskej integrácie; zdôrazňuje, že tieto pravidlá už nezodpovedajú posilnenej úlohe a legislatívnym právomociam Európskeho parlamentu, najmä od nadobudnutia platnosti Lisabonskej zmluvy;</w:t>
      </w:r>
    </w:p>
    <w:p w14:paraId="6BE80FF2" w14:textId="77777777" w:rsidR="009719A9" w:rsidRPr="000B0352" w:rsidRDefault="009719A9" w:rsidP="00B15179">
      <w:pPr>
        <w:pStyle w:val="NormalHanging12a"/>
      </w:pPr>
      <w:r w:rsidRPr="000B0352">
        <w:t>3.</w:t>
      </w:r>
      <w:r w:rsidRPr="000B0352">
        <w:tab/>
        <w:t xml:space="preserve">pripomína, že rozhodnutie Rady (EÚ, </w:t>
      </w:r>
      <w:proofErr w:type="spellStart"/>
      <w:r w:rsidRPr="000B0352">
        <w:t>Euratom</w:t>
      </w:r>
      <w:proofErr w:type="spellEnd"/>
      <w:r w:rsidRPr="000B0352">
        <w:t xml:space="preserve">) 2018/994 obsahuje niekoľko ustanovení, ktoré sú členské štáty povinné vykonávať alebo sa im odporúča, aby ich vykonávali; poukazuje na to, že niektoré členské štáty nevykonali nepovinné opatrenia a že niektoré povinné opatrenia niektoré členské štáty vykonávajú odlišne, napríklad tie, ktoré sa týkajú predchádzania dvojitému hlasovaniu; konštatuje, že väčšina ustanovení stanovených v rozhodnutí Rady (EÚ, </w:t>
      </w:r>
      <w:proofErr w:type="spellStart"/>
      <w:r w:rsidRPr="000B0352">
        <w:t>Euratom</w:t>
      </w:r>
      <w:proofErr w:type="spellEnd"/>
      <w:r w:rsidRPr="000B0352">
        <w:t xml:space="preserve">) 2018/994 zostáva nepovinná; domnieva sa, že obmedzená transpozícia týchto nezáväzných ustanovení odhaľuje nedostatok politickej vôle prekonať národný odpor a zaviazať sa k demokratickému procesu, ktorý by lepšie odrážal európsky rozmer; </w:t>
      </w:r>
    </w:p>
    <w:p w14:paraId="40B8A163" w14:textId="77777777" w:rsidR="009719A9" w:rsidRPr="000B0352" w:rsidRDefault="009719A9" w:rsidP="00B15179">
      <w:pPr>
        <w:pStyle w:val="NormalHanging12a"/>
      </w:pPr>
      <w:r w:rsidRPr="000B0352">
        <w:t>4.</w:t>
      </w:r>
      <w:r w:rsidRPr="000B0352">
        <w:tab/>
        <w:t>pripomína, že termíny na dokončenie volebných zoznamov pred európskymi voľbami sa v jednotlivých členských štátoch značne líšia, v súčasnosti je to od 21 do 90 dní, čo stavia kandidátov aj voličov celej EÚ do nerovnakej pozície, pokiaľ ide o čas, ktorý majú k dispozícii na vedenie kampane alebo na zváženie výberu;</w:t>
      </w:r>
    </w:p>
    <w:p w14:paraId="06143127" w14:textId="2207BBFF" w:rsidR="009719A9" w:rsidRPr="000B0352" w:rsidRDefault="009719A9" w:rsidP="00B15179">
      <w:pPr>
        <w:pStyle w:val="NormalHanging12a"/>
        <w:rPr>
          <w:bCs/>
          <w:iCs/>
        </w:rPr>
      </w:pPr>
      <w:r w:rsidRPr="000B0352">
        <w:t>5.</w:t>
      </w:r>
      <w:r w:rsidRPr="000B0352">
        <w:tab/>
        <w:t>poukazuje na to, že vytvorenie európskej verejnej sféry a politickej diskusie, ktorá presahuje štátne hranice, najmä v súvislosti s európskymi voľbami, má zásadný význam pre posilnenie demokracie v rámci EÚ; zdôrazňuje, že európske politické strany sú kľúčovým nástrojom na podporu takejto diskusie; domnieva sa, že je nutné, aby všetky hlasovacie lístky obsahovali mená kandidátov a logo európskej politickej strany, ku ktorej je každá národná strana pridružená, a že kandidáti by sa mali riadne zviditeľniť v televíznom a rozhlasovom vysielaní, na plagátoch a iných materiáloch používaných v európskych volebných kampaniach; považuje tieto opatrenia za minimálnu požiadavku na informovanie voličov o európskom rozmere ich hlasovania a na to, aby európske politické strany mohli plniť svoju úlohu podľa článku 10 ods. 4 Z</w:t>
      </w:r>
      <w:r w:rsidR="00C74987" w:rsidRPr="000B0352">
        <w:t xml:space="preserve">mluvy o </w:t>
      </w:r>
      <w:r w:rsidRPr="000B0352">
        <w:t xml:space="preserve">EÚ; domnieva sa, že tieto opatrenia by zvýšili transparentnosť európskych volieb, zabránili akémukoľvek narušeniu práva voličov na informácie o existencii koaličných dohôd medzi politickými stranami v súvislosti s európskymi voľbami a umožnili by občanom vedome hlasovať za politickú stranu, ktorá patrí k ich preferovanej politickej skupine v Európskom parlamente; vyjadruje poľutovanie nad tým, že ide len o voliteľné opatrenie podľa rozhodnutia Rady (EÚ, </w:t>
      </w:r>
      <w:proofErr w:type="spellStart"/>
      <w:r w:rsidRPr="000B0352">
        <w:t>Euratom</w:t>
      </w:r>
      <w:proofErr w:type="spellEnd"/>
      <w:r w:rsidRPr="000B0352">
        <w:t xml:space="preserve">) 2018/994 a doteraz nebolo </w:t>
      </w:r>
      <w:r w:rsidRPr="000B0352">
        <w:lastRenderedPageBreak/>
        <w:t xml:space="preserve">transponované do žiadnych vnútroštátnych právnych predpisov; </w:t>
      </w:r>
    </w:p>
    <w:p w14:paraId="4FAE6502" w14:textId="77777777" w:rsidR="009719A9" w:rsidRPr="000B0352" w:rsidRDefault="009719A9" w:rsidP="00B15179">
      <w:pPr>
        <w:pStyle w:val="NormalHanging12a"/>
        <w:rPr>
          <w:bCs/>
          <w:iCs/>
        </w:rPr>
      </w:pPr>
      <w:r w:rsidRPr="000B0352">
        <w:t>6.</w:t>
      </w:r>
      <w:r w:rsidRPr="000B0352">
        <w:tab/>
        <w:t xml:space="preserve">pripomína, že je potrebné napredovať v zabezpečovaní väčšej </w:t>
      </w:r>
      <w:proofErr w:type="spellStart"/>
      <w:r w:rsidRPr="000B0352">
        <w:t>inkluzívnosti</w:t>
      </w:r>
      <w:proofErr w:type="spellEnd"/>
      <w:r w:rsidRPr="000B0352">
        <w:t xml:space="preserve"> volebného procesu s cieľom zaistiť, aby mal každý občan bez ohľadu na svoju situáciu rovnakú príležitosť zúčastniť sa na demokratickom procese; poukazuje na to, že vnútroštátne pravidlá niektorých členských štátov stále neumožňujú voličom so zdravotným postihnutím zmeniť pridelenú volebnú miestnosť na inú, ktorá lepšie vyhovuje ich potrebám, ani prístup k volebným informáciám v prístupných formátoch; zdôrazňuje, že akékoľvek prekážky práva voliť a byť volený pre osoby so zdravotným postihnutím sú nezlučiteľné so záväzkami vyplývajúcimi z Dohovoru OSN o právach osôb so zdravotným postihnutím a mali by sa odstrániť, aby sa zaručila prístupnosť pre všetkých počas celého volebného procesu; </w:t>
      </w:r>
    </w:p>
    <w:p w14:paraId="7065CE46" w14:textId="1BD41A26" w:rsidR="009719A9" w:rsidRPr="000B0352" w:rsidRDefault="009719A9" w:rsidP="00B15179">
      <w:pPr>
        <w:pStyle w:val="NormalHanging12a"/>
        <w:rPr>
          <w:bCs/>
          <w:iCs/>
        </w:rPr>
      </w:pPr>
      <w:r w:rsidRPr="000B0352">
        <w:t>7.</w:t>
      </w:r>
      <w:r w:rsidRPr="000B0352">
        <w:tab/>
        <w:t>konštatuje, že hlasovanie poštou a jeho doplnkové prostriedky sú uvedené v rozhodnutí Rady</w:t>
      </w:r>
      <w:r w:rsidR="00911641">
        <w:t xml:space="preserve"> </w:t>
      </w:r>
      <w:r w:rsidR="00911641" w:rsidRPr="000B0352">
        <w:t xml:space="preserve">(EÚ, </w:t>
      </w:r>
      <w:proofErr w:type="spellStart"/>
      <w:r w:rsidR="00911641" w:rsidRPr="000B0352">
        <w:t>Euratom</w:t>
      </w:r>
      <w:proofErr w:type="spellEnd"/>
      <w:r w:rsidR="00911641" w:rsidRPr="000B0352">
        <w:t>)</w:t>
      </w:r>
      <w:r w:rsidRPr="000B0352">
        <w:t xml:space="preserve"> 2018/994 ako voliteľné opatrenie zamerané na uľahčenie prístupnosti pre osoby so zdravotným postihnutím; zdôrazňuje, že hoci je tento cieľ nevyhnutný, hlasovanie poštou zohráva aj širšiu úlohu pri zvyšovaní flexibility a </w:t>
      </w:r>
      <w:proofErr w:type="spellStart"/>
      <w:r w:rsidRPr="000B0352">
        <w:t>inkluzívnosti</w:t>
      </w:r>
      <w:proofErr w:type="spellEnd"/>
      <w:r w:rsidRPr="000B0352">
        <w:t xml:space="preserve"> volebnej účasti; zdôrazňuje, že zaručená možnosť hlasovania poštou vo všetkých členských štátoch by bola prínosom nielen pre osoby so zdravotným postihnutím, ale aj pre občanov, ktorí nemôžu voliť osobne z dôvodu mimoriadnych okolností; domnieva sa, že zabezpečením širšieho prístupu k hlasovaniu poštou by sa zvýšila účasť, najmä u migrujúcich občanov EÚ a mladších voličov, a prispelo by sa k zvýšeniu celkovej volebnej účasti;</w:t>
      </w:r>
    </w:p>
    <w:p w14:paraId="0CA73763" w14:textId="77777777" w:rsidR="009719A9" w:rsidRPr="000B0352" w:rsidRDefault="009719A9" w:rsidP="00B15179">
      <w:pPr>
        <w:pStyle w:val="NormalHanging12a"/>
      </w:pPr>
      <w:r w:rsidRPr="000B0352">
        <w:t>8.</w:t>
      </w:r>
      <w:r w:rsidRPr="000B0352">
        <w:tab/>
        <w:t xml:space="preserve">pripomína, že situácia občanov EÚ s dvojitým občianstvom stále nie je vyriešená, pretože je naďalej možné, aby občan EÚ s dvojitým občianstvom bol automaticky zapísaný do zoznamu voličov vo viacerých členských štátoch, pričom nemá možnosť sa z neho odhlásiť; konštatuje, že občana EÚ s dvojitým občianstvom, ktorý je automaticky zaregistrovaný vo viac ako jednom zozname voličov, ale ktorý volí len v jednom členskom štáte, ako sa vyžaduje, možno považovať za občana, ktorý nevolil v druhom členskom štáte, a v dôsledku toho by mu mohla byť uložená sankcia; </w:t>
      </w:r>
    </w:p>
    <w:p w14:paraId="0604906F" w14:textId="64E9B3A3" w:rsidR="009719A9" w:rsidRPr="000B0352" w:rsidRDefault="009719A9" w:rsidP="00B15179">
      <w:pPr>
        <w:pStyle w:val="NormalHanging12a"/>
        <w:rPr>
          <w:bCs/>
          <w:iCs/>
        </w:rPr>
      </w:pPr>
      <w:r w:rsidRPr="000B0352">
        <w:t>9.</w:t>
      </w:r>
      <w:r w:rsidRPr="000B0352">
        <w:tab/>
        <w:t xml:space="preserve">víta iniciatívu </w:t>
      </w:r>
      <w:r w:rsidR="00464A00" w:rsidRPr="000B0352">
        <w:t>Európskeho p</w:t>
      </w:r>
      <w:r w:rsidRPr="000B0352">
        <w:t xml:space="preserve">arlamentu zaviesť pravidlá hlasovania prostredníctvom splnomocnenca v prípadoch materskej dovolenky prostredníctvom zmeny európskeho aktu o voľbách ako vyvážené a praktické riešenie na podporu poslancov EP a zároveň na zabezpečenie kontinuity zastúpenia; </w:t>
      </w:r>
    </w:p>
    <w:p w14:paraId="7825A007" w14:textId="77777777" w:rsidR="009719A9" w:rsidRPr="000B0352" w:rsidRDefault="009719A9" w:rsidP="00B15179">
      <w:pPr>
        <w:pStyle w:val="NormalHanging12a"/>
      </w:pPr>
      <w:r w:rsidRPr="000B0352">
        <w:t>10.</w:t>
      </w:r>
      <w:r w:rsidRPr="000B0352">
        <w:tab/>
        <w:t xml:space="preserve">zdôrazňuje, že rozhodnutie Rady (EÚ, </w:t>
      </w:r>
      <w:proofErr w:type="spellStart"/>
      <w:r w:rsidRPr="000B0352">
        <w:t>Euratom</w:t>
      </w:r>
      <w:proofErr w:type="spellEnd"/>
      <w:r w:rsidRPr="000B0352">
        <w:t xml:space="preserve">) 2018/994 ešte nenadobudlo účinnosť, keďže ratifikačný proces stále prebieha v jednom zostávajúcom členskom štáte; konštatuje, že hoci Nemecko ratifikovalo rozhodnutie Rady (EÚ, </w:t>
      </w:r>
      <w:proofErr w:type="spellStart"/>
      <w:r w:rsidRPr="000B0352">
        <w:t>Euratom</w:t>
      </w:r>
      <w:proofErr w:type="spellEnd"/>
      <w:r w:rsidRPr="000B0352">
        <w:t>) 2018/994, nemecký volebný zákon pre európske voľby nebol zmenený, pretože kým volebný prah 2 % nie je povinný podľa práva EÚ, nemôže byť zavedený do nemeckého práva;</w:t>
      </w:r>
    </w:p>
    <w:p w14:paraId="5679251A" w14:textId="02320A28" w:rsidR="009719A9" w:rsidRPr="000B0352" w:rsidRDefault="009719A9" w:rsidP="00B15179">
      <w:pPr>
        <w:pStyle w:val="NormalHanging12a"/>
      </w:pPr>
      <w:r w:rsidRPr="000B0352">
        <w:t>11.</w:t>
      </w:r>
      <w:r w:rsidRPr="000B0352">
        <w:tab/>
        <w:t xml:space="preserve">berie na vedomie úlohu Komisie ako sprostredkovateľa v inštitucionálnych rozhovoroch medzi </w:t>
      </w:r>
      <w:r w:rsidR="00464A00" w:rsidRPr="000B0352">
        <w:t>Európskym p</w:t>
      </w:r>
      <w:r w:rsidRPr="000B0352">
        <w:t xml:space="preserve">arlamentom a Radou o novom návrhu na reformu európskeho aktu o voľbách; považuje za nevyhnutné zapojiť sa do konštruktívneho dialógu s Radou s cieľom vyhodnotiť návrh </w:t>
      </w:r>
      <w:r w:rsidR="00464A00" w:rsidRPr="000B0352">
        <w:t>Európskeho p</w:t>
      </w:r>
      <w:r w:rsidRPr="000B0352">
        <w:t xml:space="preserve">arlamentu z roku 2022 a dosiahnuť pokrok; zdôrazňuje, že nedostatočný pokrok nie je spôsobený technickými alebo právnymi prekážkami, ale nedostatkom politickej vôle členských štátov zaoberať sa návrhmi </w:t>
      </w:r>
      <w:r w:rsidR="00464A00" w:rsidRPr="000B0352">
        <w:t>Európskeho p</w:t>
      </w:r>
      <w:r w:rsidRPr="000B0352">
        <w:t xml:space="preserve">arlamentu; je presvedčený, že táto správa by mala poskytnúť nový impulz na bezodkladné začatie </w:t>
      </w:r>
      <w:proofErr w:type="spellStart"/>
      <w:r w:rsidRPr="000B0352">
        <w:t>medziinštitucionálnych</w:t>
      </w:r>
      <w:proofErr w:type="spellEnd"/>
      <w:r w:rsidRPr="000B0352">
        <w:t xml:space="preserve"> rokovaní o návrhu z roku 2022, a </w:t>
      </w:r>
      <w:r w:rsidRPr="000B0352">
        <w:lastRenderedPageBreak/>
        <w:t xml:space="preserve">naliehavo vyzýva nadchádzajúce predsedníctva Rady, aby si plnili svoje povinnosti podľa zásady vzájomnej a lojálnej spolupráce; </w:t>
      </w:r>
    </w:p>
    <w:p w14:paraId="00913A54" w14:textId="77777777" w:rsidR="009719A9" w:rsidRPr="000B0352" w:rsidRDefault="009719A9" w:rsidP="00B15179">
      <w:pPr>
        <w:pStyle w:val="Subheading"/>
      </w:pPr>
      <w:r w:rsidRPr="000B0352">
        <w:t>Odporúčania</w:t>
      </w:r>
    </w:p>
    <w:p w14:paraId="5E7760DC" w14:textId="54BC4672" w:rsidR="009719A9" w:rsidRPr="000B0352" w:rsidRDefault="009719A9" w:rsidP="00B15179">
      <w:pPr>
        <w:pStyle w:val="NormalHanging12a"/>
      </w:pPr>
      <w:r w:rsidRPr="000B0352">
        <w:t>12.</w:t>
      </w:r>
      <w:r w:rsidRPr="000B0352">
        <w:tab/>
        <w:t xml:space="preserve">považuje transparentnosť volebného postupu a prístup k spoľahlivým informáciám za kľúčové prvky z hľadiska zvyšovania európskeho politického povedomia a zabezpečenia volebnej účasti, ktorá je dostatočne vysoká na to, aby predstavovala mandát od voličov; zdôrazňuje, že kandidáti by mali mať rovnaké možnosti viesť kampaň a že občania by mali byť v dostatočnom predstihu informovaní o kandidátoch kandidujúcich v európskych voľbách; zdôrazňuje preto, že je dôležité harmonizovať lehoty na predkladanie volebných zoznamov vo všetkých členských štátoch, ako to </w:t>
      </w:r>
      <w:r w:rsidR="00464A00" w:rsidRPr="000B0352">
        <w:t>Európsky p</w:t>
      </w:r>
      <w:r w:rsidRPr="000B0352">
        <w:t xml:space="preserve">arlament požadoval pri viacerých príležitostiach; </w:t>
      </w:r>
    </w:p>
    <w:p w14:paraId="24CBC88B" w14:textId="77777777" w:rsidR="009719A9" w:rsidRPr="000B0352" w:rsidRDefault="009719A9" w:rsidP="00B15179">
      <w:pPr>
        <w:pStyle w:val="NormalHanging12a"/>
      </w:pPr>
      <w:r w:rsidRPr="000B0352">
        <w:t>13.</w:t>
      </w:r>
      <w:r w:rsidRPr="000B0352">
        <w:tab/>
        <w:t xml:space="preserve">zdôrazňuje, že je nevyhnutné uľahčiť prístup k hlasovaniu v európskych voľbách a zaručiť, aby všetci, ktorí majú právo voliť, mohli toto právo uplatňovať prostredníctvom hlasovania poštou alebo inými doplnkovými prostriedkami; vyzýva členské štáty, aby všetkým občanom vrátane osôb so zdravotným postihnutím zabezpečili rovnaký prístup k informáciám a volebnému procesu, najmä ak verejné štruktúry nie sú plne prístupné; okrem toho vyzýva členské štáty, aby zaručili právo voliť a byť volený pre osoby so zdravotným postihnutím zavedením ustanovení, ktoré harmonizujú prístupnosť volebných zariadení, volebných miestností, volebných postupov a volebných materiálov pre osoby so zdravotným postihnutím a ktoré im umožnia voliť nezávisle a tajne; konštatuje, že zodpovednosť za reguláciu prístupnosti zostáva v plnej miere na členských štátoch, a vyzýva ich, aby spolupracovali s organizáciami osôb so zdravotným postihnutím s cieľom posúdiť a riešiť právne a praktické prekážky, ktoré bránia ich účasti na voľbách, a to ako voličov aj ako kandidátov; </w:t>
      </w:r>
    </w:p>
    <w:p w14:paraId="38D93BA9" w14:textId="77777777" w:rsidR="009719A9" w:rsidRPr="000B0352" w:rsidRDefault="009719A9" w:rsidP="00B15179">
      <w:pPr>
        <w:pStyle w:val="NormalHanging12a"/>
      </w:pPr>
      <w:r w:rsidRPr="000B0352">
        <w:t>14.</w:t>
      </w:r>
      <w:r w:rsidRPr="000B0352">
        <w:tab/>
        <w:t xml:space="preserve">vyzýva všetky členské štáty, aby vykonávali všetky nepovinné opatrenia uvedené v rozhodnutí Rady (EÚ, </w:t>
      </w:r>
      <w:proofErr w:type="spellStart"/>
      <w:r w:rsidRPr="000B0352">
        <w:t>Euratom</w:t>
      </w:r>
      <w:proofErr w:type="spellEnd"/>
      <w:r w:rsidRPr="000B0352">
        <w:t xml:space="preserve">) 2018/994 a najmä aby zvýšili viditeľnosť volebných aliancií v súvislosti s európskymi voľbami, ako aj príslušnosť národných politických strán k európskym politickým stranám, ale aj viditeľnosť európskych združení voličov a iných európskych volebných subjektov prostredníctvom mediálnych kampaní, distribúcie jednotných hlasovacích lístkov, ktoré jasne uvádzajú európske aliancie v každom členskom štáte, a údajov o všetkých ostatných volebných materiáloch; domnieva sa, že vnútroštátne strany a združenia voličov by mali v prípade potreby počas volebnej kampane uviesť svoju príslušnosť k európskym politickým stranám alebo iným európskym volebným subjektom, a to aj na hlasovacích lístkoch; </w:t>
      </w:r>
    </w:p>
    <w:p w14:paraId="00D2A0F5" w14:textId="77777777" w:rsidR="009719A9" w:rsidRPr="000B0352" w:rsidRDefault="009719A9" w:rsidP="00B15179">
      <w:pPr>
        <w:pStyle w:val="NormalHanging12a"/>
        <w:rPr>
          <w:bCs/>
          <w:iCs/>
        </w:rPr>
      </w:pPr>
      <w:r w:rsidRPr="000B0352">
        <w:t>15.</w:t>
      </w:r>
      <w:r w:rsidRPr="000B0352">
        <w:tab/>
        <w:t xml:space="preserve">vyzýva všetky členské štáty, aby prijali konkrétne kroky na harmonizáciu požiadaviek na kandidatúru s cieľom zabezpečiť spravodlivý a rovnaký prístup k volebnému procesu pre všetkých politických aktérov v súlade so zásadou spravodlivej hospodárskej súťaže a demokratického </w:t>
      </w:r>
      <w:proofErr w:type="spellStart"/>
      <w:r w:rsidRPr="000B0352">
        <w:t>pluralismu</w:t>
      </w:r>
      <w:proofErr w:type="spellEnd"/>
      <w:r w:rsidRPr="000B0352">
        <w:t xml:space="preserve">; </w:t>
      </w:r>
    </w:p>
    <w:p w14:paraId="2B759353" w14:textId="77777777" w:rsidR="009719A9" w:rsidRPr="000B0352" w:rsidRDefault="009719A9" w:rsidP="00B15179">
      <w:pPr>
        <w:pStyle w:val="NormalHanging12a"/>
      </w:pPr>
      <w:r w:rsidRPr="000B0352">
        <w:t>16.</w:t>
      </w:r>
      <w:r w:rsidRPr="000B0352">
        <w:tab/>
        <w:t xml:space="preserve">zdôrazňuje, že ratifikácia rozhodnutia Rady (EÚ, </w:t>
      </w:r>
      <w:proofErr w:type="spellStart"/>
      <w:r w:rsidRPr="000B0352">
        <w:t>Euratom</w:t>
      </w:r>
      <w:proofErr w:type="spellEnd"/>
      <w:r w:rsidRPr="000B0352">
        <w:t>) 2018/994 všetkými členskými štátmi je naďalej povinná, aby mohlo nadobudnúť účinnosť; vyzýva preto zostávajúci členský štát, aby začal ratifikačný postup;</w:t>
      </w:r>
    </w:p>
    <w:p w14:paraId="7241FD5E" w14:textId="68A1E499" w:rsidR="00B15179" w:rsidRPr="000B0352" w:rsidRDefault="00B15179" w:rsidP="00B15179">
      <w:pPr>
        <w:pStyle w:val="NormalHanging12a"/>
        <w:widowControl/>
        <w:ind w:left="0" w:firstLine="0"/>
        <w:jc w:val="center"/>
        <w:rPr>
          <w:bCs/>
          <w:iCs/>
        </w:rPr>
      </w:pPr>
      <w:r w:rsidRPr="000B0352">
        <w:rPr>
          <w:bCs/>
          <w:iCs/>
        </w:rPr>
        <w:t>°</w:t>
      </w:r>
    </w:p>
    <w:p w14:paraId="14859151" w14:textId="632483C0" w:rsidR="00B15179" w:rsidRPr="000B0352" w:rsidRDefault="00B15179" w:rsidP="00B15179">
      <w:pPr>
        <w:pStyle w:val="NormalHanging12a"/>
        <w:widowControl/>
        <w:ind w:left="0" w:firstLine="0"/>
        <w:jc w:val="center"/>
        <w:rPr>
          <w:bCs/>
          <w:iCs/>
        </w:rPr>
      </w:pPr>
      <w:r w:rsidRPr="000B0352">
        <w:rPr>
          <w:bCs/>
          <w:iCs/>
        </w:rPr>
        <w:lastRenderedPageBreak/>
        <w:t>°     °</w:t>
      </w:r>
    </w:p>
    <w:p w14:paraId="13326CC6" w14:textId="5C77094B" w:rsidR="00E365E1" w:rsidRPr="000B0352" w:rsidRDefault="009719A9" w:rsidP="00B15179">
      <w:pPr>
        <w:pStyle w:val="NormalHanging12a"/>
      </w:pPr>
      <w:r w:rsidRPr="000B0352">
        <w:t>17.</w:t>
      </w:r>
      <w:r w:rsidRPr="000B0352">
        <w:tab/>
        <w:t xml:space="preserve">poveruje svoju predsedníčku, aby postúpila toto uznesenie </w:t>
      </w:r>
      <w:r w:rsidR="000A2821" w:rsidRPr="000B0352">
        <w:t>Rade a Komisii.</w:t>
      </w:r>
    </w:p>
    <w:sectPr w:rsidR="00E365E1" w:rsidRPr="000B0352" w:rsidSect="000A282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F8020" w14:textId="77777777" w:rsidR="00A473C2" w:rsidRPr="000A2821" w:rsidRDefault="00A473C2">
      <w:r w:rsidRPr="000A2821">
        <w:separator/>
      </w:r>
    </w:p>
  </w:endnote>
  <w:endnote w:type="continuationSeparator" w:id="0">
    <w:p w14:paraId="65E6912D" w14:textId="77777777" w:rsidR="00A473C2" w:rsidRPr="000A2821" w:rsidRDefault="00A473C2">
      <w:r w:rsidRPr="000A28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1192B" w14:textId="77777777" w:rsidR="00064002" w:rsidRPr="000A282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8D080" w14:textId="77777777" w:rsidR="00064002" w:rsidRPr="000A282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B52A5" w14:textId="77777777" w:rsidR="00064002" w:rsidRPr="000A282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6FBF2" w14:textId="77777777" w:rsidR="00A473C2" w:rsidRPr="000A2821" w:rsidRDefault="00A473C2">
      <w:r w:rsidRPr="000A2821">
        <w:separator/>
      </w:r>
    </w:p>
  </w:footnote>
  <w:footnote w:type="continuationSeparator" w:id="0">
    <w:p w14:paraId="11BB5BDC" w14:textId="77777777" w:rsidR="00A473C2" w:rsidRPr="000A2821" w:rsidRDefault="00A473C2">
      <w:r w:rsidRPr="000A2821">
        <w:continuationSeparator/>
      </w:r>
    </w:p>
  </w:footnote>
  <w:footnote w:id="1">
    <w:p w14:paraId="14F22723" w14:textId="7C2B31B9" w:rsidR="009719A9" w:rsidRPr="000A2821" w:rsidRDefault="009719A9" w:rsidP="000A2821">
      <w:pPr>
        <w:pStyle w:val="FootnoteText"/>
        <w:ind w:left="567" w:hanging="567"/>
        <w:rPr>
          <w:sz w:val="24"/>
          <w:lang w:val="sk-SK"/>
        </w:rPr>
      </w:pPr>
      <w:r w:rsidRPr="000A2821">
        <w:rPr>
          <w:rStyle w:val="FootnoteReference"/>
          <w:sz w:val="24"/>
          <w:lang w:val="sk-SK"/>
        </w:rPr>
        <w:footnoteRef/>
      </w:r>
      <w:r w:rsidR="000A2821" w:rsidRPr="000A2821">
        <w:rPr>
          <w:sz w:val="24"/>
          <w:lang w:val="sk-SK"/>
        </w:rPr>
        <w:t xml:space="preserve"> </w:t>
      </w:r>
      <w:r w:rsidR="000A2821" w:rsidRPr="000A2821">
        <w:rPr>
          <w:sz w:val="24"/>
          <w:lang w:val="sk-SK"/>
        </w:rPr>
        <w:tab/>
      </w:r>
      <w:r w:rsidRPr="000A2821">
        <w:rPr>
          <w:sz w:val="24"/>
          <w:lang w:val="sk-SK"/>
        </w:rPr>
        <w:t xml:space="preserve">Ú. v. ES L 278, 8.10.1976, s. 5, ELI: </w:t>
      </w:r>
      <w:hyperlink r:id="rId1" w:history="1">
        <w:r w:rsidRPr="000A2821">
          <w:rPr>
            <w:rStyle w:val="Hyperlink"/>
            <w:sz w:val="24"/>
            <w:lang w:val="sk-SK"/>
          </w:rPr>
          <w:t>http://data.europa.eu/eli/dec/1976/787(2)/oj</w:t>
        </w:r>
      </w:hyperlink>
      <w:r w:rsidRPr="000A2821">
        <w:rPr>
          <w:sz w:val="24"/>
          <w:lang w:val="sk-SK"/>
        </w:rPr>
        <w:t>.</w:t>
      </w:r>
    </w:p>
  </w:footnote>
  <w:footnote w:id="2">
    <w:p w14:paraId="28D4394A" w14:textId="727772DB" w:rsidR="009719A9" w:rsidRPr="000A2821" w:rsidRDefault="009719A9" w:rsidP="000A2821">
      <w:pPr>
        <w:pStyle w:val="FootnoteText"/>
        <w:ind w:left="567" w:hanging="567"/>
        <w:rPr>
          <w:sz w:val="24"/>
          <w:lang w:val="sk-SK"/>
        </w:rPr>
      </w:pPr>
      <w:r w:rsidRPr="000A2821">
        <w:rPr>
          <w:rStyle w:val="FootnoteReference"/>
          <w:sz w:val="24"/>
          <w:lang w:val="sk-SK"/>
        </w:rPr>
        <w:footnoteRef/>
      </w:r>
      <w:r w:rsidR="000A2821" w:rsidRPr="000A2821">
        <w:rPr>
          <w:sz w:val="24"/>
          <w:lang w:val="sk-SK"/>
        </w:rPr>
        <w:t xml:space="preserve"> </w:t>
      </w:r>
      <w:r w:rsidR="000A2821" w:rsidRPr="000A2821">
        <w:rPr>
          <w:sz w:val="24"/>
          <w:lang w:val="sk-SK"/>
        </w:rPr>
        <w:tab/>
      </w:r>
      <w:r w:rsidRPr="000A2821">
        <w:rPr>
          <w:sz w:val="24"/>
          <w:lang w:val="sk-SK"/>
        </w:rPr>
        <w:t xml:space="preserve">76/787/ESUO, EHS, </w:t>
      </w:r>
      <w:proofErr w:type="spellStart"/>
      <w:r w:rsidRPr="000A2821">
        <w:rPr>
          <w:sz w:val="24"/>
          <w:lang w:val="sk-SK"/>
        </w:rPr>
        <w:t>Euratom</w:t>
      </w:r>
      <w:proofErr w:type="spellEnd"/>
      <w:r w:rsidRPr="000A2821">
        <w:rPr>
          <w:sz w:val="24"/>
          <w:lang w:val="sk-SK"/>
        </w:rPr>
        <w:t xml:space="preserve">: Rozhodnutie zástupcov členských štátov zasadajúcich v Rade týkajúce sa Aktu z 20. septembra 1976 o priamych a všeobecných voľbách poslancov Európskeho parlamentu (Ú. v. ES L 278, 8.10.1976, s. 1, ELI: </w:t>
      </w:r>
      <w:hyperlink r:id="rId2" w:history="1">
        <w:r w:rsidRPr="000A2821">
          <w:rPr>
            <w:rStyle w:val="Hyperlink"/>
            <w:sz w:val="24"/>
            <w:lang w:val="sk-SK"/>
          </w:rPr>
          <w:t>http://data.europa.eu/eli/dec/1976/787(1)/oj</w:t>
        </w:r>
      </w:hyperlink>
      <w:r w:rsidRPr="000A2821">
        <w:rPr>
          <w:sz w:val="24"/>
          <w:lang w:val="sk-SK"/>
        </w:rPr>
        <w:t>.</w:t>
      </w:r>
    </w:p>
  </w:footnote>
  <w:footnote w:id="3">
    <w:p w14:paraId="70A6A1F9" w14:textId="612143B1" w:rsidR="009719A9" w:rsidRPr="000A2821" w:rsidRDefault="009719A9" w:rsidP="000A2821">
      <w:pPr>
        <w:pStyle w:val="FootnoteText"/>
        <w:ind w:left="567" w:hanging="567"/>
        <w:rPr>
          <w:sz w:val="24"/>
          <w:lang w:val="sk-SK"/>
        </w:rPr>
      </w:pPr>
      <w:r w:rsidRPr="000A2821">
        <w:rPr>
          <w:rStyle w:val="FootnoteReference"/>
          <w:sz w:val="24"/>
          <w:lang w:val="sk-SK"/>
        </w:rPr>
        <w:footnoteRef/>
      </w:r>
      <w:r w:rsidR="000A2821" w:rsidRPr="000A2821">
        <w:rPr>
          <w:sz w:val="24"/>
          <w:lang w:val="sk-SK"/>
        </w:rPr>
        <w:t xml:space="preserve"> </w:t>
      </w:r>
      <w:r w:rsidR="000A2821" w:rsidRPr="000A2821">
        <w:rPr>
          <w:sz w:val="24"/>
          <w:lang w:val="sk-SK"/>
        </w:rPr>
        <w:tab/>
      </w:r>
      <w:r w:rsidRPr="000A2821">
        <w:rPr>
          <w:sz w:val="24"/>
          <w:lang w:val="sk-SK"/>
        </w:rPr>
        <w:t xml:space="preserve">Ú. v. EÚ L 304, 20.11.2010, s. </w:t>
      </w:r>
      <w:r w:rsidRPr="000A2821">
        <w:rPr>
          <w:sz w:val="24"/>
          <w:lang w:val="sk-SK"/>
        </w:rPr>
        <w:t xml:space="preserve">47, ELI: </w:t>
      </w:r>
      <w:hyperlink r:id="rId3" w:history="1">
        <w:r w:rsidRPr="000A2821">
          <w:rPr>
            <w:rStyle w:val="Hyperlink"/>
            <w:sz w:val="24"/>
            <w:lang w:val="sk-SK"/>
          </w:rPr>
          <w:t>http://data.europa.eu/eli/agree_interinstit/2010/1120/oj</w:t>
        </w:r>
      </w:hyperlink>
      <w:r w:rsidRPr="000A2821">
        <w:rPr>
          <w:sz w:val="24"/>
          <w:lang w:val="sk-SK"/>
        </w:rPr>
        <w:t>.</w:t>
      </w:r>
    </w:p>
  </w:footnote>
  <w:footnote w:id="4">
    <w:p w14:paraId="43A0C258" w14:textId="1A904165" w:rsidR="009719A9" w:rsidRPr="00496FDB" w:rsidRDefault="009719A9" w:rsidP="000A2821">
      <w:pPr>
        <w:pStyle w:val="FootnoteText"/>
        <w:ind w:left="567" w:hanging="567"/>
        <w:rPr>
          <w:sz w:val="24"/>
          <w:szCs w:val="24"/>
          <w:lang w:val="sk-SK"/>
        </w:rPr>
      </w:pPr>
      <w:r w:rsidRPr="000A2821">
        <w:rPr>
          <w:rStyle w:val="FootnoteReference"/>
          <w:sz w:val="24"/>
          <w:lang w:val="sk-SK"/>
        </w:rPr>
        <w:footnoteRef/>
      </w:r>
      <w:r w:rsidR="000A2821" w:rsidRPr="000A2821">
        <w:rPr>
          <w:sz w:val="24"/>
          <w:lang w:val="sk-SK"/>
        </w:rPr>
        <w:t xml:space="preserve"> </w:t>
      </w:r>
      <w:r w:rsidR="000A2821" w:rsidRPr="000A2821">
        <w:rPr>
          <w:sz w:val="24"/>
          <w:lang w:val="sk-SK"/>
        </w:rPr>
        <w:tab/>
      </w:r>
      <w:r w:rsidR="00464A00" w:rsidRPr="00496FDB">
        <w:rPr>
          <w:sz w:val="24"/>
          <w:szCs w:val="24"/>
          <w:lang w:val="es-ES"/>
        </w:rPr>
        <w:t>Ú. v. EÚ C 366, 27.10.2017, s. 7</w:t>
      </w:r>
      <w:r w:rsidRPr="00496FDB">
        <w:rPr>
          <w:sz w:val="24"/>
          <w:szCs w:val="24"/>
          <w:lang w:val="sk-SK"/>
        </w:rPr>
        <w:t>.</w:t>
      </w:r>
    </w:p>
  </w:footnote>
  <w:footnote w:id="5">
    <w:p w14:paraId="094C9199" w14:textId="2B2989F2" w:rsidR="009719A9" w:rsidRPr="000A2821" w:rsidRDefault="009719A9" w:rsidP="000A2821">
      <w:pPr>
        <w:pStyle w:val="FootnoteText"/>
        <w:ind w:left="567" w:hanging="567"/>
        <w:rPr>
          <w:sz w:val="24"/>
          <w:lang w:val="sk-SK"/>
        </w:rPr>
      </w:pPr>
      <w:r w:rsidRPr="00496FDB">
        <w:rPr>
          <w:rStyle w:val="FootnoteReference"/>
          <w:sz w:val="24"/>
          <w:szCs w:val="24"/>
          <w:lang w:val="sk-SK"/>
        </w:rPr>
        <w:footnoteRef/>
      </w:r>
      <w:r w:rsidR="000A2821" w:rsidRPr="00496FDB">
        <w:rPr>
          <w:sz w:val="24"/>
          <w:szCs w:val="24"/>
          <w:lang w:val="sk-SK"/>
        </w:rPr>
        <w:t xml:space="preserve"> </w:t>
      </w:r>
      <w:r w:rsidR="000A2821" w:rsidRPr="00496FDB">
        <w:rPr>
          <w:sz w:val="24"/>
          <w:szCs w:val="24"/>
          <w:lang w:val="sk-SK"/>
        </w:rPr>
        <w:tab/>
      </w:r>
      <w:r w:rsidR="00464A00" w:rsidRPr="00496FDB">
        <w:rPr>
          <w:sz w:val="24"/>
          <w:szCs w:val="24"/>
          <w:lang w:val="es-ES"/>
        </w:rPr>
        <w:t>Ú. v. EÚ C 465, 6.12.2022, s. 171</w:t>
      </w:r>
      <w:r w:rsidRPr="00496FDB">
        <w:rPr>
          <w:sz w:val="24"/>
          <w:szCs w:val="24"/>
          <w:lang w:val="sk-SK"/>
        </w:rPr>
        <w:t>.</w:t>
      </w:r>
      <w:r w:rsidRPr="000A2821">
        <w:rPr>
          <w:sz w:val="24"/>
          <w:lang w:val="sk-SK"/>
        </w:rPr>
        <w:t xml:space="preserve"> </w:t>
      </w:r>
    </w:p>
  </w:footnote>
  <w:footnote w:id="6">
    <w:p w14:paraId="597A5613" w14:textId="2FE57C9C" w:rsidR="009719A9" w:rsidRPr="000A2821" w:rsidRDefault="009719A9" w:rsidP="000A2821">
      <w:pPr>
        <w:pStyle w:val="FootnoteText"/>
        <w:ind w:left="567" w:hanging="567"/>
        <w:rPr>
          <w:sz w:val="24"/>
          <w:lang w:val="sk-SK"/>
        </w:rPr>
      </w:pPr>
      <w:r w:rsidRPr="000A2821">
        <w:rPr>
          <w:rStyle w:val="FootnoteReference"/>
          <w:sz w:val="24"/>
          <w:lang w:val="sk-SK"/>
        </w:rPr>
        <w:footnoteRef/>
      </w:r>
      <w:r w:rsidR="000A2821" w:rsidRPr="000A2821">
        <w:rPr>
          <w:sz w:val="24"/>
          <w:lang w:val="sk-SK"/>
        </w:rPr>
        <w:t xml:space="preserve"> </w:t>
      </w:r>
      <w:r w:rsidR="000A2821" w:rsidRPr="000A2821">
        <w:rPr>
          <w:sz w:val="24"/>
          <w:lang w:val="sk-SK"/>
        </w:rPr>
        <w:tab/>
      </w:r>
      <w:r w:rsidRPr="000A2821">
        <w:rPr>
          <w:sz w:val="24"/>
          <w:lang w:val="sk-SK"/>
        </w:rPr>
        <w:t xml:space="preserve">Ú. v. EÚ L 178, 16.7.2018, s. </w:t>
      </w:r>
      <w:r w:rsidRPr="000A2821">
        <w:rPr>
          <w:sz w:val="24"/>
          <w:lang w:val="sk-SK"/>
        </w:rPr>
        <w:t xml:space="preserve">1, ELI: </w:t>
      </w:r>
      <w:hyperlink r:id="rId4" w:history="1">
        <w:r w:rsidRPr="000A2821">
          <w:rPr>
            <w:rStyle w:val="Hyperlink"/>
            <w:sz w:val="24"/>
            <w:lang w:val="sk-SK"/>
          </w:rPr>
          <w:t>http://data.europa.eu/eli/dec/2018/994/oj</w:t>
        </w:r>
      </w:hyperlink>
      <w:r w:rsidRPr="000A2821">
        <w:rPr>
          <w:sz w:val="24"/>
          <w:lang w:val="sk-SK"/>
        </w:rPr>
        <w:t>.</w:t>
      </w:r>
    </w:p>
  </w:footnote>
  <w:footnote w:id="7">
    <w:p w14:paraId="4544F948" w14:textId="629D43E7" w:rsidR="009719A9" w:rsidRPr="000A2821" w:rsidRDefault="009719A9" w:rsidP="000A2821">
      <w:pPr>
        <w:pStyle w:val="FootnoteText"/>
        <w:ind w:left="567" w:hanging="567"/>
        <w:rPr>
          <w:sz w:val="24"/>
          <w:lang w:val="sk-SK"/>
        </w:rPr>
      </w:pPr>
      <w:r w:rsidRPr="000A2821">
        <w:rPr>
          <w:rStyle w:val="FootnoteReference"/>
          <w:sz w:val="24"/>
          <w:lang w:val="sk-SK"/>
        </w:rPr>
        <w:footnoteRef/>
      </w:r>
      <w:r w:rsidR="000A2821" w:rsidRPr="000A2821">
        <w:rPr>
          <w:sz w:val="24"/>
          <w:lang w:val="sk-SK"/>
        </w:rPr>
        <w:t xml:space="preserve"> </w:t>
      </w:r>
      <w:r w:rsidR="000A2821" w:rsidRPr="000A2821">
        <w:rPr>
          <w:sz w:val="24"/>
          <w:lang w:val="sk-SK"/>
        </w:rPr>
        <w:tab/>
      </w:r>
      <w:r w:rsidRPr="000A2821">
        <w:rPr>
          <w:sz w:val="24"/>
          <w:lang w:val="sk-SK"/>
        </w:rPr>
        <w:t xml:space="preserve">Nariadenie Európskeho parlamentu a Rady (EÚ, </w:t>
      </w:r>
      <w:proofErr w:type="spellStart"/>
      <w:r w:rsidRPr="000A2821">
        <w:rPr>
          <w:sz w:val="24"/>
          <w:lang w:val="sk-SK"/>
        </w:rPr>
        <w:t>Euratom</w:t>
      </w:r>
      <w:proofErr w:type="spellEnd"/>
      <w:r w:rsidRPr="000A2821">
        <w:rPr>
          <w:sz w:val="24"/>
          <w:lang w:val="sk-SK"/>
        </w:rPr>
        <w:t>) č. 1141/2014 z 22. októbra 2014 o štatúte a financovaní európskych politických strán a európskych politických nadácií (Ú. v. EÚ L 317, 4.11.2014, s. </w:t>
      </w:r>
      <w:r w:rsidRPr="000A2821">
        <w:rPr>
          <w:sz w:val="24"/>
          <w:lang w:val="sk-SK"/>
        </w:rPr>
        <w:t xml:space="preserve">1, ELI: </w:t>
      </w:r>
      <w:hyperlink r:id="rId5" w:history="1">
        <w:r w:rsidRPr="000A2821">
          <w:rPr>
            <w:rStyle w:val="Hyperlink"/>
            <w:sz w:val="24"/>
            <w:lang w:val="sk-SK"/>
          </w:rPr>
          <w:t>http://data.europa.eu/eli/reg/2014/1141/oj</w:t>
        </w:r>
      </w:hyperlink>
      <w:r w:rsidRPr="000A2821">
        <w:rPr>
          <w:sz w:val="24"/>
          <w:lang w:val="sk-SK"/>
        </w:rPr>
        <w:t xml:space="preserve">). </w:t>
      </w:r>
    </w:p>
  </w:footnote>
  <w:footnote w:id="8">
    <w:p w14:paraId="021C2BF5" w14:textId="09DA269B" w:rsidR="009719A9" w:rsidRPr="000A2821" w:rsidRDefault="009719A9" w:rsidP="000A2821">
      <w:pPr>
        <w:pStyle w:val="FootnoteText"/>
        <w:ind w:left="567" w:hanging="567"/>
        <w:rPr>
          <w:sz w:val="24"/>
          <w:lang w:val="sk-SK"/>
        </w:rPr>
      </w:pPr>
      <w:r w:rsidRPr="000A2821">
        <w:rPr>
          <w:rStyle w:val="FootnoteReference"/>
          <w:sz w:val="24"/>
          <w:lang w:val="sk-SK"/>
        </w:rPr>
        <w:footnoteRef/>
      </w:r>
      <w:r w:rsidR="000A2821" w:rsidRPr="000A2821">
        <w:rPr>
          <w:sz w:val="24"/>
          <w:lang w:val="sk-SK"/>
        </w:rPr>
        <w:t xml:space="preserve"> </w:t>
      </w:r>
      <w:r w:rsidR="000A2821" w:rsidRPr="000A2821">
        <w:rPr>
          <w:sz w:val="24"/>
          <w:lang w:val="sk-SK"/>
        </w:rPr>
        <w:tab/>
      </w:r>
      <w:r w:rsidRPr="000A2821">
        <w:rPr>
          <w:sz w:val="24"/>
          <w:lang w:val="sk-SK"/>
        </w:rPr>
        <w:t xml:space="preserve">Rozhodnutie Rady (EÚ, </w:t>
      </w:r>
      <w:proofErr w:type="spellStart"/>
      <w:r w:rsidRPr="000A2821">
        <w:rPr>
          <w:sz w:val="24"/>
          <w:lang w:val="sk-SK"/>
        </w:rPr>
        <w:t>Euratom</w:t>
      </w:r>
      <w:proofErr w:type="spellEnd"/>
      <w:r w:rsidRPr="000A2821">
        <w:rPr>
          <w:sz w:val="24"/>
          <w:lang w:val="sk-SK"/>
        </w:rPr>
        <w:t xml:space="preserve">) 2018/994 z 13. júla 2018, ktorým sa mení Akt o priamych a všeobecných voľbách poslancov Európskeho parlamentu pripojený k rozhodnutiu Rady 76/787/ESUO, EHS, </w:t>
      </w:r>
      <w:proofErr w:type="spellStart"/>
      <w:r w:rsidRPr="000A2821">
        <w:rPr>
          <w:sz w:val="24"/>
          <w:lang w:val="sk-SK"/>
        </w:rPr>
        <w:t>Euratom</w:t>
      </w:r>
      <w:proofErr w:type="spellEnd"/>
      <w:r w:rsidRPr="000A2821">
        <w:rPr>
          <w:sz w:val="24"/>
          <w:lang w:val="sk-SK"/>
        </w:rPr>
        <w:t xml:space="preserve"> z 20. septembra 1976 (Ú. v. EÚ L 178, 16.7.2018</w:t>
      </w:r>
      <w:r w:rsidR="00C74987">
        <w:rPr>
          <w:sz w:val="24"/>
          <w:lang w:val="sk-SK"/>
        </w:rPr>
        <w:t>,</w:t>
      </w:r>
      <w:r w:rsidRPr="000A2821">
        <w:rPr>
          <w:sz w:val="24"/>
          <w:lang w:val="sk-SK"/>
        </w:rPr>
        <w:t xml:space="preserve"> s. </w:t>
      </w:r>
      <w:r w:rsidRPr="000A2821">
        <w:rPr>
          <w:sz w:val="24"/>
          <w:lang w:val="sk-SK"/>
        </w:rPr>
        <w:t>1, ELI: </w:t>
      </w:r>
      <w:hyperlink r:id="rId6" w:tooltip="Umožňuje prístup k tomuto dokumentu prostredníctvom identifikátora URI používaného v rámci ELI." w:history="1">
        <w:r w:rsidRPr="000A2821">
          <w:rPr>
            <w:rStyle w:val="Hyperlink"/>
            <w:sz w:val="24"/>
            <w:lang w:val="sk-SK"/>
          </w:rPr>
          <w:t>http://data.europa.eu/eli/dec/2018/994/oj</w:t>
        </w:r>
      </w:hyperlink>
      <w:r w:rsidRPr="000A2821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73978" w14:textId="77777777" w:rsidR="00064002" w:rsidRPr="000A282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09F4F" w14:textId="77777777" w:rsidR="00064002" w:rsidRPr="000A282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F270D" w14:textId="77777777" w:rsidR="00064002" w:rsidRPr="000A282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60213195">
    <w:abstractNumId w:val="9"/>
  </w:num>
  <w:num w:numId="2" w16cid:durableId="620184559">
    <w:abstractNumId w:val="9"/>
  </w:num>
  <w:num w:numId="3" w16cid:durableId="2062247933">
    <w:abstractNumId w:val="7"/>
  </w:num>
  <w:num w:numId="4" w16cid:durableId="414396807">
    <w:abstractNumId w:val="7"/>
  </w:num>
  <w:num w:numId="5" w16cid:durableId="1630939465">
    <w:abstractNumId w:val="6"/>
  </w:num>
  <w:num w:numId="6" w16cid:durableId="3284751">
    <w:abstractNumId w:val="6"/>
  </w:num>
  <w:num w:numId="7" w16cid:durableId="844827798">
    <w:abstractNumId w:val="5"/>
  </w:num>
  <w:num w:numId="8" w16cid:durableId="1170874001">
    <w:abstractNumId w:val="5"/>
  </w:num>
  <w:num w:numId="9" w16cid:durableId="124276494">
    <w:abstractNumId w:val="4"/>
  </w:num>
  <w:num w:numId="10" w16cid:durableId="2009861234">
    <w:abstractNumId w:val="4"/>
  </w:num>
  <w:num w:numId="11" w16cid:durableId="1407148803">
    <w:abstractNumId w:val="8"/>
  </w:num>
  <w:num w:numId="12" w16cid:durableId="818765846">
    <w:abstractNumId w:val="8"/>
  </w:num>
  <w:num w:numId="13" w16cid:durableId="1328631846">
    <w:abstractNumId w:val="3"/>
  </w:num>
  <w:num w:numId="14" w16cid:durableId="2002468938">
    <w:abstractNumId w:val="3"/>
  </w:num>
  <w:num w:numId="15" w16cid:durableId="452557108">
    <w:abstractNumId w:val="2"/>
  </w:num>
  <w:num w:numId="16" w16cid:durableId="1870872712">
    <w:abstractNumId w:val="2"/>
  </w:num>
  <w:num w:numId="17" w16cid:durableId="1885292856">
    <w:abstractNumId w:val="1"/>
  </w:num>
  <w:num w:numId="18" w16cid:durableId="592712442">
    <w:abstractNumId w:val="1"/>
  </w:num>
  <w:num w:numId="19" w16cid:durableId="905341473">
    <w:abstractNumId w:val="0"/>
  </w:num>
  <w:num w:numId="20" w16cid:durableId="431977298">
    <w:abstractNumId w:val="0"/>
  </w:num>
  <w:num w:numId="21" w16cid:durableId="258833632">
    <w:abstractNumId w:val="9"/>
  </w:num>
  <w:num w:numId="22" w16cid:durableId="714816983">
    <w:abstractNumId w:val="7"/>
  </w:num>
  <w:num w:numId="23" w16cid:durableId="1679572827">
    <w:abstractNumId w:val="6"/>
  </w:num>
  <w:num w:numId="24" w16cid:durableId="195391772">
    <w:abstractNumId w:val="5"/>
  </w:num>
  <w:num w:numId="25" w16cid:durableId="165021683">
    <w:abstractNumId w:val="4"/>
  </w:num>
  <w:num w:numId="26" w16cid:durableId="790167792">
    <w:abstractNumId w:val="8"/>
  </w:num>
  <w:num w:numId="27" w16cid:durableId="1036811790">
    <w:abstractNumId w:val="3"/>
  </w:num>
  <w:num w:numId="28" w16cid:durableId="969169426">
    <w:abstractNumId w:val="2"/>
  </w:num>
  <w:num w:numId="29" w16cid:durableId="1572933839">
    <w:abstractNumId w:val="1"/>
  </w:num>
  <w:num w:numId="30" w16cid:durableId="580528537">
    <w:abstractNumId w:val="0"/>
  </w:num>
  <w:num w:numId="31" w16cid:durableId="1143814399">
    <w:abstractNumId w:val="9"/>
  </w:num>
  <w:num w:numId="32" w16cid:durableId="1345664216">
    <w:abstractNumId w:val="7"/>
  </w:num>
  <w:num w:numId="33" w16cid:durableId="1288732206">
    <w:abstractNumId w:val="6"/>
  </w:num>
  <w:num w:numId="34" w16cid:durableId="1670134441">
    <w:abstractNumId w:val="5"/>
  </w:num>
  <w:num w:numId="35" w16cid:durableId="641276539">
    <w:abstractNumId w:val="4"/>
  </w:num>
  <w:num w:numId="36" w16cid:durableId="1732968599">
    <w:abstractNumId w:val="8"/>
  </w:num>
  <w:num w:numId="37" w16cid:durableId="1822580231">
    <w:abstractNumId w:val="3"/>
  </w:num>
  <w:num w:numId="38" w16cid:durableId="983195983">
    <w:abstractNumId w:val="2"/>
  </w:num>
  <w:num w:numId="39" w16cid:durableId="270672283">
    <w:abstractNumId w:val="1"/>
  </w:num>
  <w:num w:numId="40" w16cid:durableId="1640266250">
    <w:abstractNumId w:val="0"/>
  </w:num>
  <w:num w:numId="41" w16cid:durableId="1458403749">
    <w:abstractNumId w:val="10"/>
  </w:num>
  <w:num w:numId="42" w16cid:durableId="1400515774">
    <w:abstractNumId w:val="10"/>
  </w:num>
  <w:num w:numId="43" w16cid:durableId="1492211543">
    <w:abstractNumId w:val="10"/>
  </w:num>
  <w:num w:numId="44" w16cid:durableId="3191618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52/2025"/>
    <w:docVar w:name="dvlangue" w:val="SK"/>
    <w:docVar w:name="dvnumam" w:val="0"/>
    <w:docVar w:name="dvpe" w:val="767.970"/>
    <w:docVar w:name="dvrapporteur" w:val="Spravodajca: "/>
    <w:docVar w:name="dvtitre" w:val="Uznesenie Európskeho parlamentu z/zo xx. xxx 2026 o reforme európskeho aktu o voľbách – prekážky ratifikácie a vykonávania v členských štátoch(2025/2028(INI))"/>
  </w:docVars>
  <w:rsids>
    <w:rsidRoot w:val="00A473C2"/>
    <w:rsid w:val="00002272"/>
    <w:rsid w:val="00064002"/>
    <w:rsid w:val="000677B9"/>
    <w:rsid w:val="000831BA"/>
    <w:rsid w:val="000A2821"/>
    <w:rsid w:val="000A42CC"/>
    <w:rsid w:val="000B0352"/>
    <w:rsid w:val="000E7DD9"/>
    <w:rsid w:val="0010095E"/>
    <w:rsid w:val="00114F6A"/>
    <w:rsid w:val="00125B37"/>
    <w:rsid w:val="00187494"/>
    <w:rsid w:val="00190943"/>
    <w:rsid w:val="001F32AE"/>
    <w:rsid w:val="00213C4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2D4F"/>
    <w:rsid w:val="00464A00"/>
    <w:rsid w:val="00471C19"/>
    <w:rsid w:val="004867E3"/>
    <w:rsid w:val="00494A28"/>
    <w:rsid w:val="00496FDB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523B"/>
    <w:rsid w:val="007D1690"/>
    <w:rsid w:val="007E22AD"/>
    <w:rsid w:val="00817416"/>
    <w:rsid w:val="00842779"/>
    <w:rsid w:val="00865F67"/>
    <w:rsid w:val="00881A7B"/>
    <w:rsid w:val="008840E5"/>
    <w:rsid w:val="00887B3E"/>
    <w:rsid w:val="008A0CCA"/>
    <w:rsid w:val="008C2AC6"/>
    <w:rsid w:val="00911641"/>
    <w:rsid w:val="00930C23"/>
    <w:rsid w:val="0093193B"/>
    <w:rsid w:val="009509D8"/>
    <w:rsid w:val="00950B64"/>
    <w:rsid w:val="0097079A"/>
    <w:rsid w:val="009719A9"/>
    <w:rsid w:val="00981893"/>
    <w:rsid w:val="009E3B04"/>
    <w:rsid w:val="00A1687D"/>
    <w:rsid w:val="00A43E52"/>
    <w:rsid w:val="00A4678D"/>
    <w:rsid w:val="00A473C2"/>
    <w:rsid w:val="00A667E7"/>
    <w:rsid w:val="00A778C7"/>
    <w:rsid w:val="00AB441E"/>
    <w:rsid w:val="00AB6293"/>
    <w:rsid w:val="00AE0928"/>
    <w:rsid w:val="00AF3B82"/>
    <w:rsid w:val="00AF4797"/>
    <w:rsid w:val="00B12E95"/>
    <w:rsid w:val="00B15179"/>
    <w:rsid w:val="00B22876"/>
    <w:rsid w:val="00B558F0"/>
    <w:rsid w:val="00BD48FE"/>
    <w:rsid w:val="00BD7BD8"/>
    <w:rsid w:val="00BE6ADC"/>
    <w:rsid w:val="00C05BFE"/>
    <w:rsid w:val="00C23CD4"/>
    <w:rsid w:val="00C61C0C"/>
    <w:rsid w:val="00C74987"/>
    <w:rsid w:val="00C941CB"/>
    <w:rsid w:val="00CC2357"/>
    <w:rsid w:val="00CF071A"/>
    <w:rsid w:val="00D058B8"/>
    <w:rsid w:val="00D56C11"/>
    <w:rsid w:val="00D834A0"/>
    <w:rsid w:val="00D872DF"/>
    <w:rsid w:val="00D91E21"/>
    <w:rsid w:val="00DA2D6C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749585"/>
  <w15:chartTrackingRefBased/>
  <w15:docId w15:val="{86B806F2-5D04-45CC-BB0C-59EE44C02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719A9"/>
    <w:pPr>
      <w:spacing w:after="240"/>
      <w:ind w:left="567" w:hanging="567"/>
    </w:pPr>
  </w:style>
  <w:style w:type="paragraph" w:customStyle="1" w:styleId="Subheading">
    <w:name w:val="Subheading"/>
    <w:basedOn w:val="Normal"/>
    <w:rsid w:val="009719A9"/>
    <w:pPr>
      <w:spacing w:before="480" w:after="240"/>
    </w:pPr>
    <w:rPr>
      <w:b/>
      <w:i/>
    </w:rPr>
  </w:style>
  <w:style w:type="paragraph" w:customStyle="1" w:styleId="EPComma">
    <w:name w:val="EPComma"/>
    <w:basedOn w:val="Normal"/>
    <w:rsid w:val="009719A9"/>
    <w:pPr>
      <w:spacing w:before="480" w:after="240"/>
    </w:pPr>
  </w:style>
  <w:style w:type="character" w:styleId="Hyperlink">
    <w:name w:val="Hyperlink"/>
    <w:basedOn w:val="DefaultParagraphFont"/>
    <w:rsid w:val="009719A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667E7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agree_interinstit/2010/1120/oj" TargetMode="External"/><Relationship Id="rId2" Type="http://schemas.openxmlformats.org/officeDocument/2006/relationships/hyperlink" Target="http://data.europa.eu/eli/dec/1976/787(1)/oj" TargetMode="External"/><Relationship Id="rId1" Type="http://schemas.openxmlformats.org/officeDocument/2006/relationships/hyperlink" Target="http://data.europa.eu/eli/dec/1976/787(2)/oj" TargetMode="External"/><Relationship Id="rId6" Type="http://schemas.openxmlformats.org/officeDocument/2006/relationships/hyperlink" Target="http://data.europa.eu/eli/dec/2018/994/oj" TargetMode="External"/><Relationship Id="rId5" Type="http://schemas.openxmlformats.org/officeDocument/2006/relationships/hyperlink" Target="http://data.europa.eu/eli/reg/2014/1141/oj" TargetMode="External"/><Relationship Id="rId4" Type="http://schemas.openxmlformats.org/officeDocument/2006/relationships/hyperlink" Target="https://eur-lex.europa.eu/eli/dec/2018/994/oj?locale=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2396</Words>
  <Characters>14757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VILEM Jan</cp:lastModifiedBy>
  <cp:revision>2</cp:revision>
  <cp:lastPrinted>2004-11-19T15:42:00Z</cp:lastPrinted>
  <dcterms:created xsi:type="dcterms:W3CDTF">2026-03-01T19:42:00Z</dcterms:created>
  <dcterms:modified xsi:type="dcterms:W3CDTF">2026-03-01T19:42:00Z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A10-0252/2025</vt:lpwstr>
  </property>
  <property fmtid="{D5CDD505-2E9C-101B-9397-08002B2CF9AE}" pid="4" name="&lt;Type&gt;">
    <vt:lpwstr>RR</vt:lpwstr>
  </property>
</Properties>
</file>