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C2DD4" w14:paraId="4E00391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23E2C5" w14:textId="77777777" w:rsidR="00751A4A" w:rsidRPr="00BC2DD4" w:rsidRDefault="00DC19CE" w:rsidP="0010095E">
            <w:pPr>
              <w:pStyle w:val="EPName"/>
            </w:pPr>
            <w:r w:rsidRPr="00BC2DD4">
              <w:t>Evropský parlament</w:t>
            </w:r>
          </w:p>
          <w:p w14:paraId="28BF610E" w14:textId="77777777" w:rsidR="00751A4A" w:rsidRPr="00BC2D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C2DD4">
              <w:t>2024</w:t>
            </w:r>
            <w:r w:rsidR="00817416" w:rsidRPr="00BC2DD4">
              <w:t>-202</w:t>
            </w:r>
            <w:r w:rsidRPr="00BC2DD4">
              <w:t>9</w:t>
            </w:r>
          </w:p>
        </w:tc>
        <w:tc>
          <w:tcPr>
            <w:tcW w:w="2268" w:type="dxa"/>
            <w:shd w:val="clear" w:color="auto" w:fill="auto"/>
          </w:tcPr>
          <w:p w14:paraId="50FB267C" w14:textId="77777777" w:rsidR="00751A4A" w:rsidRPr="00BC2DD4" w:rsidRDefault="00187494" w:rsidP="0010095E">
            <w:pPr>
              <w:pStyle w:val="EPLogo"/>
            </w:pPr>
            <w:r w:rsidRPr="00BC2DD4">
              <w:rPr>
                <w:noProof/>
                <w:lang w:eastAsia="ja-JP"/>
              </w:rPr>
              <w:drawing>
                <wp:inline distT="0" distB="0" distL="0" distR="0" wp14:anchorId="258033BC" wp14:editId="424D68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9A08BB" w14:textId="77777777" w:rsidR="00D058B8" w:rsidRPr="00BC2DD4" w:rsidRDefault="00D058B8" w:rsidP="004C5D52">
      <w:pPr>
        <w:pStyle w:val="LineTop"/>
      </w:pPr>
    </w:p>
    <w:p w14:paraId="254DD9AF" w14:textId="77777777" w:rsidR="00680577" w:rsidRPr="00BC2DD4" w:rsidRDefault="00DC19CE" w:rsidP="00680577">
      <w:pPr>
        <w:pStyle w:val="EPBodyTA1"/>
      </w:pPr>
      <w:r w:rsidRPr="00BC2DD4">
        <w:t>PŘIJATÉ TEXTY</w:t>
      </w:r>
    </w:p>
    <w:p w14:paraId="36A4C9D8" w14:textId="77777777" w:rsidR="00D058B8" w:rsidRPr="00BC2DD4" w:rsidRDefault="00D058B8" w:rsidP="00D058B8">
      <w:pPr>
        <w:pStyle w:val="LineBottom"/>
      </w:pPr>
    </w:p>
    <w:p w14:paraId="6AE030F1" w14:textId="2178B259" w:rsidR="00DC19CE" w:rsidRPr="00BC2DD4" w:rsidRDefault="00DC19CE" w:rsidP="00DC19CE">
      <w:pPr>
        <w:pStyle w:val="ATHeading1"/>
      </w:pPr>
      <w:bookmarkStart w:id="0" w:name="TANumber"/>
      <w:r w:rsidRPr="00BC2DD4">
        <w:t>P10_TA(2026)000</w:t>
      </w:r>
      <w:r w:rsidR="009D3B94">
        <w:t>7</w:t>
      </w:r>
      <w:bookmarkEnd w:id="0"/>
    </w:p>
    <w:p w14:paraId="35C286B6" w14:textId="77777777" w:rsidR="00DC19CE" w:rsidRPr="00BC2DD4" w:rsidRDefault="00DC19CE" w:rsidP="00DC19CE">
      <w:pPr>
        <w:pStyle w:val="ATHeading2"/>
      </w:pPr>
      <w:bookmarkStart w:id="1" w:name="title"/>
      <w:r w:rsidRPr="00BC2DD4">
        <w:t xml:space="preserve">Vražda </w:t>
      </w:r>
      <w:proofErr w:type="spellStart"/>
      <w:r w:rsidRPr="00BC2DD4">
        <w:t>Mehdiho</w:t>
      </w:r>
      <w:proofErr w:type="spellEnd"/>
      <w:r w:rsidRPr="00BC2DD4">
        <w:t xml:space="preserve"> </w:t>
      </w:r>
      <w:proofErr w:type="spellStart"/>
      <w:r w:rsidRPr="00BC2DD4">
        <w:t>Kessaciho</w:t>
      </w:r>
      <w:proofErr w:type="spellEnd"/>
      <w:r w:rsidRPr="00BC2DD4">
        <w:t xml:space="preserve"> – naléhavá potřeba přijmout ambiciózní evropská opatření proti obchodu s drogami</w:t>
      </w:r>
      <w:bookmarkEnd w:id="1"/>
    </w:p>
    <w:p w14:paraId="02B6C305" w14:textId="77777777" w:rsidR="00DC19CE" w:rsidRPr="00BC2DD4" w:rsidRDefault="00DC19CE" w:rsidP="00DC19CE">
      <w:pPr>
        <w:rPr>
          <w:i/>
          <w:vanish/>
        </w:rPr>
      </w:pPr>
      <w:r w:rsidRPr="00BC2DD4">
        <w:rPr>
          <w:i/>
        </w:rPr>
        <w:fldChar w:fldCharType="begin"/>
      </w:r>
      <w:r w:rsidRPr="00BC2DD4">
        <w:rPr>
          <w:i/>
        </w:rPr>
        <w:instrText xml:space="preserve"> TC"(</w:instrText>
      </w:r>
      <w:bookmarkStart w:id="2" w:name="DocNumber"/>
      <w:r w:rsidRPr="00BC2DD4">
        <w:rPr>
          <w:i/>
        </w:rPr>
        <w:instrText>B10-0057/2026</w:instrText>
      </w:r>
      <w:bookmarkEnd w:id="2"/>
      <w:r w:rsidRPr="00BC2DD4">
        <w:rPr>
          <w:i/>
        </w:rPr>
        <w:instrText xml:space="preserve">)"\l3 \n&gt; \* MERGEFORMAT </w:instrText>
      </w:r>
      <w:r w:rsidRPr="00BC2DD4">
        <w:rPr>
          <w:i/>
        </w:rPr>
        <w:fldChar w:fldCharType="end"/>
      </w:r>
    </w:p>
    <w:p w14:paraId="3864548F" w14:textId="77777777" w:rsidR="00DC19CE" w:rsidRPr="00BC2DD4" w:rsidRDefault="00DC19CE" w:rsidP="00DC19CE">
      <w:pPr>
        <w:rPr>
          <w:vanish/>
        </w:rPr>
      </w:pPr>
      <w:bookmarkStart w:id="3" w:name="PE"/>
      <w:r w:rsidRPr="00BC2DD4">
        <w:rPr>
          <w:vanish/>
        </w:rPr>
        <w:t>PE782.012</w:t>
      </w:r>
      <w:bookmarkEnd w:id="3"/>
    </w:p>
    <w:p w14:paraId="7C0CBF33" w14:textId="77777777" w:rsidR="00DC19CE" w:rsidRPr="00BC2DD4" w:rsidRDefault="00DC19CE" w:rsidP="00DC19CE">
      <w:pPr>
        <w:pStyle w:val="ATHeading3"/>
      </w:pPr>
      <w:bookmarkStart w:id="4" w:name="Sujet"/>
      <w:r w:rsidRPr="00BC2DD4">
        <w:t xml:space="preserve">Usnesení Evropského parlamentu ze dne 20. ledna 2026 o vraždě </w:t>
      </w:r>
      <w:proofErr w:type="spellStart"/>
      <w:r w:rsidRPr="00BC2DD4">
        <w:t>Mehdiho</w:t>
      </w:r>
      <w:proofErr w:type="spellEnd"/>
      <w:r w:rsidRPr="00BC2DD4">
        <w:t xml:space="preserve"> </w:t>
      </w:r>
      <w:proofErr w:type="spellStart"/>
      <w:r w:rsidRPr="00BC2DD4">
        <w:t>Kessaciho</w:t>
      </w:r>
      <w:proofErr w:type="spellEnd"/>
      <w:r w:rsidRPr="00BC2DD4">
        <w:t>: naléhavá potřeba přijmout ambiciózní evropská opatření proti obchodu s drogami</w:t>
      </w:r>
      <w:bookmarkEnd w:id="4"/>
      <w:r w:rsidRPr="00BC2DD4">
        <w:t xml:space="preserve"> </w:t>
      </w:r>
      <w:bookmarkStart w:id="5" w:name="References"/>
      <w:r w:rsidRPr="00BC2DD4">
        <w:t>(2025/3020(RSP))</w:t>
      </w:r>
      <w:bookmarkEnd w:id="5"/>
    </w:p>
    <w:p w14:paraId="4C8C4946" w14:textId="77777777" w:rsidR="00F558CA" w:rsidRPr="00BC2DD4" w:rsidRDefault="00F558CA" w:rsidP="00F558CA">
      <w:pPr>
        <w:pStyle w:val="EPComma"/>
      </w:pPr>
      <w:bookmarkStart w:id="6" w:name="TextBodyBegin"/>
      <w:bookmarkEnd w:id="6"/>
      <w:r w:rsidRPr="00BC2DD4">
        <w:rPr>
          <w:i/>
          <w:iCs/>
        </w:rPr>
        <w:t>Evropský parlament,</w:t>
      </w:r>
    </w:p>
    <w:p w14:paraId="3CE3DEAB" w14:textId="4B6F9A99" w:rsidR="00F558CA" w:rsidRPr="00BC2DD4" w:rsidRDefault="00F558CA" w:rsidP="00BC2DD4">
      <w:pPr>
        <w:pStyle w:val="NormalHanging12a"/>
        <w:rPr>
          <w:szCs w:val="24"/>
        </w:rPr>
      </w:pPr>
      <w:r w:rsidRPr="00BC2DD4">
        <w:t>–</w:t>
      </w:r>
      <w:r w:rsidRPr="00BC2DD4">
        <w:tab/>
        <w:t>s ohledem na Smlouvu o</w:t>
      </w:r>
      <w:r w:rsidRPr="00BC2DD4">
        <w:rPr>
          <w:szCs w:val="24"/>
        </w:rPr>
        <w:t> Evropské unii a Smlouvu o fungování Evropské unie, zejména na jejich ustanovení týkající se prostoru svobody, bezpečnosti a práva,</w:t>
      </w:r>
    </w:p>
    <w:p w14:paraId="0CE2109A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Listinu základních práv Evropské unie, zejména na její články týkající se lidské důstojnosti, práva na život, svobody projevu, práv obětí a ochrany osobních údajů,</w:t>
      </w:r>
    </w:p>
    <w:p w14:paraId="57A3AC8D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Strategii Evropské unie pro oblast drog a její nejnovější verzi zveřejněnou spolu s Akčním plánem Evropské unie pro oblast drog na období 2026–2030,</w:t>
      </w:r>
    </w:p>
    <w:p w14:paraId="3D1F7770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práci Horizontální pracovní skupiny Rady pro drogy (HDG), která byla zřízena v roce 1997 za účelem koordinace činnosti EU v oblasti drog,</w:t>
      </w:r>
    </w:p>
    <w:p w14:paraId="7B35D1D6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zprávy a analýzy Agentury Evropské unie pro drogy (EUDA), zejména na Evropskou zprávu o drogové problematice z roku 2025,</w:t>
      </w:r>
    </w:p>
    <w:p w14:paraId="5ABFE9E3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vznik Evropské koalice proti drogám, která sdružuje více než 40 zemí a jejímž cílem je posílit mezinárodní spolupráci v boji proti obchodu s drogami,</w:t>
      </w:r>
    </w:p>
    <w:p w14:paraId="0F7CA014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 xml:space="preserve">s ohledem na práci skupiny </w:t>
      </w:r>
      <w:proofErr w:type="spellStart"/>
      <w:r w:rsidRPr="00BC2DD4">
        <w:rPr>
          <w:szCs w:val="24"/>
        </w:rPr>
        <w:t>Pompidou</w:t>
      </w:r>
      <w:proofErr w:type="spellEnd"/>
      <w:r w:rsidRPr="00BC2DD4">
        <w:rPr>
          <w:szCs w:val="24"/>
        </w:rPr>
        <w:t xml:space="preserve"> Rady Evropy věnované politice v oblasti drog a prevence,</w:t>
      </w:r>
    </w:p>
    <w:p w14:paraId="3B15E759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Úmluvu OSN proti nedovolenému obchodu s omamnými a psychotropními látkami z roku 1988 a na činnost Úřadu OSN pro drogy a kriminalitu (UNODC),</w:t>
      </w:r>
    </w:p>
    <w:p w14:paraId="52591121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Úmluvu OSN proti nadnárodnímu organizovanému zločinu, podepsanou v Palermu v roce 2000, a její protokoly, jakož i na Úmluvu OSN proti korupci,</w:t>
      </w:r>
    </w:p>
    <w:p w14:paraId="3DF309FD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opatření přijatá evropskými a mezinárodními orgány za účelem předcházení praní peněz a financování organizovaného zločinu a boje proti nim,</w:t>
      </w:r>
    </w:p>
    <w:p w14:paraId="2FD2F113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lastRenderedPageBreak/>
        <w:t>–</w:t>
      </w:r>
      <w:r w:rsidRPr="00BC2DD4">
        <w:rPr>
          <w:szCs w:val="24"/>
        </w:rPr>
        <w:tab/>
        <w:t>s ohledem na směrnici Evropského parlamentu a Rady 2012/29/EU ze dne 25. října 2012, kterou se zavádí minimální pravidla pro práva, podporu a ochranu obětí trestného činu</w:t>
      </w:r>
      <w:r w:rsidRPr="00BC2DD4">
        <w:rPr>
          <w:rStyle w:val="FootnoteReference"/>
          <w:rFonts w:eastAsia="Arial"/>
          <w:szCs w:val="24"/>
        </w:rPr>
        <w:footnoteReference w:id="1"/>
      </w:r>
      <w:r w:rsidRPr="00BC2DD4">
        <w:rPr>
          <w:szCs w:val="24"/>
        </w:rPr>
        <w:t>,</w:t>
      </w:r>
    </w:p>
    <w:p w14:paraId="4A77284A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Mezinárodní úmluvu o právech dítěte, kterou přijalo Valné shromáždění OSN dne 20. listopadu 1989,</w:t>
      </w:r>
    </w:p>
    <w:p w14:paraId="5851762C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usnesení Evropského parlamentu ze dne 11. června 2013 o organizované trestné činnosti, korupci a praní peněz</w:t>
      </w:r>
      <w:r w:rsidRPr="00BC2DD4">
        <w:rPr>
          <w:rStyle w:val="FootnoteReference"/>
          <w:rFonts w:eastAsia="Arial"/>
          <w:szCs w:val="24"/>
        </w:rPr>
        <w:footnoteReference w:id="2"/>
      </w:r>
      <w:r w:rsidRPr="00BC2DD4">
        <w:rPr>
          <w:szCs w:val="24"/>
        </w:rPr>
        <w:t>:</w:t>
      </w:r>
    </w:p>
    <w:p w14:paraId="482F6747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zapojení evropských orgánů do boje proti obchodu s drogami, zejména agentury EUDA, Europolu a </w:t>
      </w:r>
      <w:proofErr w:type="spellStart"/>
      <w:r w:rsidRPr="00BC2DD4">
        <w:rPr>
          <w:szCs w:val="24"/>
        </w:rPr>
        <w:t>Eurojustu</w:t>
      </w:r>
      <w:proofErr w:type="spellEnd"/>
      <w:r w:rsidRPr="00BC2DD4">
        <w:rPr>
          <w:szCs w:val="24"/>
        </w:rPr>
        <w:t>,</w:t>
      </w:r>
    </w:p>
    <w:p w14:paraId="5D99DAD8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legislativní balíček Evropské unie z roku 2024 o boji proti praní peněz a financování terorismu, zejména nařízení (EU) 2024/1624</w:t>
      </w:r>
      <w:r w:rsidRPr="00BC2DD4">
        <w:rPr>
          <w:rStyle w:val="FootnoteReference"/>
          <w:rFonts w:eastAsia="Arial"/>
          <w:szCs w:val="24"/>
        </w:rPr>
        <w:footnoteReference w:id="3"/>
      </w:r>
      <w:r w:rsidRPr="00BC2DD4">
        <w:rPr>
          <w:szCs w:val="24"/>
        </w:rPr>
        <w:t>, směrnice (EU) 2024/1640</w:t>
      </w:r>
      <w:r w:rsidRPr="00BC2DD4">
        <w:rPr>
          <w:rStyle w:val="FootnoteReference"/>
          <w:rFonts w:eastAsia="Arial"/>
          <w:szCs w:val="24"/>
        </w:rPr>
        <w:footnoteReference w:id="4"/>
      </w:r>
      <w:r w:rsidRPr="00BC2DD4">
        <w:rPr>
          <w:szCs w:val="24"/>
        </w:rPr>
        <w:t xml:space="preserve"> a zřízení Orgánu pro boj proti praní peněz (AMLA),</w:t>
      </w:r>
    </w:p>
    <w:p w14:paraId="726D7851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směrnici Evropského parlamentu a Rady (EU) 2024/1712 ze dne 13. června 2024, kterou se mění směrnice 2011/36/EU o prevenci obchodování s lidmi, boji proti němu a o ochraně obětí</w:t>
      </w:r>
      <w:r w:rsidRPr="00BC2DD4">
        <w:rPr>
          <w:rStyle w:val="FootnoteReference"/>
          <w:rFonts w:eastAsia="Arial"/>
          <w:szCs w:val="24"/>
        </w:rPr>
        <w:footnoteReference w:id="5"/>
      </w:r>
      <w:r w:rsidRPr="00BC2DD4">
        <w:rPr>
          <w:szCs w:val="24"/>
        </w:rPr>
        <w:t>,</w:t>
      </w:r>
    </w:p>
    <w:p w14:paraId="6CADB22F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práci Fóra občanské společnosti pro otázky drog a jeho křídla zaměřeného na mládež,</w:t>
      </w:r>
    </w:p>
    <w:p w14:paraId="5E99B187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skutečnost, že situace je kritická zejména v nejvzdálenějších regionech,</w:t>
      </w:r>
    </w:p>
    <w:p w14:paraId="493C7D01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 xml:space="preserve">s ohledem na knihu protidrogového aktivisty Amine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 „Marseille, </w:t>
      </w:r>
      <w:proofErr w:type="spellStart"/>
      <w:r w:rsidRPr="00BC2DD4">
        <w:rPr>
          <w:szCs w:val="24"/>
        </w:rPr>
        <w:t>essuie</w:t>
      </w:r>
      <w:proofErr w:type="spellEnd"/>
      <w:r w:rsidRPr="00BC2DD4">
        <w:rPr>
          <w:szCs w:val="24"/>
        </w:rPr>
        <w:t xml:space="preserve"> tes </w:t>
      </w:r>
      <w:proofErr w:type="spellStart"/>
      <w:r w:rsidRPr="00BC2DD4">
        <w:rPr>
          <w:szCs w:val="24"/>
        </w:rPr>
        <w:t>larmes</w:t>
      </w:r>
      <w:proofErr w:type="spellEnd"/>
      <w:r w:rsidRPr="00BC2DD4">
        <w:rPr>
          <w:szCs w:val="24"/>
        </w:rPr>
        <w:t>“ (Marseille, osuš si slzy) a jeho veřejná vystoupení vyzývající k jednotnému boji proti obchodu s drogami a k občanským protestům,</w:t>
      </w:r>
    </w:p>
    <w:p w14:paraId="30947DF5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–</w:t>
      </w:r>
      <w:r w:rsidRPr="00BC2DD4">
        <w:rPr>
          <w:szCs w:val="24"/>
        </w:rPr>
        <w:tab/>
        <w:t>s ohledem na čl. 136 odst. 2 jednacího řádu,</w:t>
      </w:r>
    </w:p>
    <w:p w14:paraId="4BB0FDBD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A.</w:t>
      </w:r>
      <w:r w:rsidRPr="00BC2DD4">
        <w:rPr>
          <w:szCs w:val="24"/>
        </w:rPr>
        <w:tab/>
        <w:t xml:space="preserve">vzhledem k tomu, že dne 13. listopadu 2025 byl v Marseille za bílého dne v kontextu násilí spojeného s obchodem s drogami přímo na ulici zavražděn </w:t>
      </w:r>
      <w:proofErr w:type="spellStart"/>
      <w:r w:rsidRPr="00BC2DD4">
        <w:rPr>
          <w:szCs w:val="24"/>
        </w:rPr>
        <w:t>Mehdi</w:t>
      </w:r>
      <w:proofErr w:type="spellEnd"/>
      <w:r w:rsidRPr="00BC2DD4">
        <w:rPr>
          <w:szCs w:val="24"/>
        </w:rPr>
        <w:t xml:space="preserve"> </w:t>
      </w:r>
      <w:proofErr w:type="spellStart"/>
      <w:r w:rsidRPr="00BC2DD4">
        <w:rPr>
          <w:szCs w:val="24"/>
        </w:rPr>
        <w:t>Kessaci</w:t>
      </w:r>
      <w:proofErr w:type="spellEnd"/>
      <w:r w:rsidRPr="00BC2DD4">
        <w:rPr>
          <w:szCs w:val="24"/>
        </w:rPr>
        <w:t>, 20letý francouzský občan, kterého policie znala jen v souvislosti s tím, že se ucházel o místo městského strážníka, což dokládá rostoucí brutalitu zločineckých sítí a přímé důsledky tohoto násilí pro rodiny a místní komunity;</w:t>
      </w:r>
    </w:p>
    <w:p w14:paraId="60031E6A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B.</w:t>
      </w:r>
      <w:r w:rsidRPr="00BC2DD4">
        <w:rPr>
          <w:szCs w:val="24"/>
        </w:rPr>
        <w:tab/>
        <w:t xml:space="preserve">vzhledem k tomu, že </w:t>
      </w:r>
      <w:proofErr w:type="spellStart"/>
      <w:r w:rsidRPr="00BC2DD4">
        <w:rPr>
          <w:szCs w:val="24"/>
        </w:rPr>
        <w:t>Mehdi</w:t>
      </w:r>
      <w:proofErr w:type="spellEnd"/>
      <w:r w:rsidRPr="00BC2DD4">
        <w:rPr>
          <w:szCs w:val="24"/>
        </w:rPr>
        <w:t xml:space="preserve"> </w:t>
      </w:r>
      <w:proofErr w:type="spellStart"/>
      <w:r w:rsidRPr="00BC2DD4">
        <w:rPr>
          <w:szCs w:val="24"/>
        </w:rPr>
        <w:t>Kessaci</w:t>
      </w:r>
      <w:proofErr w:type="spellEnd"/>
      <w:r w:rsidRPr="00BC2DD4">
        <w:rPr>
          <w:szCs w:val="24"/>
        </w:rPr>
        <w:t xml:space="preserve"> byl bratrem Amine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, aktivisty bojujícího proti obchodu s drogami, spisovatele a známé osobnosti občanské mobilizace proti organizovanému zločinu; vzhledem k tomu, že byl zcela jistě zavražděn kvůli tomuto rodinnému vztahu; vzhledem k tomu, že tato vražda představuje přímý útok na svobodu projevu a že existuje podezření, že jde o metodu zastrašování připomínající praktiky organizovaných mafiánských sítí; vzhledem k tomu, že tento zločin vyvolal celonárodní protesty, během nichž se v celé zemi sešlo 10 000 lidí na podporu Amine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 a jeho rodiny a na obranu demokracie, svobody projevu a právního státu v souvislosti </w:t>
      </w:r>
      <w:r w:rsidRPr="00BC2DD4">
        <w:rPr>
          <w:szCs w:val="24"/>
        </w:rPr>
        <w:lastRenderedPageBreak/>
        <w:t>s obchodem s drogami;</w:t>
      </w:r>
    </w:p>
    <w:p w14:paraId="72B2B1C7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C.</w:t>
      </w:r>
      <w:r w:rsidRPr="00BC2DD4">
        <w:rPr>
          <w:szCs w:val="24"/>
        </w:rPr>
        <w:tab/>
        <w:t>vzhledem k tomu, že tato vražda je součástí série násilností souvisejících s obchodem s drogami v Marseille, které vedly k 24 vraždám v roce 2024 a 49 obětem v roce 2023, přičemž stále častěji jde o nevinné nezletilé osoby; vzhledem k tomu, že k těmto zločinům dochází v mnoha evropských městech a ohrožují sociální soudržnost, zdraví a bezpečnost občanů a právní stát; vzhledem k tomu, že obzvláště kritická je situace v nejvzdálenějších regionech, neboť jen na Guadeloupu a Martiniku bylo v roce 2025 zaznamenáno téměř 90 vražd souvisejících s obchodem s drogami;</w:t>
      </w:r>
    </w:p>
    <w:p w14:paraId="4C5B275D" w14:textId="0B224112" w:rsidR="00F558CA" w:rsidRPr="00BC2DD4" w:rsidRDefault="00F76C80" w:rsidP="00BC2DD4">
      <w:pPr>
        <w:pStyle w:val="NormalHanging12a"/>
        <w:rPr>
          <w:szCs w:val="24"/>
        </w:rPr>
      </w:pPr>
      <w:r>
        <w:rPr>
          <w:szCs w:val="24"/>
        </w:rPr>
        <w:t>D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obchod s drogami je jednou z nejvážnějších hrozeb pro vnitřní bezpečnost Evropské unie, neboť podporuje organizovanou trestnou činnost, násilí a korupci, a vzhledem k tomu, že podle Europolu je do tohoto obchodu zapojeno téměř 50 % nejnebezpečnějších zločineckých sítí v Evropě, z toho více než třetina výhradně;</w:t>
      </w:r>
    </w:p>
    <w:p w14:paraId="6001EF3A" w14:textId="3C2701E4" w:rsidR="00F558CA" w:rsidRPr="00BC2DD4" w:rsidRDefault="00F76C80" w:rsidP="00BC2DD4">
      <w:pPr>
        <w:pStyle w:val="NormalHanging12a"/>
        <w:rPr>
          <w:szCs w:val="24"/>
        </w:rPr>
      </w:pPr>
      <w:r>
        <w:rPr>
          <w:szCs w:val="24"/>
        </w:rPr>
        <w:t>E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násilí spojené s obchodem s drogami v Evropě v posledních letech zesílilo a organizované zločinecké skupiny stále častěji používají střelné zbraně, a vzhledem k tomu, že v průměru 28 % zabavených střelných zbraní v Evropě souvisí s obchodem s drogami, což dokládá přímou souvislost mezi obchodem s drogami a vážným ohrožením veřejné bezpečnosti;</w:t>
      </w:r>
    </w:p>
    <w:p w14:paraId="4543791C" w14:textId="3F806411" w:rsidR="00F558CA" w:rsidRPr="00BC2DD4" w:rsidRDefault="00F76C80" w:rsidP="00BC2DD4">
      <w:pPr>
        <w:pStyle w:val="NormalHanging12a"/>
        <w:rPr>
          <w:szCs w:val="24"/>
        </w:rPr>
      </w:pPr>
      <w:r>
        <w:rPr>
          <w:szCs w:val="24"/>
        </w:rPr>
        <w:t>F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výroba drog, obchodování s nimi a jejich užívání v Evropské unii rychle roste a dosahuje nebývalé úrovně; vzhledem k tomu, že podle agentury EUDA bylo v EU v roce 2023 zabaveno 752 tun konopí a 419 tun kokainu a že 2,7 milionu mladých dospělých ve věku 15 až 34 let uvedlo, že je v průběhu uplynulého roku užili; vzhledem k tomu, že v EU je každoročně zlikvidováno téměř 500 laboratoří na výrobu syntetických drog a že počet úmrtí souvisejících s drogami dosáhl v roce 2023 téměř 7 500; vzhledem k tomu, že tento vývoj odráží široce rozšířený jev, který se týká všech regionů, generací a sociálních kategorií;</w:t>
      </w:r>
    </w:p>
    <w:p w14:paraId="4889F65F" w14:textId="3B8BAAA8" w:rsidR="00F558CA" w:rsidRPr="00BC2DD4" w:rsidRDefault="00F76C80" w:rsidP="00BC2DD4">
      <w:pPr>
        <w:pStyle w:val="NormalHanging12a"/>
        <w:rPr>
          <w:szCs w:val="24"/>
        </w:rPr>
      </w:pPr>
      <w:r>
        <w:rPr>
          <w:szCs w:val="24"/>
        </w:rPr>
        <w:t>G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evropské přístavy jsou hlavními strategickými vstupními místy pro nelegální drogy, přičemž přibližně 70 % drog zabaví celní orgány v přístavní infrastruktuře, a vzhledem k tomu, že zločinecké sítě využívají logistické a lidské slabiny těchto platforem;</w:t>
      </w:r>
    </w:p>
    <w:p w14:paraId="6FBD7420" w14:textId="781EB7A2" w:rsidR="00F558CA" w:rsidRPr="00BC2DD4" w:rsidRDefault="00F76C80" w:rsidP="00BC2DD4">
      <w:pPr>
        <w:pStyle w:val="NormalHanging12a"/>
        <w:rPr>
          <w:szCs w:val="24"/>
        </w:rPr>
      </w:pPr>
      <w:r>
        <w:rPr>
          <w:szCs w:val="24"/>
        </w:rPr>
        <w:t>H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zaměstnanci pracující v odvětví rybolovu a v přístavech, jako jsou rybáři a přístavní dělníci, jsou terčem sítí obchodníků s drogami, kteří využívají povahy jejich činnosti k pašování drog do Evropské unie;</w:t>
      </w:r>
    </w:p>
    <w:p w14:paraId="521CD2C1" w14:textId="4D77C26E" w:rsidR="00F558CA" w:rsidRDefault="00F76C80" w:rsidP="00BC2DD4">
      <w:pPr>
        <w:pStyle w:val="NormalHanging12a"/>
        <w:rPr>
          <w:szCs w:val="24"/>
        </w:rPr>
      </w:pPr>
      <w:r>
        <w:rPr>
          <w:szCs w:val="24"/>
        </w:rPr>
        <w:t>I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masivní nárůst užívání omamných látek má přímý dopad na obchod s drogami a přináší obrovské zisky obchodníkům s drogami, kteří tak získávají finanční prostředky, jež mohou ohrozit demokracii; vzhledem k tomu, že francouzská Národní komise pro volební kampaně a politické financování varovala před vlivem sítí obchodníků s drogami na nadcházející místní volby;</w:t>
      </w:r>
    </w:p>
    <w:p w14:paraId="568E09BF" w14:textId="63CE605B" w:rsidR="00AD68D6" w:rsidRDefault="002156CA" w:rsidP="00B67159">
      <w:pPr>
        <w:pStyle w:val="NormalHanging12a"/>
        <w:rPr>
          <w:szCs w:val="24"/>
        </w:rPr>
      </w:pPr>
      <w:r>
        <w:rPr>
          <w:szCs w:val="24"/>
        </w:rPr>
        <w:t>J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obchod s drogami je jednou z nejvýnosnějších činností organizovaného zločinu, neboť představuje přibližně pětinu výnosů z trestné činnosti na celém světě, a vzhledem k tomu, že Evropská unie čelí nebývalému nárůstu dostupnosti nelegálních drog, zejména kokainu z Jižní Ameriky;</w:t>
      </w:r>
    </w:p>
    <w:p w14:paraId="4C75047F" w14:textId="19AAC1DD" w:rsidR="002156CA" w:rsidRPr="00BC2DD4" w:rsidRDefault="002156CA" w:rsidP="002156CA">
      <w:pPr>
        <w:pStyle w:val="NormalHanging12a"/>
        <w:rPr>
          <w:szCs w:val="24"/>
        </w:rPr>
      </w:pPr>
      <w:r>
        <w:rPr>
          <w:bCs/>
          <w:iCs/>
        </w:rPr>
        <w:t>K</w:t>
      </w:r>
      <w:r w:rsidRPr="00C6145F">
        <w:rPr>
          <w:bCs/>
          <w:iCs/>
        </w:rPr>
        <w:t>.</w:t>
      </w:r>
      <w:r w:rsidRPr="00C6145F">
        <w:rPr>
          <w:bCs/>
          <w:iCs/>
        </w:rPr>
        <w:tab/>
        <w:t xml:space="preserve">vzhledem k tomu, že sítě pro obchodování s drogami se mohou snažit vyvíjet tlak na </w:t>
      </w:r>
      <w:r w:rsidRPr="00C6145F">
        <w:rPr>
          <w:bCs/>
          <w:iCs/>
        </w:rPr>
        <w:lastRenderedPageBreak/>
        <w:t>místní volené zástupce a voliče, zejména na obecní úrovni, nebo je nepatřičně ovlivňovat, a narušovat tak integritu demokratických procesů</w:t>
      </w:r>
      <w:r>
        <w:rPr>
          <w:bCs/>
          <w:iCs/>
        </w:rPr>
        <w:t>;</w:t>
      </w:r>
    </w:p>
    <w:p w14:paraId="1C12C09F" w14:textId="48F25152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L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finanční kapacita, kterou získali obchodníci s drogami, ohrožuje demokracii prostřednictvím praní peněz, korupce, infiltrace legální ekonomiky a schopnosti zločineckých sítí získat a rozšířit územní působnost, a to i v rámci Evropské unie;</w:t>
      </w:r>
    </w:p>
    <w:p w14:paraId="167465F6" w14:textId="132686E4" w:rsidR="00F558CA" w:rsidRDefault="00AD68D6" w:rsidP="00BC2DD4">
      <w:pPr>
        <w:pStyle w:val="NormalHanging12a"/>
        <w:rPr>
          <w:szCs w:val="24"/>
        </w:rPr>
      </w:pPr>
      <w:r>
        <w:rPr>
          <w:szCs w:val="24"/>
        </w:rPr>
        <w:t>M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boj proti praní peněz, daňovým rájům a pronikání zločineckých organizací do legální ekonomiky je proto klíčovým nástrojem k trvalému oslabení sítí obchodníků s drogami;</w:t>
      </w:r>
    </w:p>
    <w:p w14:paraId="59965BA3" w14:textId="46B2C54D" w:rsidR="00AD68D6" w:rsidRPr="00AD68D6" w:rsidRDefault="00AD68D6" w:rsidP="00BC2DD4">
      <w:pPr>
        <w:pStyle w:val="NormalHanging12a"/>
        <w:rPr>
          <w:bCs/>
          <w:iCs/>
          <w:szCs w:val="24"/>
        </w:rPr>
      </w:pPr>
      <w:r>
        <w:rPr>
          <w:bCs/>
          <w:iCs/>
        </w:rPr>
        <w:t>N</w:t>
      </w:r>
      <w:r w:rsidRPr="00FD2D5A">
        <w:rPr>
          <w:bCs/>
          <w:iCs/>
        </w:rPr>
        <w:t>.</w:t>
      </w:r>
      <w:r w:rsidRPr="00FD2D5A">
        <w:rPr>
          <w:bCs/>
          <w:iCs/>
        </w:rPr>
        <w:tab/>
        <w:t>vzhledem k tomu, že Evropský štít pro demokracii zdůrazňuje, že organizovaná trestná činnost a korupce představují přímou hrozbu pro právní stát a naše demokratické instituce;</w:t>
      </w:r>
    </w:p>
    <w:p w14:paraId="0A784BD0" w14:textId="481192F9" w:rsidR="00F558CA" w:rsidRPr="00BC2DD4" w:rsidRDefault="00AD68D6" w:rsidP="00BC2DD4">
      <w:pPr>
        <w:pStyle w:val="NormalHanging12a"/>
        <w:rPr>
          <w:szCs w:val="24"/>
        </w:rPr>
      </w:pPr>
      <w:r>
        <w:rPr>
          <w:bCs/>
          <w:iCs/>
          <w:szCs w:val="24"/>
        </w:rPr>
        <w:t>O</w:t>
      </w:r>
      <w:r w:rsidR="00F558CA" w:rsidRPr="00AD68D6">
        <w:rPr>
          <w:bCs/>
          <w:iCs/>
          <w:szCs w:val="24"/>
        </w:rPr>
        <w:t>.</w:t>
      </w:r>
      <w:r w:rsidR="00F558CA" w:rsidRPr="00AD68D6">
        <w:rPr>
          <w:bCs/>
          <w:iCs/>
          <w:szCs w:val="24"/>
        </w:rPr>
        <w:tab/>
        <w:t>vzhledem k tomu, že k náboru</w:t>
      </w:r>
      <w:r w:rsidR="00F558CA" w:rsidRPr="00BC2DD4">
        <w:rPr>
          <w:szCs w:val="24"/>
        </w:rPr>
        <w:t>, koordinaci a páchání násilných činů, zejména vůči nezletilým, jsou stále častěji využívány digitální nástroje a sociální sítě, což vyžaduje koordinovanou evropskou reakci respektující základní práva;</w:t>
      </w:r>
    </w:p>
    <w:p w14:paraId="44011BF1" w14:textId="6540327F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P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vývoji zločineckých organizací a jejich praktik, zejména prostřednictvím digitalizace jejich strategií, a tedy potřebě rozvíjet vyšetřovací, soudní a sociální struktury v rámci reakce Evropské unie na tuto situaci;</w:t>
      </w:r>
    </w:p>
    <w:p w14:paraId="7999BAEC" w14:textId="6ADE1C62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Q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 vzhledem k tomu, že v Evropě roste výskyt nových psychoaktivních látek, zejména syntetických </w:t>
      </w:r>
      <w:proofErr w:type="spellStart"/>
      <w:r w:rsidR="00F558CA" w:rsidRPr="00BC2DD4">
        <w:rPr>
          <w:szCs w:val="24"/>
        </w:rPr>
        <w:t>kanabinoidů</w:t>
      </w:r>
      <w:proofErr w:type="spellEnd"/>
      <w:r w:rsidR="00F558CA" w:rsidRPr="00BC2DD4">
        <w:rPr>
          <w:szCs w:val="24"/>
        </w:rPr>
        <w:t xml:space="preserve">, </w:t>
      </w:r>
      <w:proofErr w:type="spellStart"/>
      <w:r w:rsidR="00F558CA" w:rsidRPr="00BC2DD4">
        <w:rPr>
          <w:szCs w:val="24"/>
        </w:rPr>
        <w:t>kathinonů</w:t>
      </w:r>
      <w:proofErr w:type="spellEnd"/>
      <w:r w:rsidR="00F558CA" w:rsidRPr="00BC2DD4">
        <w:rPr>
          <w:szCs w:val="24"/>
        </w:rPr>
        <w:t xml:space="preserve"> a silných syntetických </w:t>
      </w:r>
      <w:proofErr w:type="spellStart"/>
      <w:r w:rsidR="00F558CA" w:rsidRPr="00BC2DD4">
        <w:rPr>
          <w:szCs w:val="24"/>
        </w:rPr>
        <w:t>opioidů</w:t>
      </w:r>
      <w:proofErr w:type="spellEnd"/>
      <w:r w:rsidR="00F558CA" w:rsidRPr="00BC2DD4">
        <w:rPr>
          <w:szCs w:val="24"/>
        </w:rPr>
        <w:t>, které se často vyrábějí nebo distribuují v EU a zůstávají částečně mimo mezinárodní a vnitrostátní kontrolu; vzhledem k tomu, že jejich vysoká účinnost a nízké požadavky na objem v kombinaci s možností mírné úpravy jejich chemické struktury za účelem obcházení právních předpisů vytvářejí rychle se rozvíjející a vysoce lukrativní trh, ze kterého těží prodejci drog, a současně představují značné riziko pro veřejné zdraví a bezpečnost; vzhledem k tomu, že je důležité mít k dispozici robustní systémy včasného varování s posílenými detekčními schopnostmi a systémy reakce koordinované na úrovni EU, aby bylo možné čelit postupně se zhoršující hrozbě, kterou představují nové psychotropní látky;</w:t>
      </w:r>
    </w:p>
    <w:p w14:paraId="19A4EFCA" w14:textId="65F3CB2B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R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k rozvoji a dlouhodobému vytváření sítí obchodníků s drogami často dochází v podmínkách vyznačujících se přetrvávajícími sociálními a územními nerovnostmi, nedostatečným přístupem k zaměstnání, veřejným službám a vzdělávacím příležitostem a pocitem institucionální opuštěnosti, zejména v některých znevýhodněných městských čtvrtích, a vzhledem k tomu, že tato zranitelná místa představují živnou půdu pro nelegální ekonomiku a strukturální faktory, které sítě obchodníků s drogami využívají k náboru zranitelné, často mladé pracovní síly;</w:t>
      </w:r>
    </w:p>
    <w:p w14:paraId="678FDC31" w14:textId="54C61C4B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S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politika soudržnosti Unie pomáhala prostřednictvím svých finančních nástrojů v minulosti snižovat územní rozdíly, posilovat sociální soudržnost a podporovat strukturální investice v městských oblastech potýkajících se s problémy, a vzhledem k tomu, že hlavní směry, které Evropská komise zvažuje pro víceletý finanční rámec na období 2028–2034, jakož i provádění nové agendy EU pro města, budou mít rozhodující dopad na schopnost Unie zabránit trvale tomu, aby se v těchto oblastech zakořenil nedovolený obchod;</w:t>
      </w:r>
    </w:p>
    <w:p w14:paraId="14FF2C67" w14:textId="4F3843C2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lastRenderedPageBreak/>
        <w:t>T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vzhledem k tomu, že částky získané zločineckými sítěmi usnadňuje korupce, kterou mohou i posilovat, a vzhledem k tomu, že finanční zdroje umožňují těmto sítím jak poskytovat služby místním obyvatelům, tak vyvolávat strach na stále větším počtu území, což vede k určitému znecitlivění místních komunit, které jsou tváří v tvář obchodu s drogami stále méně odolné; vzhledem k tomu, že vražda </w:t>
      </w:r>
      <w:proofErr w:type="spellStart"/>
      <w:r w:rsidR="00F558CA" w:rsidRPr="00BC2DD4">
        <w:rPr>
          <w:szCs w:val="24"/>
        </w:rPr>
        <w:t>Mehdiho</w:t>
      </w:r>
      <w:proofErr w:type="spellEnd"/>
      <w:r w:rsidR="00F558CA" w:rsidRPr="00BC2DD4">
        <w:rPr>
          <w:szCs w:val="24"/>
        </w:rPr>
        <w:t xml:space="preserve"> </w:t>
      </w:r>
      <w:proofErr w:type="spellStart"/>
      <w:r w:rsidR="00F558CA" w:rsidRPr="00BC2DD4">
        <w:rPr>
          <w:szCs w:val="24"/>
        </w:rPr>
        <w:t>Kessaciho</w:t>
      </w:r>
      <w:proofErr w:type="spellEnd"/>
      <w:r w:rsidR="00F558CA" w:rsidRPr="00BC2DD4">
        <w:rPr>
          <w:szCs w:val="24"/>
        </w:rPr>
        <w:t xml:space="preserve"> je součástí těchto zastrašovacích strategií; vzhledem k tomu, že varování před vlivem obchodu s drogami na volby důrazně upozorňují na hrozbu, kterou obchod s drogami představuje pro základní práva, demokracii a právní stát;</w:t>
      </w:r>
    </w:p>
    <w:p w14:paraId="1C5734C6" w14:textId="3C8C5380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U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rodiny obětí, zejména matky a blízcí zabitých osob nebo osob naverbovaných zločineckými sítěmi, často hrají zásadní roli v prevenci, zvyšování povědomí a podpoře mladých lidí vystavených obchodu s drogami; vzhledem k tomu, že rodiny obětí obchodu s drogami však nejsou zapojeny do přípravy evropských a vnitrostátních politik boje proti obchodu s drogami ani do Fóra občanské společnosti pro otázky drog;</w:t>
      </w:r>
    </w:p>
    <w:p w14:paraId="58906319" w14:textId="6E6C3029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V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předchozí strategie poukázaly na nutnost lépe vyvážit represivní opatření s politikami prevence, snižování škod a sociální spravedlnosti;</w:t>
      </w:r>
    </w:p>
    <w:p w14:paraId="3636A7C0" w14:textId="47808CDB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W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Strategie Evropské unie pro oblast drog je založena na základních pilířích kombinujících veřejné zdraví, prevenci, soudní a policejní spolupráci a spolupráci se třetími zeměmi a že by bylo vhodné ji doplnit o část věnovanou sociální odolnosti území a komunit mobilizovaných proti obchodu s drogami;</w:t>
      </w:r>
    </w:p>
    <w:p w14:paraId="69CE3947" w14:textId="29A8800E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X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vzhledem k tomu, že šíření obchodu s drogami je celoevropským jevem a vyžaduje jednotnou a rozhodnou reakci; vzhledem k tomu, že evropské orgány musí prokázat schopnost mobilizovat se, aby již nedocházelo k dalším ztrátám na životech;</w:t>
      </w:r>
    </w:p>
    <w:p w14:paraId="27785267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1.</w:t>
      </w:r>
      <w:r w:rsidRPr="00BC2DD4">
        <w:rPr>
          <w:szCs w:val="24"/>
        </w:rPr>
        <w:tab/>
        <w:t xml:space="preserve">co nejdůrazněji vraždu </w:t>
      </w:r>
      <w:proofErr w:type="spellStart"/>
      <w:r w:rsidRPr="00BC2DD4">
        <w:rPr>
          <w:szCs w:val="24"/>
        </w:rPr>
        <w:t>Mehdiho</w:t>
      </w:r>
      <w:proofErr w:type="spellEnd"/>
      <w:r w:rsidRPr="00BC2DD4">
        <w:rPr>
          <w:szCs w:val="24"/>
        </w:rPr>
        <w:t xml:space="preserve">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 odsuzuje; vyjadřuje hlubokou a upřímnou soustrast jeho rodičům, rodině a blízkým a jejich prostřednictvím všem přímým i nepřímým obětem obchodu s drogami v Evropě a na celém světě;</w:t>
      </w:r>
    </w:p>
    <w:p w14:paraId="4DFE0BB0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2.</w:t>
      </w:r>
      <w:r w:rsidRPr="00BC2DD4">
        <w:rPr>
          <w:szCs w:val="24"/>
        </w:rPr>
        <w:tab/>
        <w:t xml:space="preserve">vzdává hold odhodlání </w:t>
      </w:r>
      <w:proofErr w:type="spellStart"/>
      <w:r w:rsidRPr="00BC2DD4">
        <w:rPr>
          <w:szCs w:val="24"/>
        </w:rPr>
        <w:t>Amineho</w:t>
      </w:r>
      <w:proofErr w:type="spellEnd"/>
      <w:r w:rsidRPr="00BC2DD4">
        <w:rPr>
          <w:szCs w:val="24"/>
        </w:rPr>
        <w:t xml:space="preserve">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, sdružení </w:t>
      </w:r>
      <w:proofErr w:type="spellStart"/>
      <w:r w:rsidRPr="00BC2DD4">
        <w:rPr>
          <w:szCs w:val="24"/>
        </w:rPr>
        <w:t>Conscience</w:t>
      </w:r>
      <w:proofErr w:type="spellEnd"/>
      <w:r w:rsidRPr="00BC2DD4">
        <w:rPr>
          <w:szCs w:val="24"/>
        </w:rPr>
        <w:t xml:space="preserve"> a všech aktivistů a aktivistek, kteří často s nasazením vlastního života bojují proti obchodu s drogami; vzdává čest odvaze </w:t>
      </w:r>
      <w:proofErr w:type="spellStart"/>
      <w:r w:rsidRPr="00BC2DD4">
        <w:rPr>
          <w:szCs w:val="24"/>
        </w:rPr>
        <w:t>Amineho</w:t>
      </w:r>
      <w:proofErr w:type="spellEnd"/>
      <w:r w:rsidRPr="00BC2DD4">
        <w:rPr>
          <w:szCs w:val="24"/>
        </w:rPr>
        <w:t xml:space="preserve">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, který se i přes výhrůžky, jimž čelí, stále staví proti obchodníkům s drogami; uznává, že vražda </w:t>
      </w:r>
      <w:proofErr w:type="spellStart"/>
      <w:r w:rsidRPr="00BC2DD4">
        <w:rPr>
          <w:szCs w:val="24"/>
        </w:rPr>
        <w:t>Mehdiho</w:t>
      </w:r>
      <w:proofErr w:type="spellEnd"/>
      <w:r w:rsidRPr="00BC2DD4">
        <w:rPr>
          <w:szCs w:val="24"/>
        </w:rPr>
        <w:t xml:space="preserve"> </w:t>
      </w:r>
      <w:proofErr w:type="spellStart"/>
      <w:r w:rsidRPr="00BC2DD4">
        <w:rPr>
          <w:szCs w:val="24"/>
        </w:rPr>
        <w:t>Kessaciho</w:t>
      </w:r>
      <w:proofErr w:type="spellEnd"/>
      <w:r w:rsidRPr="00BC2DD4">
        <w:rPr>
          <w:szCs w:val="24"/>
        </w:rPr>
        <w:t xml:space="preserve"> je přímým útokem na svobodu projevu a tvorby a na právní stát;</w:t>
      </w:r>
    </w:p>
    <w:p w14:paraId="261349B6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3.</w:t>
      </w:r>
      <w:r w:rsidRPr="00BC2DD4">
        <w:rPr>
          <w:szCs w:val="24"/>
        </w:rPr>
        <w:tab/>
        <w:t>poukazuje na to, že činnost sdružení působících v terénu přispívá k ochraně mladých lidí, sociální soudržnosti a demokratické vitalitě a že se jim často nedostává uznání, podpory ani ochrany;</w:t>
      </w:r>
    </w:p>
    <w:p w14:paraId="4CFF9EBD" w14:textId="7777777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4.</w:t>
      </w:r>
      <w:r w:rsidRPr="00BC2DD4">
        <w:rPr>
          <w:szCs w:val="24"/>
        </w:rPr>
        <w:tab/>
        <w:t>zdůrazňuje, že boj proti obchodu s drogami a organizované trestné činnosti je pro celou Evropskou unii velkou výzvou z hlediska bezpečnosti, veřejného zdraví, sociální spravedlnosti a dodržování zásad právního státu;</w:t>
      </w:r>
    </w:p>
    <w:p w14:paraId="0579876A" w14:textId="77777777" w:rsidR="00F558CA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5.</w:t>
      </w:r>
      <w:r w:rsidRPr="00BC2DD4">
        <w:rPr>
          <w:szCs w:val="24"/>
        </w:rPr>
        <w:tab/>
        <w:t>vítá přijetí nové Strategie Evropské unie pro oblast drog a jejího akčního plánu a znovu potvrzuje svou podporu vyváženému přístupu založenému na snížení poptávky, soudní a policejní spolupráci, spolupráci se třetími zeměmi a prevenci, zejména na internetu; poukazuje na to, že předchozí plány nestačily k zastavení obchodu s drogami, ale že je odpovědností všech, aby se této výzvě postavili;</w:t>
      </w:r>
    </w:p>
    <w:p w14:paraId="562B747E" w14:textId="1B08DE77" w:rsidR="009D3B94" w:rsidRPr="009D3B94" w:rsidRDefault="00AD68D6" w:rsidP="00BC2DD4">
      <w:pPr>
        <w:pStyle w:val="NormalHanging12a"/>
        <w:rPr>
          <w:bCs/>
          <w:iCs/>
          <w:szCs w:val="24"/>
        </w:rPr>
      </w:pPr>
      <w:r>
        <w:rPr>
          <w:bCs/>
          <w:iCs/>
        </w:rPr>
        <w:lastRenderedPageBreak/>
        <w:t>6</w:t>
      </w:r>
      <w:r w:rsidR="009D3B94" w:rsidRPr="00FD2D5A">
        <w:rPr>
          <w:bCs/>
          <w:iCs/>
        </w:rPr>
        <w:t>.</w:t>
      </w:r>
      <w:r w:rsidR="009D3B94" w:rsidRPr="00FD2D5A">
        <w:rPr>
          <w:bCs/>
          <w:iCs/>
        </w:rPr>
        <w:tab/>
        <w:t>připomíná, že nová protidrogová strategie obsahuje výzvu, aby členské státy přijaly politiku nulové tolerance k řízení pod vlivem psychotropních látek v souladu se směrnicí 2006/126/ES o řidičských průkazech</w:t>
      </w:r>
      <w:r w:rsidR="009D3B94" w:rsidRPr="00FD2D5A">
        <w:rPr>
          <w:rStyle w:val="FootnoteReference"/>
          <w:bCs/>
          <w:iCs/>
        </w:rPr>
        <w:footnoteReference w:id="6"/>
      </w:r>
      <w:r w:rsidR="009D3B94" w:rsidRPr="00FD2D5A">
        <w:rPr>
          <w:bCs/>
          <w:iCs/>
        </w:rPr>
        <w:t xml:space="preserve"> a aby k prosazování těchto pravidel plně využívaly přeshraničních nástrojů, které jsou k dispozici;</w:t>
      </w:r>
    </w:p>
    <w:p w14:paraId="224C9D50" w14:textId="40457267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7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plně podporuje pilíř Strategie EU pro oblast drog zaměřený na veřejné zdraví a prevenci, včetně včasné prevence, snižování škod, přístupu k péči, léčby závislostí a opětovného začlenění do společnosti; poukazuje na to, že drogy stále více ovlivňují celou společnost a činí ji na nich závislou, a vyzývá k široké mobilizaci s cílem zajistit duševní zdraví Evropanů a Evropanek;</w:t>
      </w:r>
    </w:p>
    <w:p w14:paraId="703BDB8E" w14:textId="4342A0AD" w:rsidR="00F558CA" w:rsidRPr="00BC2DD4" w:rsidRDefault="00AD68D6" w:rsidP="005C62AA">
      <w:pPr>
        <w:pStyle w:val="NormalHanging12a"/>
        <w:rPr>
          <w:szCs w:val="24"/>
        </w:rPr>
      </w:pPr>
      <w:r>
        <w:rPr>
          <w:szCs w:val="24"/>
        </w:rPr>
        <w:t>8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 podporuje návrh Komise na posílení bezpečnosti v boji proti obchodu s drogami, včetně plánovaného hodnocení stávajícího rámcového rozhodnutí o obchodu s drogami v roce 2026 a modernizace pravidel týkajících se organizovaného zločinu; podporuje klíčová opatření, jako je posílení spolupráce mezi veřejným a soukromým sektorem s cílem zlepšit odhalování drog pašovaných prostřednictvím poštovních a balíkových služeb a vypracování nové evropské strategie pro přístavy, jejímž cílem je zvýšit bezpečnost a odolnost přístavů a dodavatelských řetězců vůči obchodu s drogami;</w:t>
      </w:r>
    </w:p>
    <w:p w14:paraId="4362BA17" w14:textId="6E1ADCB8" w:rsidR="00F558CA" w:rsidRPr="00BC2DD4" w:rsidRDefault="00AD68D6" w:rsidP="005C62AA">
      <w:pPr>
        <w:pStyle w:val="NormalHanging12a"/>
        <w:rPr>
          <w:szCs w:val="24"/>
        </w:rPr>
      </w:pPr>
      <w:r>
        <w:rPr>
          <w:szCs w:val="24"/>
        </w:rPr>
        <w:t>9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vítá odhodlání policie, ozbrojených sil, celních orgánů a soudců v celé Evropské unii v boji proti obchodu s drogami; uznává jejich zásadní přínos k ochraně veřejné bezpečnosti a vyzývá k přiměřenému a vhodnému posílení zdrojů, které mají policejní a soudní orgány k dispozici, aby mohly čelit této rostoucí nadnárodní hrozbě;</w:t>
      </w:r>
    </w:p>
    <w:p w14:paraId="3D89E696" w14:textId="179270D0" w:rsidR="00F558CA" w:rsidRPr="00BC2DD4" w:rsidRDefault="00AD68D6" w:rsidP="00FD2D5A">
      <w:pPr>
        <w:spacing w:after="240"/>
        <w:ind w:left="567" w:hanging="567"/>
        <w:rPr>
          <w:szCs w:val="24"/>
        </w:rPr>
      </w:pPr>
      <w:r>
        <w:rPr>
          <w:szCs w:val="24"/>
        </w:rPr>
        <w:t>10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vyzývá k posílení </w:t>
      </w:r>
      <w:r w:rsidR="009D3B94" w:rsidRPr="00FD2D5A">
        <w:rPr>
          <w:bCs/>
          <w:iCs/>
        </w:rPr>
        <w:t xml:space="preserve">lidských, materiálních a technologických zdrojů určených na kontroly na vnějších hranicích v boji proti obchodování se zbraněmi, lidmi a drogami a </w:t>
      </w:r>
      <w:r w:rsidR="00F558CA" w:rsidRPr="009D3B94">
        <w:rPr>
          <w:bCs/>
          <w:iCs/>
          <w:szCs w:val="24"/>
        </w:rPr>
        <w:t>společných přeshraničních</w:t>
      </w:r>
      <w:r w:rsidR="00F558CA" w:rsidRPr="00BC2DD4">
        <w:rPr>
          <w:szCs w:val="24"/>
        </w:rPr>
        <w:t xml:space="preserve"> policejních operací, zejména v kritických místech, jako jsou Marseille, </w:t>
      </w:r>
      <w:proofErr w:type="spellStart"/>
      <w:r w:rsidR="00F558CA" w:rsidRPr="00BC2DD4">
        <w:rPr>
          <w:szCs w:val="24"/>
        </w:rPr>
        <w:t>Le</w:t>
      </w:r>
      <w:proofErr w:type="spellEnd"/>
      <w:r w:rsidR="00F558CA" w:rsidRPr="00BC2DD4">
        <w:rPr>
          <w:szCs w:val="24"/>
        </w:rPr>
        <w:t xml:space="preserve"> </w:t>
      </w:r>
      <w:proofErr w:type="spellStart"/>
      <w:r w:rsidR="00F558CA" w:rsidRPr="00BC2DD4">
        <w:rPr>
          <w:szCs w:val="24"/>
        </w:rPr>
        <w:t>Havre</w:t>
      </w:r>
      <w:proofErr w:type="spellEnd"/>
      <w:r w:rsidR="00F558CA" w:rsidRPr="00BC2DD4">
        <w:rPr>
          <w:szCs w:val="24"/>
        </w:rPr>
        <w:t>, Antverpy, Rotterdam a Hamburk, v úzké koordinaci s </w:t>
      </w:r>
      <w:r w:rsidR="005C62AA" w:rsidRPr="00FD2D5A">
        <w:rPr>
          <w:bCs/>
          <w:iCs/>
        </w:rPr>
        <w:t xml:space="preserve">Evropskou agenturou pro pohraniční a pobřežní stráž, </w:t>
      </w:r>
      <w:r w:rsidR="00F558CA" w:rsidRPr="005C62AA">
        <w:rPr>
          <w:bCs/>
          <w:iCs/>
          <w:szCs w:val="24"/>
        </w:rPr>
        <w:t xml:space="preserve">Europolem, </w:t>
      </w:r>
      <w:proofErr w:type="spellStart"/>
      <w:r w:rsidR="00F558CA" w:rsidRPr="005C62AA">
        <w:rPr>
          <w:bCs/>
          <w:iCs/>
          <w:szCs w:val="24"/>
        </w:rPr>
        <w:t>Eurojustem</w:t>
      </w:r>
      <w:proofErr w:type="spellEnd"/>
      <w:r w:rsidR="00F558CA" w:rsidRPr="005C62AA">
        <w:rPr>
          <w:bCs/>
          <w:iCs/>
          <w:szCs w:val="24"/>
        </w:rPr>
        <w:t xml:space="preserve"> a agenturou EUDA, s cílem rozbít zločinecké sítě, které stojí za střelbou, vraždami a zastr</w:t>
      </w:r>
      <w:r w:rsidR="00F558CA" w:rsidRPr="00BC2DD4">
        <w:rPr>
          <w:szCs w:val="24"/>
        </w:rPr>
        <w:t>ašováním v celé Evropě;</w:t>
      </w:r>
    </w:p>
    <w:p w14:paraId="6E5FE759" w14:textId="01D1FA34" w:rsidR="00F558CA" w:rsidRPr="00BC2DD4" w:rsidRDefault="00BA5254" w:rsidP="005C62AA">
      <w:pPr>
        <w:pStyle w:val="NormalHanging12a"/>
        <w:rPr>
          <w:szCs w:val="24"/>
        </w:rPr>
      </w:pPr>
      <w:r>
        <w:rPr>
          <w:szCs w:val="24"/>
        </w:rPr>
        <w:t>1</w:t>
      </w:r>
      <w:r w:rsidR="00AD68D6">
        <w:rPr>
          <w:szCs w:val="24"/>
        </w:rPr>
        <w:t>1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zdůrazňuje, že je třeba posílit spolupráci a výměnu informací mezi celními, donucovacími, soudními a správními orgány, a vyzývá Komisi, aby zajistila nezbytný rámec na podporu tohoto úsilí při zachování základních práv a ochrany soukromí;</w:t>
      </w:r>
    </w:p>
    <w:p w14:paraId="703B3FE2" w14:textId="6F785396" w:rsidR="00F558CA" w:rsidRPr="00BC2DD4" w:rsidRDefault="00BA5254" w:rsidP="005C62AA">
      <w:pPr>
        <w:pStyle w:val="NormalHanging12a"/>
        <w:rPr>
          <w:szCs w:val="24"/>
        </w:rPr>
      </w:pPr>
      <w:r>
        <w:rPr>
          <w:szCs w:val="24"/>
        </w:rPr>
        <w:t>1</w:t>
      </w:r>
      <w:r w:rsidR="00AD68D6">
        <w:rPr>
          <w:szCs w:val="24"/>
        </w:rPr>
        <w:t>2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upozorňuje, že boj proti organizované trestné činnosti se musí zaměřit na ekonomické a finanční struktury obchodu s drogami, mimo jiné posílením mechanismů pro konfiskaci majetku pocházejícího z trestné činnosti a bojem proti daňovým rájům; vyzývá Evropskou unii a členské státy, aby plně a účinně využívaly novou směrnici (EU) 2024/1260 o vymáhání a konfiskaci majetku</w:t>
      </w:r>
      <w:r w:rsidR="00F558CA" w:rsidRPr="00BC2DD4">
        <w:rPr>
          <w:rStyle w:val="FootnoteReference"/>
          <w:szCs w:val="24"/>
        </w:rPr>
        <w:footnoteReference w:id="7"/>
      </w:r>
      <w:r w:rsidR="00F558CA" w:rsidRPr="00BC2DD4">
        <w:rPr>
          <w:szCs w:val="24"/>
        </w:rPr>
        <w:t xml:space="preserve">, a aby zavedly nezbytná opatření umožňující využití zabaveného majetku pro sociální účely, zejména jeho svěření občanským organizacím bojujícím proti územní působnosti obchodu s drogami, jako je tomu v Itálii, a také orgánům, které jsou nejvíce vystaveny násilí spojenému s obchodem s drogami, nebo soudním a celním orgánům pověřeným vyšetřováním; vyzývá Komisi a členské státy, aby zajistily, že opatření týkající se využití </w:t>
      </w:r>
      <w:r w:rsidR="00F558CA" w:rsidRPr="00BC2DD4">
        <w:rPr>
          <w:szCs w:val="24"/>
        </w:rPr>
        <w:lastRenderedPageBreak/>
        <w:t>konfiskovaného majetku ve veřejném zájmu nebo pro sociální účely budou zahrnuta do jejich vnitrostátních strategií pro vymáhání majetku;</w:t>
      </w:r>
    </w:p>
    <w:p w14:paraId="2C0EB95D" w14:textId="762B9242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1</w:t>
      </w:r>
      <w:r w:rsidR="00AD68D6">
        <w:rPr>
          <w:szCs w:val="24"/>
        </w:rPr>
        <w:t>3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zdůrazňuje, že je důležité začlenit požadavky na soudní spolupráci a transparentnost do vnějších vztahů a dohod EU se třetími zeměmi, kterými prochází cesty obchodu s drogami; zdůrazňuje, že spolupráce s některými z těchto států je plodná, zatímco jiné odmítají s evropskými orgány plně spolupracovat;</w:t>
      </w:r>
    </w:p>
    <w:p w14:paraId="4BE9ECCA" w14:textId="0096ECFC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1</w:t>
      </w:r>
      <w:r w:rsidR="00AD68D6">
        <w:rPr>
          <w:szCs w:val="24"/>
        </w:rPr>
        <w:t>4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vítá úspěšné uzavření dohod mezi </w:t>
      </w:r>
      <w:proofErr w:type="spellStart"/>
      <w:r w:rsidR="00F558CA" w:rsidRPr="00BC2DD4">
        <w:rPr>
          <w:szCs w:val="24"/>
        </w:rPr>
        <w:t>Eurojustem</w:t>
      </w:r>
      <w:proofErr w:type="spellEnd"/>
      <w:r w:rsidR="00F558CA" w:rsidRPr="00BC2DD4">
        <w:rPr>
          <w:szCs w:val="24"/>
        </w:rPr>
        <w:t>, Europolem a Arménií, Bosnou a Hercegovinou a Libanonem;</w:t>
      </w:r>
    </w:p>
    <w:p w14:paraId="682DF093" w14:textId="390E2E8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1</w:t>
      </w:r>
      <w:r w:rsidR="00AD68D6">
        <w:rPr>
          <w:szCs w:val="24"/>
        </w:rPr>
        <w:t>5</w:t>
      </w:r>
      <w:r w:rsidRPr="00BC2DD4">
        <w:rPr>
          <w:szCs w:val="24"/>
        </w:rPr>
        <w:t>.</w:t>
      </w:r>
      <w:r w:rsidRPr="00BC2DD4">
        <w:rPr>
          <w:szCs w:val="24"/>
        </w:rPr>
        <w:tab/>
        <w:t>zdůrazňuje, že je důležité důkladně prozkoumat metody používané zločineckými organizacemi a jejich rychlý vývoj, aby bylo možné vypracovat nejvhodnější soudní postupy; vyzývá zejména k vypracování společného přístupu k boji proti organizovanému zločinu, ke zvážení zavedení statusu kajícníka, k ochraně nezletilých osob zapojených do zločineckých sítí a k propojení boje proti obchodu s drogami s ustanoveními o praní peněz a korupci, vydírání, obchodu s lidmi, trestné činnosti proti životnímu prostředí a obchodu se zbraněmi; požaduje, aby Úřad evropského veřejného žalobce získal větší úlohu v boji proti organizované trestné činnosti;</w:t>
      </w:r>
    </w:p>
    <w:p w14:paraId="45732685" w14:textId="701BC69C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1</w:t>
      </w:r>
      <w:r w:rsidR="00AD68D6">
        <w:rPr>
          <w:szCs w:val="24"/>
        </w:rPr>
        <w:t>6</w:t>
      </w:r>
      <w:r w:rsidRPr="00BC2DD4">
        <w:rPr>
          <w:szCs w:val="24"/>
        </w:rPr>
        <w:t>.</w:t>
      </w:r>
      <w:r w:rsidRPr="00BC2DD4">
        <w:rPr>
          <w:szCs w:val="24"/>
        </w:rPr>
        <w:tab/>
        <w:t>zavazuje se, že Parlament bude podrobněji a důkladněji sledovat obchod s drogami a boj proti přeshraniční organizované trestné činnosti související s drogami;</w:t>
      </w:r>
    </w:p>
    <w:p w14:paraId="6D99A477" w14:textId="749F449B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1</w:t>
      </w:r>
      <w:r w:rsidR="00AD68D6">
        <w:rPr>
          <w:szCs w:val="24"/>
        </w:rPr>
        <w:t>7</w:t>
      </w:r>
      <w:r w:rsidRPr="00BC2DD4">
        <w:rPr>
          <w:szCs w:val="24"/>
        </w:rPr>
        <w:t>.</w:t>
      </w:r>
      <w:r w:rsidRPr="00BC2DD4">
        <w:rPr>
          <w:szCs w:val="24"/>
        </w:rPr>
        <w:tab/>
        <w:t>vyzývá k posílení lidských zdrojů přidělených místní policii a specializovaným policejním složkám, jakož i soudům specializovaným na boj proti obchodu s drogami, včetně soudů zabývajících se bojem proti praní peněz;</w:t>
      </w:r>
    </w:p>
    <w:p w14:paraId="3A475581" w14:textId="1D17EAEB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1</w:t>
      </w:r>
      <w:r w:rsidR="00AD68D6">
        <w:rPr>
          <w:szCs w:val="24"/>
        </w:rPr>
        <w:t>8</w:t>
      </w:r>
      <w:r w:rsidRPr="00BC2DD4">
        <w:rPr>
          <w:szCs w:val="24"/>
        </w:rPr>
        <w:t>.</w:t>
      </w:r>
      <w:r w:rsidRPr="00BC2DD4">
        <w:rPr>
          <w:szCs w:val="24"/>
        </w:rPr>
        <w:tab/>
        <w:t>podporuje spolupráci mezi orgány EU, vnitrostátními orgány a členskými státy v policejní, soudní a správní oblasti;</w:t>
      </w:r>
    </w:p>
    <w:p w14:paraId="5DA7FB78" w14:textId="399BEF8C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1</w:t>
      </w:r>
      <w:r w:rsidR="00AD68D6">
        <w:rPr>
          <w:szCs w:val="24"/>
        </w:rPr>
        <w:t>9</w:t>
      </w:r>
      <w:r w:rsidRPr="00BC2DD4">
        <w:rPr>
          <w:szCs w:val="24"/>
        </w:rPr>
        <w:t>.</w:t>
      </w:r>
      <w:r w:rsidRPr="00BC2DD4">
        <w:rPr>
          <w:szCs w:val="24"/>
        </w:rPr>
        <w:tab/>
        <w:t>vyzývá k tomu, aby se boj proti obchodu s drogami stal pilířem evropské strategie týkající se přístavů, aby aliance přístavů zahrnovala jak námořní, tak říční přístavy a aby byla zavedena opatření pro odbornou přípravu, prevenci a ochranu přístavního personálu; vyzývá k poskytování podpory a pomoci pro přístavní dělníky a rybáře, kteří čelí nátlaku, výhrůžkám a vydírání ze strany sítí obchodníků s drogami; zdůrazňuje význam sdílení informací o záchytech drog, prekurzorů a základních chemických látek, jakož i využívání sledovacích technologií zaměřených na strategické infrastruktury;</w:t>
      </w:r>
    </w:p>
    <w:p w14:paraId="106720FC" w14:textId="23EB9C52" w:rsidR="00F558CA" w:rsidRDefault="00AD68D6" w:rsidP="00BC2DD4">
      <w:pPr>
        <w:pStyle w:val="NormalHanging12a"/>
        <w:rPr>
          <w:szCs w:val="24"/>
        </w:rPr>
      </w:pPr>
      <w:r>
        <w:rPr>
          <w:szCs w:val="24"/>
        </w:rPr>
        <w:t>20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požaduje, aby se boj proti obchodu s drogami stal prioritou Celního úřadu EU a aby byly celní orgány vybaveny stejnými nástroji jako pracovníci přístavů;</w:t>
      </w:r>
    </w:p>
    <w:p w14:paraId="2925FBC4" w14:textId="18412FF4" w:rsidR="005C62AA" w:rsidRPr="005C62AA" w:rsidRDefault="00AD68D6" w:rsidP="00BC2DD4">
      <w:pPr>
        <w:pStyle w:val="NormalHanging12a"/>
        <w:rPr>
          <w:bCs/>
          <w:iCs/>
          <w:szCs w:val="24"/>
        </w:rPr>
      </w:pPr>
      <w:r>
        <w:rPr>
          <w:bCs/>
          <w:iCs/>
        </w:rPr>
        <w:t>2</w:t>
      </w:r>
      <w:r w:rsidR="005C62AA" w:rsidRPr="00FD2D5A">
        <w:rPr>
          <w:bCs/>
          <w:iCs/>
        </w:rPr>
        <w:t>1.</w:t>
      </w:r>
      <w:r w:rsidR="005C62AA" w:rsidRPr="00FD2D5A">
        <w:rPr>
          <w:bCs/>
          <w:iCs/>
        </w:rPr>
        <w:tab/>
        <w:t xml:space="preserve">zdůrazňuje, že nadcházející evropské iniciativy, jako je Evropská aliance přístavů, stejně jako reformy Europolu, </w:t>
      </w:r>
      <w:proofErr w:type="spellStart"/>
      <w:r w:rsidR="005C62AA" w:rsidRPr="00FD2D5A">
        <w:rPr>
          <w:bCs/>
          <w:iCs/>
        </w:rPr>
        <w:t>Eurojustu</w:t>
      </w:r>
      <w:proofErr w:type="spellEnd"/>
      <w:r w:rsidR="005C62AA" w:rsidRPr="00FD2D5A">
        <w:rPr>
          <w:bCs/>
          <w:iCs/>
        </w:rPr>
        <w:t xml:space="preserve"> a Úřadu evropského veřejného žalobce by měly přispět k posílení integrity, transparentnosti a odolnosti evropských přístavů, mimo jiné zlepšením ochrany pracovníků v první linii před riziky zastrašování a korupce;</w:t>
      </w:r>
    </w:p>
    <w:p w14:paraId="5F6916B9" w14:textId="20D8AB24" w:rsidR="00F558CA" w:rsidRPr="00BC2DD4" w:rsidRDefault="00BA5254" w:rsidP="00BC2DD4">
      <w:pPr>
        <w:pStyle w:val="NormalHanging12a"/>
        <w:rPr>
          <w:szCs w:val="24"/>
        </w:rPr>
      </w:pPr>
      <w:r w:rsidRPr="005C62AA">
        <w:rPr>
          <w:bCs/>
          <w:iCs/>
          <w:szCs w:val="24"/>
        </w:rPr>
        <w:t>2</w:t>
      </w:r>
      <w:r w:rsidR="00AD68D6">
        <w:rPr>
          <w:bCs/>
          <w:iCs/>
          <w:szCs w:val="24"/>
        </w:rPr>
        <w:t>2</w:t>
      </w:r>
      <w:r w:rsidR="00F558CA" w:rsidRPr="005C62AA">
        <w:rPr>
          <w:bCs/>
          <w:iCs/>
          <w:szCs w:val="24"/>
        </w:rPr>
        <w:t>.</w:t>
      </w:r>
      <w:r w:rsidR="00F558CA" w:rsidRPr="005C62AA">
        <w:rPr>
          <w:bCs/>
          <w:iCs/>
          <w:szCs w:val="24"/>
        </w:rPr>
        <w:tab/>
        <w:t>zdůrazňuje zásadní úlohu</w:t>
      </w:r>
      <w:r w:rsidR="00F558CA" w:rsidRPr="00BC2DD4">
        <w:rPr>
          <w:szCs w:val="24"/>
        </w:rPr>
        <w:t xml:space="preserve"> prevence, a to i na sociálních sítích a digitálních platformách, a vyzývá k účinnému uplatňování stávajících evropských předpisů, zejména nařízení o digitálních službách, s cílem zabránit náboru na internetu, podněcování k násilí a organizování trestné činnosti a posoudit potřeby jejich rozvoje; vyzývá členské státy, aby do svých preventivních politik zahrnuly jasnou komunikaci, která by uživatelům </w:t>
      </w:r>
      <w:r w:rsidR="00F558CA" w:rsidRPr="00BC2DD4">
        <w:rPr>
          <w:szCs w:val="24"/>
        </w:rPr>
        <w:lastRenderedPageBreak/>
        <w:t>pomohla pochopit, že přispívají k násilnému jednání destruktivních zločineckých sítí;</w:t>
      </w:r>
    </w:p>
    <w:p w14:paraId="5D99935E" w14:textId="5567F153" w:rsidR="00F558CA" w:rsidRPr="00BC2DD4" w:rsidRDefault="00BA5254" w:rsidP="00BC2DD4">
      <w:pPr>
        <w:pStyle w:val="NormalHanging12a"/>
        <w:rPr>
          <w:szCs w:val="24"/>
        </w:rPr>
      </w:pPr>
      <w:bookmarkStart w:id="7" w:name="_heading=h.wu2hczxpxd"/>
      <w:bookmarkEnd w:id="7"/>
      <w:r>
        <w:rPr>
          <w:szCs w:val="24"/>
        </w:rPr>
        <w:t>2</w:t>
      </w:r>
      <w:r w:rsidR="00AD68D6">
        <w:rPr>
          <w:szCs w:val="24"/>
        </w:rPr>
        <w:t>3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zdůrazňuje, že do protidrogové politiky je třeba plně začlenit ochranu nezletilých osob před náborem ze strany zločineckých sítí, a to v souladu s nařízením o digitálních službách a s usnesením Evropského parlamentu o ochraně nezletilých osob na internetu (2025/2060(INI)), zejména prostřednictvím spolupráce s digitálními platformami, cílené prevence a včasného odhalování;</w:t>
      </w:r>
    </w:p>
    <w:p w14:paraId="67B76705" w14:textId="44257EFF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2</w:t>
      </w:r>
      <w:r w:rsidR="00AD68D6">
        <w:rPr>
          <w:szCs w:val="24"/>
        </w:rPr>
        <w:t>4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zdůrazňuje, že vedle bezpečnostního a represivního přístupu je rozhodující význam strukturálních opatření zaměřených na sociální, ekonomické a územní faktory, které podporují dlouhodobé zakořenění této trestné činnosti, zejména v chudých městských čtvrtích; v této souvislosti zdůrazňuje zásadní úlohu rozpočtových nástrojů EU, zejména Evropského fondu pro regionální rozvoj (EFRR), Fondu soudržnosti a Evropského sociálního fondu plus (ESF+), při podpoře dlouhodobých investic do přístupu k zaměstnání, obnovy měst, místních veřejných služeb, vzdělávání, prevence a sociální soudržnosti, čímž přispívají k posílení odolnosti těchto území vůči nelegální ekonomice a odolnosti komunit vůči zločineckým organizacím;</w:t>
      </w:r>
    </w:p>
    <w:p w14:paraId="01F81DE9" w14:textId="6D85E383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2</w:t>
      </w:r>
      <w:r w:rsidR="00AD68D6">
        <w:rPr>
          <w:szCs w:val="24"/>
        </w:rPr>
        <w:t>5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vyjadřuje vážné obavy ohledně hlavních směrů, které Evropská komise zvažuje pro víceletý finanční rámec na období 2028–2034, zejména pokud jde o riziko větší opětovné nacionalizace politiky soudržnosti, sloučení fondů soudržnosti s jinými nástroji a soustředění finančních prostředků výhradně na nejméně rozvinuté regiony; varuje, že tento vývoj by mohl vést ke škodlivému soupeření mezi prioritami a územími na úkor investic potřebných v městských oblastech potýkajících se s obtížemi, které se nacházejí ve středně nebo více rozvinutých regionech, a to i přesto, že jsou tyto čtvrti často velmi sociálně zranitelné a jsou velmi ohroženy obchodem s drogami;</w:t>
      </w:r>
    </w:p>
    <w:p w14:paraId="26A0271F" w14:textId="4476017D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2</w:t>
      </w:r>
      <w:r w:rsidR="00AD68D6">
        <w:rPr>
          <w:szCs w:val="24"/>
        </w:rPr>
        <w:t>6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zdůrazňuje, že nová agenda EU pro města, kterou nedávno přijala Komise, přinese konkrétní výsledky pouze tehdy, bude-li plně začleněna do budoucích vnitrostátních a regionálních programů partnerství; v této souvislosti požaduje, aby tyto plány zahrnovaly konkrétní, identifikovatelná opatření s dostatečnými prostředky na veřejné investice do chudých čtvrtí, aby se zabránilo jejich dlouhodobé marginalizaci a jejich ovládnutí zločineckými sítěmi; trvá na tom, že je třeba zaručit integrovaný a inkluzivní přístup k soudržnosti založený na místních podmínkách, který je nezbytný, nemá-li být žádné území opomenuto a má-li být trvale posílena bezpečnost, sociální spravedlnost a soudržnost v rámci Evropské unie;</w:t>
      </w:r>
    </w:p>
    <w:p w14:paraId="6909A1EF" w14:textId="7E23FDA3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2</w:t>
      </w:r>
      <w:r w:rsidR="00AD68D6">
        <w:rPr>
          <w:szCs w:val="24"/>
        </w:rPr>
        <w:t>7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poukazuje na to, že úspěch italské strategie boje proti mafii byl do značné míry výsledkem mobilizace občanské společnosti; vyzývá proto k plnému zapojení občanské společnosti, zejména místních sdružení, do boje proti organizovanému zločinu a obchodu s drogami;</w:t>
      </w:r>
    </w:p>
    <w:p w14:paraId="31963E38" w14:textId="45C63F44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2</w:t>
      </w:r>
      <w:r w:rsidR="00AD68D6">
        <w:rPr>
          <w:szCs w:val="24"/>
        </w:rPr>
        <w:t>8</w:t>
      </w:r>
      <w:r w:rsidRPr="00BC2DD4">
        <w:rPr>
          <w:szCs w:val="24"/>
        </w:rPr>
        <w:t>.</w:t>
      </w:r>
      <w:r w:rsidRPr="00BC2DD4">
        <w:rPr>
          <w:szCs w:val="24"/>
        </w:rPr>
        <w:tab/>
        <w:t>zdůrazňuje, že je třeba, aby se zkušenosti a hlas rodin obětí staly těžištěm vytváření, provádění a hodnocení evropských politik boje proti drogám, a uznává jejich zásadní úlohu při prevenci a podpoře ohrožených osob; vyzývá proto k jejich plnému začlenění do budoucích opatření Evropské unie a členských států v boji proti obchodu s drogami;</w:t>
      </w:r>
    </w:p>
    <w:p w14:paraId="6BDDAF80" w14:textId="6175E0A7" w:rsidR="00F558CA" w:rsidRPr="00BC2DD4" w:rsidRDefault="00F558CA" w:rsidP="00BC2DD4">
      <w:pPr>
        <w:pStyle w:val="NormalHanging12a"/>
        <w:rPr>
          <w:szCs w:val="24"/>
        </w:rPr>
      </w:pPr>
      <w:r w:rsidRPr="00BC2DD4">
        <w:rPr>
          <w:szCs w:val="24"/>
        </w:rPr>
        <w:t>2</w:t>
      </w:r>
      <w:r w:rsidR="00AD68D6">
        <w:rPr>
          <w:szCs w:val="24"/>
        </w:rPr>
        <w:t>9</w:t>
      </w:r>
      <w:r w:rsidRPr="00BC2DD4">
        <w:rPr>
          <w:szCs w:val="24"/>
        </w:rPr>
        <w:t>.</w:t>
      </w:r>
      <w:r w:rsidRPr="00BC2DD4">
        <w:rPr>
          <w:szCs w:val="24"/>
        </w:rPr>
        <w:tab/>
        <w:t>žádá, aby orgány odpovědné za řízení protidrogové strategie, výbory zúčastněných stran a členské státy strukturovaně zapojovaly zástupce obětí a dotčených rodin;</w:t>
      </w:r>
    </w:p>
    <w:p w14:paraId="32A2B471" w14:textId="463188D1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30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vyjadřuje podporu všem, kteří pracují v této oblasti, zejména </w:t>
      </w:r>
      <w:r w:rsidR="005C62AA" w:rsidRPr="00FD2D5A">
        <w:rPr>
          <w:bCs/>
          <w:iCs/>
        </w:rPr>
        <w:t xml:space="preserve">příslušníkům </w:t>
      </w:r>
      <w:r w:rsidR="005C62AA" w:rsidRPr="00FD2D5A">
        <w:rPr>
          <w:bCs/>
          <w:iCs/>
        </w:rPr>
        <w:lastRenderedPageBreak/>
        <w:t xml:space="preserve">donucovacích orgánů, </w:t>
      </w:r>
      <w:r w:rsidR="00F558CA" w:rsidRPr="005C62AA">
        <w:rPr>
          <w:bCs/>
          <w:iCs/>
          <w:szCs w:val="24"/>
        </w:rPr>
        <w:t>sdružením, pedagogům, sociálním pracovníkům</w:t>
      </w:r>
      <w:r w:rsidR="00F558CA" w:rsidRPr="00BC2DD4">
        <w:rPr>
          <w:szCs w:val="24"/>
        </w:rPr>
        <w:t xml:space="preserve"> a místním orgánům; zdůrazňuje význam odpovídající finanční podpory těchto iniciativ ze strany EU a upřesňuje, že v této souvislosti by mohly být využity jak prostředky určené na sociální opatření, tak prostředky uvedené v návrhu nařízení, kterým se zavádí podpora Unie pro vnitřní bezpečnost na období 2028–2034 (COM(2025)0542);</w:t>
      </w:r>
    </w:p>
    <w:p w14:paraId="26F11F1B" w14:textId="2EFD8DB7" w:rsidR="00F558CA" w:rsidRPr="00BC2DD4" w:rsidRDefault="00AD68D6" w:rsidP="00BC2DD4">
      <w:pPr>
        <w:pStyle w:val="NormalHanging12a"/>
        <w:rPr>
          <w:szCs w:val="24"/>
        </w:rPr>
      </w:pPr>
      <w:r>
        <w:rPr>
          <w:szCs w:val="24"/>
        </w:rPr>
        <w:t>31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vyzývá Komisi a členské státy, aby rozvíjely evropskou koordinaci osvědčených postupů v oblasti ochrany obětí a svědků s ohledem na často nejistou sociální a ekonomickou situaci dotčených rodin;</w:t>
      </w:r>
    </w:p>
    <w:p w14:paraId="0B43104D" w14:textId="5032773A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3</w:t>
      </w:r>
      <w:r w:rsidR="00F558CA" w:rsidRPr="00BC2DD4">
        <w:rPr>
          <w:szCs w:val="24"/>
        </w:rPr>
        <w:t>2.</w:t>
      </w:r>
      <w:r w:rsidR="00F558CA" w:rsidRPr="00BC2DD4">
        <w:rPr>
          <w:szCs w:val="24"/>
        </w:rPr>
        <w:tab/>
        <w:t>vyzývá členské státy, aby zaručovaly přestěhování rodin postižených obchodem s drogami a jejich přístup k zaměstnání, aby byla zaručena jejich bezpečnost, a vyzývá Komisi, aby tento rozměr zahrnula do svého plánu v oblasti bydlení;</w:t>
      </w:r>
    </w:p>
    <w:p w14:paraId="26D50402" w14:textId="3B14CC6E" w:rsidR="00F558CA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3</w:t>
      </w:r>
      <w:r w:rsidR="00AD68D6">
        <w:rPr>
          <w:szCs w:val="24"/>
        </w:rPr>
        <w:t>3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 xml:space="preserve">vyzývá členské státy, aby podpořily ty, kteří vystupují proti organizovanému zločinu, jako je Amine </w:t>
      </w:r>
      <w:proofErr w:type="spellStart"/>
      <w:r w:rsidR="00F558CA" w:rsidRPr="00BC2DD4">
        <w:rPr>
          <w:szCs w:val="24"/>
        </w:rPr>
        <w:t>Kessaci</w:t>
      </w:r>
      <w:proofErr w:type="spellEnd"/>
      <w:r w:rsidR="00F558CA" w:rsidRPr="00BC2DD4">
        <w:rPr>
          <w:szCs w:val="24"/>
        </w:rPr>
        <w:t xml:space="preserve"> nebo Roberto </w:t>
      </w:r>
      <w:proofErr w:type="spellStart"/>
      <w:r w:rsidR="00F558CA" w:rsidRPr="00BC2DD4">
        <w:rPr>
          <w:szCs w:val="24"/>
        </w:rPr>
        <w:t>Saviano</w:t>
      </w:r>
      <w:proofErr w:type="spellEnd"/>
      <w:r w:rsidR="00F558CA" w:rsidRPr="00BC2DD4">
        <w:rPr>
          <w:szCs w:val="24"/>
        </w:rPr>
        <w:t>, a učinily z nich pilíř obrany právního státu a svobody projevu;</w:t>
      </w:r>
    </w:p>
    <w:p w14:paraId="458040C9" w14:textId="3F05F24E" w:rsidR="00E365E1" w:rsidRPr="00BC2DD4" w:rsidRDefault="00BA5254" w:rsidP="00BC2DD4">
      <w:pPr>
        <w:pStyle w:val="NormalHanging12a"/>
        <w:rPr>
          <w:szCs w:val="24"/>
        </w:rPr>
      </w:pPr>
      <w:r>
        <w:rPr>
          <w:szCs w:val="24"/>
        </w:rPr>
        <w:t>3</w:t>
      </w:r>
      <w:r w:rsidR="00AD68D6">
        <w:rPr>
          <w:szCs w:val="24"/>
        </w:rPr>
        <w:t>4</w:t>
      </w:r>
      <w:r w:rsidR="00F558CA" w:rsidRPr="00BC2DD4">
        <w:rPr>
          <w:szCs w:val="24"/>
        </w:rPr>
        <w:t>.</w:t>
      </w:r>
      <w:r w:rsidR="00F558CA" w:rsidRPr="00BC2DD4">
        <w:rPr>
          <w:szCs w:val="24"/>
        </w:rPr>
        <w:tab/>
        <w:t>pověřuje svou předsedkyni, aby předala toto usnesení Radě, Komisi, vládám a parlamentům členských států a dalším dotčeným mezinárodním orgánům a subjektům.</w:t>
      </w:r>
    </w:p>
    <w:sectPr w:rsidR="00E365E1" w:rsidRPr="00BC2DD4" w:rsidSect="007B15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FF4AB" w14:textId="77777777" w:rsidR="00DC19CE" w:rsidRPr="007B15C2" w:rsidRDefault="00DC19CE">
      <w:r w:rsidRPr="007B15C2">
        <w:separator/>
      </w:r>
    </w:p>
  </w:endnote>
  <w:endnote w:type="continuationSeparator" w:id="0">
    <w:p w14:paraId="0B876AE8" w14:textId="77777777" w:rsidR="00DC19CE" w:rsidRPr="007B15C2" w:rsidRDefault="00DC19CE">
      <w:r w:rsidRPr="007B15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24ABF" w14:textId="77777777" w:rsidR="00064002" w:rsidRPr="007B15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0C7B6" w14:textId="77777777" w:rsidR="00064002" w:rsidRPr="007B15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F24A" w14:textId="77777777" w:rsidR="00064002" w:rsidRPr="007B15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4B226" w14:textId="77777777" w:rsidR="00DC19CE" w:rsidRPr="007B15C2" w:rsidRDefault="00DC19CE">
      <w:r w:rsidRPr="007B15C2">
        <w:separator/>
      </w:r>
    </w:p>
  </w:footnote>
  <w:footnote w:type="continuationSeparator" w:id="0">
    <w:p w14:paraId="362FB3BA" w14:textId="77777777" w:rsidR="00DC19CE" w:rsidRPr="007B15C2" w:rsidRDefault="00DC19CE">
      <w:r w:rsidRPr="007B15C2">
        <w:continuationSeparator/>
      </w:r>
    </w:p>
  </w:footnote>
  <w:footnote w:id="1">
    <w:p w14:paraId="79638E17" w14:textId="0642BB06" w:rsidR="00F558CA" w:rsidRPr="007B15C2" w:rsidRDefault="00F558CA" w:rsidP="007B15C2">
      <w:pPr>
        <w:pStyle w:val="FootnoteText"/>
        <w:ind w:left="567" w:hanging="567"/>
        <w:rPr>
          <w:sz w:val="24"/>
          <w:lang w:val="cs-CZ"/>
        </w:rPr>
      </w:pPr>
      <w:r w:rsidRPr="007B15C2">
        <w:rPr>
          <w:rStyle w:val="FootnoteReference"/>
          <w:sz w:val="24"/>
          <w:lang w:val="cs-CZ"/>
        </w:rPr>
        <w:footnoteRef/>
      </w:r>
      <w:r w:rsidR="007B15C2" w:rsidRPr="007B15C2">
        <w:rPr>
          <w:sz w:val="24"/>
          <w:lang w:val="cs-CZ"/>
        </w:rPr>
        <w:t xml:space="preserve"> </w:t>
      </w:r>
      <w:r w:rsidR="007B15C2" w:rsidRPr="007B15C2">
        <w:rPr>
          <w:sz w:val="24"/>
          <w:lang w:val="cs-CZ"/>
        </w:rPr>
        <w:tab/>
      </w:r>
      <w:proofErr w:type="spellStart"/>
      <w:r w:rsidRPr="007B15C2">
        <w:rPr>
          <w:sz w:val="24"/>
          <w:lang w:val="cs-CZ"/>
        </w:rPr>
        <w:t>Úř</w:t>
      </w:r>
      <w:proofErr w:type="spellEnd"/>
      <w:r w:rsidRPr="007B15C2">
        <w:rPr>
          <w:sz w:val="24"/>
          <w:lang w:val="cs-CZ"/>
        </w:rPr>
        <w:t xml:space="preserve">. </w:t>
      </w:r>
      <w:proofErr w:type="spellStart"/>
      <w:r w:rsidRPr="007B15C2">
        <w:rPr>
          <w:sz w:val="24"/>
          <w:lang w:val="cs-CZ"/>
        </w:rPr>
        <w:t>věst</w:t>
      </w:r>
      <w:proofErr w:type="spellEnd"/>
      <w:r w:rsidRPr="007B15C2">
        <w:rPr>
          <w:sz w:val="24"/>
          <w:lang w:val="cs-CZ"/>
        </w:rPr>
        <w:t>. L 315, 14.11.2012, s. 57, ELI: </w:t>
      </w:r>
      <w:hyperlink r:id="rId1" w:tooltip="Umožňuje přístup k tomuto dokumentu prostřednictvím jeho URI v rámci ELI." w:history="1">
        <w:r w:rsidRPr="007B15C2">
          <w:rPr>
            <w:rStyle w:val="Hyperlink"/>
            <w:sz w:val="24"/>
            <w:lang w:val="cs-CZ"/>
          </w:rPr>
          <w:t>http://data.europa.eu/eli/dir/2012/29/oj</w:t>
        </w:r>
      </w:hyperlink>
      <w:r w:rsidRPr="007B15C2">
        <w:rPr>
          <w:sz w:val="24"/>
          <w:lang w:val="cs-CZ"/>
        </w:rPr>
        <w:t>.</w:t>
      </w:r>
    </w:p>
  </w:footnote>
  <w:footnote w:id="2">
    <w:p w14:paraId="7B4EEE41" w14:textId="27F85E6E" w:rsidR="00F558CA" w:rsidRPr="007B15C2" w:rsidRDefault="00F558CA" w:rsidP="007B15C2">
      <w:pPr>
        <w:pStyle w:val="FootnoteText"/>
        <w:ind w:left="567" w:hanging="567"/>
        <w:rPr>
          <w:sz w:val="24"/>
          <w:lang w:val="cs-CZ"/>
        </w:rPr>
      </w:pPr>
      <w:r w:rsidRPr="007B15C2">
        <w:rPr>
          <w:rStyle w:val="FootnoteReference"/>
          <w:sz w:val="24"/>
          <w:lang w:val="cs-CZ"/>
        </w:rPr>
        <w:footnoteRef/>
      </w:r>
      <w:r w:rsidR="007B15C2" w:rsidRPr="007B15C2">
        <w:rPr>
          <w:sz w:val="24"/>
          <w:lang w:val="cs-CZ"/>
        </w:rPr>
        <w:t xml:space="preserve"> </w:t>
      </w:r>
      <w:r w:rsidR="007B15C2" w:rsidRPr="007B15C2">
        <w:rPr>
          <w:sz w:val="24"/>
          <w:lang w:val="cs-CZ"/>
        </w:rPr>
        <w:tab/>
      </w:r>
      <w:proofErr w:type="spellStart"/>
      <w:r w:rsidRPr="007B15C2">
        <w:rPr>
          <w:sz w:val="24"/>
          <w:lang w:val="cs-CZ"/>
        </w:rPr>
        <w:t>Úř</w:t>
      </w:r>
      <w:proofErr w:type="spellEnd"/>
      <w:r w:rsidRPr="007B15C2">
        <w:rPr>
          <w:sz w:val="24"/>
          <w:lang w:val="cs-CZ"/>
        </w:rPr>
        <w:t xml:space="preserve">. </w:t>
      </w:r>
      <w:proofErr w:type="spellStart"/>
      <w:r w:rsidRPr="007B15C2">
        <w:rPr>
          <w:sz w:val="24"/>
          <w:lang w:val="cs-CZ"/>
        </w:rPr>
        <w:t>věst</w:t>
      </w:r>
      <w:proofErr w:type="spellEnd"/>
      <w:r w:rsidRPr="007B15C2">
        <w:rPr>
          <w:sz w:val="24"/>
          <w:lang w:val="cs-CZ"/>
        </w:rPr>
        <w:t>. C 65, 19.2.2016, s. 16.</w:t>
      </w:r>
    </w:p>
  </w:footnote>
  <w:footnote w:id="3">
    <w:p w14:paraId="1E173504" w14:textId="2BC033DC" w:rsidR="00F558CA" w:rsidRPr="007B15C2" w:rsidRDefault="00F558CA" w:rsidP="007B15C2">
      <w:pPr>
        <w:pStyle w:val="FootnoteText"/>
        <w:ind w:left="567" w:hanging="567"/>
        <w:rPr>
          <w:sz w:val="24"/>
          <w:lang w:val="cs-CZ"/>
        </w:rPr>
      </w:pPr>
      <w:r w:rsidRPr="007B15C2">
        <w:rPr>
          <w:rStyle w:val="FootnoteReference"/>
          <w:sz w:val="24"/>
          <w:lang w:val="cs-CZ"/>
        </w:rPr>
        <w:footnoteRef/>
      </w:r>
      <w:r w:rsidR="007B15C2" w:rsidRPr="007B15C2">
        <w:rPr>
          <w:sz w:val="24"/>
          <w:lang w:val="cs-CZ"/>
        </w:rPr>
        <w:t xml:space="preserve"> </w:t>
      </w:r>
      <w:r w:rsidR="007B15C2" w:rsidRPr="007B15C2">
        <w:rPr>
          <w:sz w:val="24"/>
          <w:lang w:val="cs-CZ"/>
        </w:rPr>
        <w:tab/>
      </w:r>
      <w:proofErr w:type="spellStart"/>
      <w:r w:rsidRPr="007B15C2">
        <w:rPr>
          <w:sz w:val="24"/>
          <w:lang w:val="cs-CZ"/>
        </w:rPr>
        <w:t>Úř</w:t>
      </w:r>
      <w:proofErr w:type="spellEnd"/>
      <w:r w:rsidRPr="007B15C2">
        <w:rPr>
          <w:sz w:val="24"/>
          <w:lang w:val="cs-CZ"/>
        </w:rPr>
        <w:t>. </w:t>
      </w:r>
      <w:proofErr w:type="spellStart"/>
      <w:r w:rsidRPr="007B15C2">
        <w:rPr>
          <w:sz w:val="24"/>
          <w:lang w:val="cs-CZ"/>
        </w:rPr>
        <w:t>věst</w:t>
      </w:r>
      <w:proofErr w:type="spellEnd"/>
      <w:r w:rsidRPr="007B15C2">
        <w:rPr>
          <w:sz w:val="24"/>
          <w:lang w:val="cs-CZ"/>
        </w:rPr>
        <w:t>. L, 2024/1624, 19.6.2024 ELI: </w:t>
      </w:r>
      <w:hyperlink r:id="rId2" w:tgtFrame="_blank" w:tooltip="Poskytuje přístup k tomuto dokumentu prostřednictvím jeho URI v rámci ELI." w:history="1">
        <w:r w:rsidRPr="007B15C2">
          <w:rPr>
            <w:rStyle w:val="Hyperlink"/>
            <w:sz w:val="24"/>
            <w:lang w:val="cs-CZ"/>
          </w:rPr>
          <w:t>http://data.europa.eu/eli/reg/2024/1624/oj</w:t>
        </w:r>
      </w:hyperlink>
      <w:r w:rsidRPr="007B15C2">
        <w:rPr>
          <w:sz w:val="24"/>
          <w:lang w:val="cs-CZ"/>
        </w:rPr>
        <w:t>.</w:t>
      </w:r>
    </w:p>
  </w:footnote>
  <w:footnote w:id="4">
    <w:p w14:paraId="7B59A89A" w14:textId="12FF928D" w:rsidR="00F558CA" w:rsidRPr="007B15C2" w:rsidRDefault="00F558CA" w:rsidP="007B15C2">
      <w:pPr>
        <w:pStyle w:val="FootnoteText"/>
        <w:ind w:left="567" w:hanging="567"/>
        <w:rPr>
          <w:sz w:val="24"/>
          <w:lang w:val="cs-CZ"/>
        </w:rPr>
      </w:pPr>
      <w:r w:rsidRPr="007B15C2">
        <w:rPr>
          <w:rStyle w:val="FootnoteReference"/>
          <w:sz w:val="24"/>
          <w:lang w:val="cs-CZ"/>
        </w:rPr>
        <w:footnoteRef/>
      </w:r>
      <w:r w:rsidR="007B15C2" w:rsidRPr="007B15C2">
        <w:rPr>
          <w:sz w:val="24"/>
          <w:lang w:val="cs-CZ"/>
        </w:rPr>
        <w:t xml:space="preserve"> </w:t>
      </w:r>
      <w:r w:rsidR="007B15C2" w:rsidRPr="007B15C2">
        <w:rPr>
          <w:sz w:val="24"/>
          <w:lang w:val="cs-CZ"/>
        </w:rPr>
        <w:tab/>
      </w:r>
      <w:proofErr w:type="spellStart"/>
      <w:r w:rsidRPr="007B15C2">
        <w:rPr>
          <w:sz w:val="24"/>
          <w:lang w:val="cs-CZ"/>
        </w:rPr>
        <w:t>Úř</w:t>
      </w:r>
      <w:proofErr w:type="spellEnd"/>
      <w:r w:rsidRPr="007B15C2">
        <w:rPr>
          <w:sz w:val="24"/>
          <w:lang w:val="cs-CZ"/>
        </w:rPr>
        <w:t>. </w:t>
      </w:r>
      <w:proofErr w:type="spellStart"/>
      <w:r w:rsidRPr="007B15C2">
        <w:rPr>
          <w:sz w:val="24"/>
          <w:lang w:val="cs-CZ"/>
        </w:rPr>
        <w:t>věst</w:t>
      </w:r>
      <w:proofErr w:type="spellEnd"/>
      <w:r w:rsidRPr="007B15C2">
        <w:rPr>
          <w:sz w:val="24"/>
          <w:lang w:val="cs-CZ"/>
        </w:rPr>
        <w:t>. L, 2024/1640, 19.6.2024 ELI: </w:t>
      </w:r>
      <w:hyperlink r:id="rId3" w:tgtFrame="_blank" w:tooltip="Poskytuje přístup k tomuto dokumentu prostřednictvím jeho URI v rámci ELI." w:history="1">
        <w:r w:rsidRPr="007B15C2">
          <w:rPr>
            <w:rStyle w:val="Hyperlink"/>
            <w:sz w:val="24"/>
            <w:lang w:val="cs-CZ"/>
          </w:rPr>
          <w:t>http://data.europa.eu/eli/dir/2024/1640/oj</w:t>
        </w:r>
      </w:hyperlink>
      <w:r w:rsidRPr="007B15C2">
        <w:rPr>
          <w:sz w:val="24"/>
          <w:lang w:val="cs-CZ"/>
        </w:rPr>
        <w:t>.</w:t>
      </w:r>
    </w:p>
  </w:footnote>
  <w:footnote w:id="5">
    <w:p w14:paraId="39A60718" w14:textId="05237645" w:rsidR="00F558CA" w:rsidRPr="007B15C2" w:rsidRDefault="00F558CA" w:rsidP="007B15C2">
      <w:pPr>
        <w:pStyle w:val="FootnoteText"/>
        <w:ind w:left="567" w:hanging="567"/>
        <w:rPr>
          <w:sz w:val="24"/>
          <w:lang w:val="cs-CZ"/>
        </w:rPr>
      </w:pPr>
      <w:r w:rsidRPr="007B15C2">
        <w:rPr>
          <w:rStyle w:val="FootnoteReference"/>
          <w:sz w:val="24"/>
          <w:lang w:val="cs-CZ"/>
        </w:rPr>
        <w:footnoteRef/>
      </w:r>
      <w:r w:rsidR="007B15C2" w:rsidRPr="007B15C2">
        <w:rPr>
          <w:sz w:val="24"/>
          <w:lang w:val="cs-CZ"/>
        </w:rPr>
        <w:t xml:space="preserve"> </w:t>
      </w:r>
      <w:r w:rsidR="007B15C2" w:rsidRPr="007B15C2">
        <w:rPr>
          <w:sz w:val="24"/>
          <w:lang w:val="cs-CZ"/>
        </w:rPr>
        <w:tab/>
      </w:r>
      <w:proofErr w:type="spellStart"/>
      <w:r w:rsidRPr="007B15C2">
        <w:rPr>
          <w:sz w:val="24"/>
          <w:lang w:val="cs-CZ"/>
        </w:rPr>
        <w:t>Úř</w:t>
      </w:r>
      <w:proofErr w:type="spellEnd"/>
      <w:r w:rsidRPr="007B15C2">
        <w:rPr>
          <w:sz w:val="24"/>
          <w:lang w:val="cs-CZ"/>
        </w:rPr>
        <w:t xml:space="preserve">. </w:t>
      </w:r>
      <w:proofErr w:type="spellStart"/>
      <w:r w:rsidRPr="007B15C2">
        <w:rPr>
          <w:sz w:val="24"/>
          <w:lang w:val="cs-CZ"/>
        </w:rPr>
        <w:t>věst</w:t>
      </w:r>
      <w:proofErr w:type="spellEnd"/>
      <w:r w:rsidRPr="007B15C2">
        <w:rPr>
          <w:sz w:val="24"/>
          <w:lang w:val="cs-CZ"/>
        </w:rPr>
        <w:t>. L, 2024/1712, 24.6.2024, ELI: </w:t>
      </w:r>
      <w:hyperlink r:id="rId4" w:tgtFrame="_blank" w:tooltip="Poskytuje přístup k tomuto dokumentu prostřednictvím jeho URI v rámci ELI." w:history="1">
        <w:r w:rsidRPr="007B15C2">
          <w:rPr>
            <w:rStyle w:val="Hyperlink"/>
            <w:sz w:val="24"/>
            <w:lang w:val="cs-CZ"/>
          </w:rPr>
          <w:t>http://data.europa.eu/eli/dir/2024/1712/oj</w:t>
        </w:r>
      </w:hyperlink>
      <w:r w:rsidRPr="007B15C2">
        <w:rPr>
          <w:sz w:val="24"/>
          <w:lang w:val="cs-CZ"/>
        </w:rPr>
        <w:t>.</w:t>
      </w:r>
    </w:p>
  </w:footnote>
  <w:footnote w:id="6">
    <w:p w14:paraId="565CC349" w14:textId="2D392A7B" w:rsidR="009D3B94" w:rsidRPr="00FD2D5A" w:rsidRDefault="009D3B94" w:rsidP="009D3B94">
      <w:pPr>
        <w:pStyle w:val="FootnoteText"/>
        <w:ind w:left="567" w:hanging="567"/>
        <w:rPr>
          <w:sz w:val="24"/>
          <w:szCs w:val="24"/>
          <w:lang w:val="cs-CZ"/>
        </w:rPr>
      </w:pPr>
      <w:r w:rsidRPr="00FD2D5A">
        <w:rPr>
          <w:rStyle w:val="FootnoteReference"/>
          <w:sz w:val="24"/>
          <w:szCs w:val="24"/>
        </w:rPr>
        <w:footnoteRef/>
      </w:r>
      <w:r w:rsidRPr="00FD2D5A">
        <w:rPr>
          <w:sz w:val="24"/>
          <w:szCs w:val="24"/>
          <w:lang w:val="cs-CZ"/>
        </w:rPr>
        <w:t xml:space="preserve"> </w:t>
      </w:r>
      <w:r w:rsidRPr="00FD2D5A">
        <w:rPr>
          <w:sz w:val="24"/>
          <w:szCs w:val="24"/>
          <w:lang w:val="cs-CZ"/>
        </w:rPr>
        <w:tab/>
        <w:t>Směrnice Evropského parlamentu a Rady 2006/126/ES ze dne 20. prosince 2006 o řidičských průkazech (</w:t>
      </w:r>
      <w:proofErr w:type="spellStart"/>
      <w:r w:rsidRPr="00FD2D5A">
        <w:rPr>
          <w:sz w:val="24"/>
          <w:szCs w:val="24"/>
          <w:lang w:val="cs-CZ"/>
        </w:rPr>
        <w:t>Úř</w:t>
      </w:r>
      <w:proofErr w:type="spellEnd"/>
      <w:r w:rsidRPr="00FD2D5A">
        <w:rPr>
          <w:sz w:val="24"/>
          <w:szCs w:val="24"/>
          <w:lang w:val="cs-CZ"/>
        </w:rPr>
        <w:t xml:space="preserve">. </w:t>
      </w:r>
      <w:proofErr w:type="spellStart"/>
      <w:r w:rsidRPr="00FD2D5A">
        <w:rPr>
          <w:sz w:val="24"/>
          <w:szCs w:val="24"/>
          <w:lang w:val="cs-CZ"/>
        </w:rPr>
        <w:t>věst</w:t>
      </w:r>
      <w:proofErr w:type="spellEnd"/>
      <w:r w:rsidRPr="00FD2D5A">
        <w:rPr>
          <w:sz w:val="24"/>
          <w:szCs w:val="24"/>
          <w:lang w:val="cs-CZ"/>
        </w:rPr>
        <w:t xml:space="preserve">. L 403, 30.12.2006, s. 18, ELI: </w:t>
      </w:r>
      <w:hyperlink r:id="rId5" w:history="1">
        <w:r w:rsidRPr="00722856">
          <w:rPr>
            <w:rStyle w:val="Hyperlink"/>
            <w:sz w:val="24"/>
            <w:szCs w:val="24"/>
            <w:lang w:val="fi-FI"/>
          </w:rPr>
          <w:t>http://data.europa.eu/eli/dir/2006/126/oj</w:t>
        </w:r>
      </w:hyperlink>
      <w:r w:rsidRPr="00FD2D5A">
        <w:rPr>
          <w:sz w:val="24"/>
          <w:szCs w:val="24"/>
          <w:lang w:val="cs-CZ"/>
        </w:rPr>
        <w:t>).</w:t>
      </w:r>
    </w:p>
  </w:footnote>
  <w:footnote w:id="7">
    <w:p w14:paraId="316AF3F8" w14:textId="253F7EDB" w:rsidR="00F558CA" w:rsidRPr="007B15C2" w:rsidRDefault="00F558CA" w:rsidP="007B15C2">
      <w:pPr>
        <w:pStyle w:val="FootnoteText"/>
        <w:ind w:left="567" w:hanging="567"/>
        <w:rPr>
          <w:sz w:val="24"/>
          <w:lang w:val="cs-CZ"/>
        </w:rPr>
      </w:pPr>
      <w:r w:rsidRPr="007B15C2">
        <w:rPr>
          <w:rStyle w:val="FootnoteReference"/>
          <w:sz w:val="24"/>
          <w:lang w:val="cs-CZ"/>
        </w:rPr>
        <w:footnoteRef/>
      </w:r>
      <w:r w:rsidR="007B15C2" w:rsidRPr="007B15C2">
        <w:rPr>
          <w:sz w:val="24"/>
          <w:lang w:val="cs-CZ"/>
        </w:rPr>
        <w:t xml:space="preserve"> </w:t>
      </w:r>
      <w:r w:rsidR="007B15C2" w:rsidRPr="007B15C2">
        <w:rPr>
          <w:sz w:val="24"/>
          <w:lang w:val="cs-CZ"/>
        </w:rPr>
        <w:tab/>
      </w:r>
      <w:proofErr w:type="spellStart"/>
      <w:r w:rsidRPr="007B15C2">
        <w:rPr>
          <w:sz w:val="24"/>
          <w:lang w:val="cs-CZ"/>
        </w:rPr>
        <w:t>Úř</w:t>
      </w:r>
      <w:proofErr w:type="spellEnd"/>
      <w:r w:rsidRPr="007B15C2">
        <w:rPr>
          <w:sz w:val="24"/>
          <w:lang w:val="cs-CZ"/>
        </w:rPr>
        <w:t xml:space="preserve">. </w:t>
      </w:r>
      <w:proofErr w:type="spellStart"/>
      <w:r w:rsidRPr="007B15C2">
        <w:rPr>
          <w:sz w:val="24"/>
          <w:lang w:val="cs-CZ"/>
        </w:rPr>
        <w:t>věst</w:t>
      </w:r>
      <w:proofErr w:type="spellEnd"/>
      <w:r w:rsidRPr="007B15C2">
        <w:rPr>
          <w:sz w:val="24"/>
          <w:lang w:val="cs-CZ"/>
        </w:rPr>
        <w:t>. L, 2024/1260, 2.5.2024, ELI: </w:t>
      </w:r>
      <w:hyperlink r:id="rId6" w:tgtFrame="_blank" w:tooltip="Poskytuje přístup k tomuto dokumentu prostřednictvím jeho URI v rámci ELI." w:history="1">
        <w:r w:rsidRPr="007B15C2">
          <w:rPr>
            <w:rStyle w:val="Hyperlink"/>
            <w:sz w:val="24"/>
            <w:lang w:val="cs-CZ"/>
          </w:rPr>
          <w:t>http://data.europa.eu/eli/dir/2024/1260/oj</w:t>
        </w:r>
      </w:hyperlink>
      <w:r w:rsidR="00BA5254" w:rsidRPr="00FD2D5A">
        <w:rPr>
          <w:rStyle w:val="Hyperlink"/>
          <w:sz w:val="24"/>
          <w:u w:val="none"/>
          <w:lang w:val="cs-CZ"/>
        </w:rPr>
        <w:t>.</w:t>
      </w:r>
      <w:r w:rsidRPr="007B15C2">
        <w:rPr>
          <w:sz w:val="24"/>
          <w:lang w:val="cs-CZ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3582C" w14:textId="77777777" w:rsidR="00064002" w:rsidRPr="007B15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79019" w14:textId="77777777" w:rsidR="00064002" w:rsidRPr="007B15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25A2" w14:textId="77777777" w:rsidR="00064002" w:rsidRPr="007B15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886975">
    <w:abstractNumId w:val="9"/>
  </w:num>
  <w:num w:numId="2" w16cid:durableId="1498694076">
    <w:abstractNumId w:val="9"/>
  </w:num>
  <w:num w:numId="3" w16cid:durableId="1690058781">
    <w:abstractNumId w:val="7"/>
  </w:num>
  <w:num w:numId="4" w16cid:durableId="170535895">
    <w:abstractNumId w:val="7"/>
  </w:num>
  <w:num w:numId="5" w16cid:durableId="1288125988">
    <w:abstractNumId w:val="6"/>
  </w:num>
  <w:num w:numId="6" w16cid:durableId="1320571697">
    <w:abstractNumId w:val="6"/>
  </w:num>
  <w:num w:numId="7" w16cid:durableId="2005471680">
    <w:abstractNumId w:val="5"/>
  </w:num>
  <w:num w:numId="8" w16cid:durableId="404913144">
    <w:abstractNumId w:val="5"/>
  </w:num>
  <w:num w:numId="9" w16cid:durableId="641278847">
    <w:abstractNumId w:val="4"/>
  </w:num>
  <w:num w:numId="10" w16cid:durableId="1961645832">
    <w:abstractNumId w:val="4"/>
  </w:num>
  <w:num w:numId="11" w16cid:durableId="1880968477">
    <w:abstractNumId w:val="8"/>
  </w:num>
  <w:num w:numId="12" w16cid:durableId="387919607">
    <w:abstractNumId w:val="8"/>
  </w:num>
  <w:num w:numId="13" w16cid:durableId="919559168">
    <w:abstractNumId w:val="3"/>
  </w:num>
  <w:num w:numId="14" w16cid:durableId="1808160308">
    <w:abstractNumId w:val="3"/>
  </w:num>
  <w:num w:numId="15" w16cid:durableId="66079769">
    <w:abstractNumId w:val="2"/>
  </w:num>
  <w:num w:numId="16" w16cid:durableId="1751928222">
    <w:abstractNumId w:val="2"/>
  </w:num>
  <w:num w:numId="17" w16cid:durableId="424613294">
    <w:abstractNumId w:val="1"/>
  </w:num>
  <w:num w:numId="18" w16cid:durableId="1715084335">
    <w:abstractNumId w:val="1"/>
  </w:num>
  <w:num w:numId="19" w16cid:durableId="1976256647">
    <w:abstractNumId w:val="0"/>
  </w:num>
  <w:num w:numId="20" w16cid:durableId="1316715203">
    <w:abstractNumId w:val="0"/>
  </w:num>
  <w:num w:numId="21" w16cid:durableId="1299069864">
    <w:abstractNumId w:val="9"/>
  </w:num>
  <w:num w:numId="22" w16cid:durableId="1425420317">
    <w:abstractNumId w:val="7"/>
  </w:num>
  <w:num w:numId="23" w16cid:durableId="1363897458">
    <w:abstractNumId w:val="6"/>
  </w:num>
  <w:num w:numId="24" w16cid:durableId="631595025">
    <w:abstractNumId w:val="5"/>
  </w:num>
  <w:num w:numId="25" w16cid:durableId="1850100282">
    <w:abstractNumId w:val="4"/>
  </w:num>
  <w:num w:numId="26" w16cid:durableId="445394055">
    <w:abstractNumId w:val="8"/>
  </w:num>
  <w:num w:numId="27" w16cid:durableId="1231430243">
    <w:abstractNumId w:val="3"/>
  </w:num>
  <w:num w:numId="28" w16cid:durableId="1580748134">
    <w:abstractNumId w:val="2"/>
  </w:num>
  <w:num w:numId="29" w16cid:durableId="1099523948">
    <w:abstractNumId w:val="1"/>
  </w:num>
  <w:num w:numId="30" w16cid:durableId="1025986735">
    <w:abstractNumId w:val="0"/>
  </w:num>
  <w:num w:numId="31" w16cid:durableId="1287396906">
    <w:abstractNumId w:val="9"/>
  </w:num>
  <w:num w:numId="32" w16cid:durableId="214899625">
    <w:abstractNumId w:val="7"/>
  </w:num>
  <w:num w:numId="33" w16cid:durableId="421028481">
    <w:abstractNumId w:val="6"/>
  </w:num>
  <w:num w:numId="34" w16cid:durableId="255477148">
    <w:abstractNumId w:val="5"/>
  </w:num>
  <w:num w:numId="35" w16cid:durableId="150799632">
    <w:abstractNumId w:val="4"/>
  </w:num>
  <w:num w:numId="36" w16cid:durableId="1499733805">
    <w:abstractNumId w:val="8"/>
  </w:num>
  <w:num w:numId="37" w16cid:durableId="1241139840">
    <w:abstractNumId w:val="3"/>
  </w:num>
  <w:num w:numId="38" w16cid:durableId="624120458">
    <w:abstractNumId w:val="2"/>
  </w:num>
  <w:num w:numId="39" w16cid:durableId="1367682536">
    <w:abstractNumId w:val="1"/>
  </w:num>
  <w:num w:numId="40" w16cid:durableId="1102653192">
    <w:abstractNumId w:val="0"/>
  </w:num>
  <w:num w:numId="41" w16cid:durableId="80107387">
    <w:abstractNumId w:val="10"/>
  </w:num>
  <w:num w:numId="42" w16cid:durableId="975452066">
    <w:abstractNumId w:val="10"/>
  </w:num>
  <w:num w:numId="43" w16cid:durableId="577325407">
    <w:abstractNumId w:val="10"/>
  </w:num>
  <w:num w:numId="44" w16cid:durableId="1320425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57/2026"/>
    <w:docVar w:name="dvlangue" w:val="CS"/>
    <w:docVar w:name="dvnumam" w:val="0"/>
    <w:docVar w:name="dvpe" w:val="782.012"/>
    <w:docVar w:name="dvtitre" w:val="Usnesení Evropského parlamentu ze dne 20. ledna 2026 o vraždě Mehdiho Kessaciho: naléhavá potřeba přijmout ambiciózní evropská opatření proti obchodu s drogami(2025/3020(RSP))"/>
  </w:docVars>
  <w:rsids>
    <w:rsidRoot w:val="00DC19CE"/>
    <w:rsid w:val="00002272"/>
    <w:rsid w:val="000324ED"/>
    <w:rsid w:val="00064002"/>
    <w:rsid w:val="000677B9"/>
    <w:rsid w:val="000831BA"/>
    <w:rsid w:val="000A42CC"/>
    <w:rsid w:val="000E7DD9"/>
    <w:rsid w:val="0010095E"/>
    <w:rsid w:val="00125B37"/>
    <w:rsid w:val="00187494"/>
    <w:rsid w:val="001A055D"/>
    <w:rsid w:val="001F32AE"/>
    <w:rsid w:val="002156CA"/>
    <w:rsid w:val="002767FF"/>
    <w:rsid w:val="002B18FE"/>
    <w:rsid w:val="002B5493"/>
    <w:rsid w:val="002C6E88"/>
    <w:rsid w:val="00307F1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CF6"/>
    <w:rsid w:val="004C0004"/>
    <w:rsid w:val="004C5D52"/>
    <w:rsid w:val="0050519A"/>
    <w:rsid w:val="005072A1"/>
    <w:rsid w:val="00514517"/>
    <w:rsid w:val="00545827"/>
    <w:rsid w:val="00560270"/>
    <w:rsid w:val="005C2568"/>
    <w:rsid w:val="005C62AA"/>
    <w:rsid w:val="005F1B17"/>
    <w:rsid w:val="006037C0"/>
    <w:rsid w:val="006631B6"/>
    <w:rsid w:val="00680577"/>
    <w:rsid w:val="006F74FA"/>
    <w:rsid w:val="00722856"/>
    <w:rsid w:val="00731ADD"/>
    <w:rsid w:val="00734777"/>
    <w:rsid w:val="00747932"/>
    <w:rsid w:val="00751A4A"/>
    <w:rsid w:val="00756632"/>
    <w:rsid w:val="00762C74"/>
    <w:rsid w:val="00786EC0"/>
    <w:rsid w:val="007B15C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00DA"/>
    <w:rsid w:val="00981893"/>
    <w:rsid w:val="009D3B94"/>
    <w:rsid w:val="00A1687D"/>
    <w:rsid w:val="00A43E52"/>
    <w:rsid w:val="00A4678D"/>
    <w:rsid w:val="00A778C7"/>
    <w:rsid w:val="00AB441E"/>
    <w:rsid w:val="00AB6293"/>
    <w:rsid w:val="00AD68D6"/>
    <w:rsid w:val="00AE0928"/>
    <w:rsid w:val="00AF3B82"/>
    <w:rsid w:val="00B12E95"/>
    <w:rsid w:val="00B22876"/>
    <w:rsid w:val="00B34F12"/>
    <w:rsid w:val="00B558F0"/>
    <w:rsid w:val="00B67159"/>
    <w:rsid w:val="00BA5254"/>
    <w:rsid w:val="00BC2DD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2443"/>
    <w:rsid w:val="00D56C11"/>
    <w:rsid w:val="00D834A0"/>
    <w:rsid w:val="00D872DF"/>
    <w:rsid w:val="00D91E21"/>
    <w:rsid w:val="00DA7FCD"/>
    <w:rsid w:val="00DC19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8CA"/>
    <w:rsid w:val="00F74202"/>
    <w:rsid w:val="00F76C80"/>
    <w:rsid w:val="00F87713"/>
    <w:rsid w:val="00FB4360"/>
    <w:rsid w:val="00FD0C70"/>
    <w:rsid w:val="00FD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12C84"/>
  <w15:chartTrackingRefBased/>
  <w15:docId w15:val="{19BCCC81-AEC5-4FFE-8F83-1ADF0AAE9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558C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558C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558C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558C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558C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558C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F558C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F558C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F558C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F558C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558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558CA"/>
    <w:pPr>
      <w:spacing w:before="480" w:after="240"/>
    </w:pPr>
  </w:style>
  <w:style w:type="paragraph" w:customStyle="1" w:styleId="NormalBold">
    <w:name w:val="NormalBold"/>
    <w:basedOn w:val="Normal"/>
    <w:rsid w:val="00F558CA"/>
    <w:rPr>
      <w:b/>
    </w:rPr>
  </w:style>
  <w:style w:type="paragraph" w:customStyle="1" w:styleId="NormalBold12a">
    <w:name w:val="NormalBold12a"/>
    <w:basedOn w:val="Normal"/>
    <w:rsid w:val="00F558C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558CA"/>
    <w:pPr>
      <w:spacing w:after="240"/>
      <w:ind w:left="567" w:hanging="567"/>
    </w:pPr>
  </w:style>
  <w:style w:type="paragraph" w:customStyle="1" w:styleId="CoverBold">
    <w:name w:val="CoverBold"/>
    <w:basedOn w:val="Normal"/>
    <w:rsid w:val="00F558CA"/>
    <w:pPr>
      <w:ind w:left="1417"/>
    </w:pPr>
    <w:rPr>
      <w:b/>
    </w:rPr>
  </w:style>
  <w:style w:type="paragraph" w:customStyle="1" w:styleId="CoverNormal">
    <w:name w:val="CoverNormal"/>
    <w:basedOn w:val="Normal"/>
    <w:rsid w:val="00F558CA"/>
    <w:pPr>
      <w:ind w:left="1418"/>
    </w:pPr>
  </w:style>
  <w:style w:type="paragraph" w:customStyle="1" w:styleId="CoverNormal12a">
    <w:name w:val="CoverNormal12a"/>
    <w:basedOn w:val="Normal"/>
    <w:rsid w:val="00F558CA"/>
    <w:pPr>
      <w:spacing w:after="240"/>
      <w:ind w:left="1418"/>
    </w:pPr>
  </w:style>
  <w:style w:type="paragraph" w:customStyle="1" w:styleId="CoverNormal24a">
    <w:name w:val="CoverNormal24a"/>
    <w:basedOn w:val="Normal"/>
    <w:rsid w:val="00F558CA"/>
    <w:pPr>
      <w:spacing w:after="480"/>
      <w:ind w:left="1417"/>
    </w:pPr>
  </w:style>
  <w:style w:type="paragraph" w:customStyle="1" w:styleId="CoverDocType24a">
    <w:name w:val="CoverDocType24a"/>
    <w:basedOn w:val="Normal"/>
    <w:rsid w:val="00F558CA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rsid w:val="00F558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58CA"/>
    <w:rPr>
      <w:sz w:val="24"/>
      <w:lang w:val="cs-CZ"/>
    </w:rPr>
  </w:style>
  <w:style w:type="paragraph" w:customStyle="1" w:styleId="EPBody">
    <w:name w:val="EPBody"/>
    <w:basedOn w:val="Normal"/>
    <w:rsid w:val="00F558C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erence">
    <w:name w:val="CoverReference"/>
    <w:basedOn w:val="Normal"/>
    <w:rsid w:val="00F558CA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F558CA"/>
    <w:pPr>
      <w:spacing w:before="240" w:after="1200"/>
    </w:pPr>
  </w:style>
  <w:style w:type="paragraph" w:customStyle="1" w:styleId="EPFooter">
    <w:name w:val="EPFooter"/>
    <w:basedOn w:val="Normal"/>
    <w:rsid w:val="00F558C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rsid w:val="00F558C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58C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558CA"/>
    <w:pPr>
      <w:widowControl/>
    </w:pPr>
    <w:rPr>
      <w:rFonts w:ascii="Arial" w:eastAsia="Arial" w:hAnsi="Arial" w:cs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558CA"/>
    <w:rPr>
      <w:rFonts w:ascii="Arial" w:eastAsia="Arial" w:hAnsi="Arial" w:cs="Arial"/>
      <w:b/>
      <w:bCs/>
      <w:lang w:val="cs-CZ"/>
    </w:rPr>
  </w:style>
  <w:style w:type="paragraph" w:styleId="Revision">
    <w:name w:val="Revision"/>
    <w:hidden/>
    <w:uiPriority w:val="99"/>
    <w:semiHidden/>
    <w:rsid w:val="00F558CA"/>
    <w:rPr>
      <w:sz w:val="24"/>
      <w:lang w:val="cs-CZ"/>
    </w:rPr>
  </w:style>
  <w:style w:type="character" w:styleId="CommentReference">
    <w:name w:val="annotation reference"/>
    <w:basedOn w:val="DefaultParagraphFont"/>
    <w:rsid w:val="00F558C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58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58C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rsid w:val="00F558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58C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640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12/29/oj" TargetMode="External"/><Relationship Id="rId6" Type="http://schemas.openxmlformats.org/officeDocument/2006/relationships/hyperlink" Target="http://data.europa.eu/eli/dir/2024/1260/oj" TargetMode="External"/><Relationship Id="rId5" Type="http://schemas.openxmlformats.org/officeDocument/2006/relationships/hyperlink" Target="http://data.europa.eu/eli/dir/2006/126/oj" TargetMode="External"/><Relationship Id="rId4" Type="http://schemas.openxmlformats.org/officeDocument/2006/relationships/hyperlink" Target="http://data.europa.eu/eli/dir/2024/17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3657</Words>
  <Characters>21334</Characters>
  <Application>Microsoft Office Word</Application>
  <DocSecurity>0</DocSecurity>
  <Lines>888</Lines>
  <Paragraphs>337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2026-02-23T15:11:00Z</dcterms:created>
  <dcterms:modified xsi:type="dcterms:W3CDTF">2026-02-23T15:11:00Z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P10_TA(2026)0007_</vt:lpwstr>
  </property>
  <property fmtid="{D5CDD505-2E9C-101B-9397-08002B2CF9AE}" pid="4" name="&lt;Type&gt;">
    <vt:lpwstr>RR</vt:lpwstr>
  </property>
</Properties>
</file>