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863AC" w14:paraId="32855D3B" w14:textId="77777777" w:rsidTr="0010095E">
        <w:trPr>
          <w:trHeight w:hRule="exact" w:val="1418"/>
        </w:trPr>
        <w:tc>
          <w:tcPr>
            <w:tcW w:w="6804" w:type="dxa"/>
            <w:shd w:val="clear" w:color="auto" w:fill="auto"/>
            <w:vAlign w:val="center"/>
          </w:tcPr>
          <w:p w14:paraId="02E9A68D" w14:textId="77777777" w:rsidR="00751A4A" w:rsidRPr="00E863AC" w:rsidRDefault="00922CF5" w:rsidP="0010095E">
            <w:pPr>
              <w:pStyle w:val="EPName"/>
            </w:pPr>
            <w:r w:rsidRPr="00E863AC">
              <w:t>Europa-Parlamentet</w:t>
            </w:r>
          </w:p>
          <w:p w14:paraId="58A71A9B" w14:textId="77777777" w:rsidR="00751A4A" w:rsidRPr="00E863AC" w:rsidRDefault="005F1B17" w:rsidP="005F1B17">
            <w:pPr>
              <w:pStyle w:val="EPTerm"/>
              <w:rPr>
                <w:rStyle w:val="HideTWBExt"/>
                <w:noProof w:val="0"/>
                <w:vanish w:val="0"/>
                <w:color w:val="auto"/>
              </w:rPr>
            </w:pPr>
            <w:r w:rsidRPr="00E863AC">
              <w:t>2024</w:t>
            </w:r>
            <w:r w:rsidR="00817416" w:rsidRPr="00E863AC">
              <w:t>-202</w:t>
            </w:r>
            <w:r w:rsidRPr="00E863AC">
              <w:t>9</w:t>
            </w:r>
          </w:p>
        </w:tc>
        <w:tc>
          <w:tcPr>
            <w:tcW w:w="2268" w:type="dxa"/>
            <w:shd w:val="clear" w:color="auto" w:fill="auto"/>
          </w:tcPr>
          <w:p w14:paraId="1DB48CAC" w14:textId="77777777" w:rsidR="00751A4A" w:rsidRPr="00E863AC" w:rsidRDefault="00187494" w:rsidP="0010095E">
            <w:pPr>
              <w:pStyle w:val="EPLogo"/>
            </w:pPr>
            <w:r w:rsidRPr="00E863AC">
              <w:rPr>
                <w:noProof/>
                <w:lang w:eastAsia="ja-JP"/>
              </w:rPr>
              <w:drawing>
                <wp:inline distT="0" distB="0" distL="0" distR="0" wp14:anchorId="031EE6CA" wp14:editId="538876D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156637F" w14:textId="77777777" w:rsidR="00D058B8" w:rsidRPr="00E863AC" w:rsidRDefault="00D058B8" w:rsidP="004C5D52">
      <w:pPr>
        <w:pStyle w:val="LineTop"/>
      </w:pPr>
    </w:p>
    <w:p w14:paraId="2A33C86B" w14:textId="77777777" w:rsidR="00680577" w:rsidRPr="00E863AC" w:rsidRDefault="00922CF5" w:rsidP="00680577">
      <w:pPr>
        <w:pStyle w:val="EPBodyTA1"/>
      </w:pPr>
      <w:r w:rsidRPr="00E863AC">
        <w:t>VEDTAGNE TEKSTER</w:t>
      </w:r>
    </w:p>
    <w:p w14:paraId="1F9C7D13" w14:textId="77777777" w:rsidR="00D058B8" w:rsidRPr="00E863AC" w:rsidRDefault="00D058B8" w:rsidP="00D058B8">
      <w:pPr>
        <w:pStyle w:val="LineBottom"/>
      </w:pPr>
    </w:p>
    <w:p w14:paraId="51771153" w14:textId="3EC1FB1E" w:rsidR="00922CF5" w:rsidRPr="00361520" w:rsidRDefault="00922CF5" w:rsidP="00922CF5">
      <w:pPr>
        <w:pStyle w:val="ATHeading1"/>
      </w:pPr>
      <w:bookmarkStart w:id="0" w:name="TANumber"/>
      <w:r w:rsidRPr="00361520">
        <w:t>P10_TA(2026)000</w:t>
      </w:r>
      <w:r w:rsidR="00076416">
        <w:t>7</w:t>
      </w:r>
      <w:bookmarkEnd w:id="0"/>
    </w:p>
    <w:p w14:paraId="5FE08BAC" w14:textId="77777777" w:rsidR="00922CF5" w:rsidRPr="00361520" w:rsidRDefault="00922CF5" w:rsidP="00922CF5">
      <w:pPr>
        <w:pStyle w:val="ATHeading2"/>
      </w:pPr>
      <w:bookmarkStart w:id="1" w:name="title"/>
      <w:r w:rsidRPr="00361520">
        <w:t xml:space="preserve">Mordet på Mehdi </w:t>
      </w:r>
      <w:proofErr w:type="spellStart"/>
      <w:r w:rsidRPr="00361520">
        <w:t>Kessaci</w:t>
      </w:r>
      <w:proofErr w:type="spellEnd"/>
      <w:r w:rsidRPr="00361520">
        <w:t>: presserende behov for en ambitiøs europæisk indsats mod narkotikahandel</w:t>
      </w:r>
      <w:bookmarkEnd w:id="1"/>
    </w:p>
    <w:p w14:paraId="445B1C40" w14:textId="77777777" w:rsidR="00922CF5" w:rsidRPr="00E863AC" w:rsidRDefault="00922CF5" w:rsidP="00922CF5">
      <w:pPr>
        <w:rPr>
          <w:i/>
          <w:vanish/>
        </w:rPr>
      </w:pPr>
      <w:r w:rsidRPr="00E863AC">
        <w:rPr>
          <w:i/>
        </w:rPr>
        <w:fldChar w:fldCharType="begin"/>
      </w:r>
      <w:r w:rsidRPr="00E863AC">
        <w:rPr>
          <w:i/>
        </w:rPr>
        <w:instrText xml:space="preserve"> TC"(</w:instrText>
      </w:r>
      <w:bookmarkStart w:id="2" w:name="DocNumber"/>
      <w:r w:rsidRPr="00E863AC">
        <w:rPr>
          <w:i/>
        </w:rPr>
        <w:instrText>B10-0057/2026</w:instrText>
      </w:r>
      <w:bookmarkEnd w:id="2"/>
      <w:r w:rsidRPr="00E863AC">
        <w:rPr>
          <w:i/>
        </w:rPr>
        <w:instrText xml:space="preserve">)"\l3 \n&gt; \* MERGEFORMAT </w:instrText>
      </w:r>
      <w:r w:rsidRPr="00E863AC">
        <w:rPr>
          <w:i/>
        </w:rPr>
        <w:fldChar w:fldCharType="end"/>
      </w:r>
    </w:p>
    <w:p w14:paraId="7657AA20" w14:textId="77777777" w:rsidR="00922CF5" w:rsidRPr="00E863AC" w:rsidRDefault="00922CF5" w:rsidP="00922CF5">
      <w:pPr>
        <w:rPr>
          <w:vanish/>
        </w:rPr>
      </w:pPr>
      <w:bookmarkStart w:id="3" w:name="PE"/>
      <w:r w:rsidRPr="00E863AC">
        <w:rPr>
          <w:vanish/>
        </w:rPr>
        <w:t>PE782.012</w:t>
      </w:r>
      <w:bookmarkEnd w:id="3"/>
    </w:p>
    <w:p w14:paraId="1C267687" w14:textId="40306971" w:rsidR="00922CF5" w:rsidRPr="00361520" w:rsidRDefault="00922CF5" w:rsidP="00922CF5">
      <w:pPr>
        <w:pStyle w:val="ATHeading3"/>
      </w:pPr>
      <w:bookmarkStart w:id="4" w:name="Sujet"/>
      <w:r w:rsidRPr="00361520">
        <w:t xml:space="preserve">Europa-Parlamentets beslutning af 20. januar 2026 om mordet på Mehdi </w:t>
      </w:r>
      <w:proofErr w:type="spellStart"/>
      <w:r w:rsidRPr="00361520">
        <w:t>Kessaci</w:t>
      </w:r>
      <w:proofErr w:type="spellEnd"/>
      <w:r w:rsidRPr="00361520">
        <w:t>: presserende behov for en ambitiøs europæisk indsats mod narkotikahandel</w:t>
      </w:r>
      <w:bookmarkEnd w:id="4"/>
      <w:r w:rsidRPr="00361520">
        <w:t xml:space="preserve"> </w:t>
      </w:r>
      <w:bookmarkStart w:id="5" w:name="References"/>
      <w:r w:rsidR="00670E27" w:rsidRPr="00361520">
        <w:t>(</w:t>
      </w:r>
      <w:r w:rsidRPr="00361520">
        <w:t>2025/3020(RSP)</w:t>
      </w:r>
      <w:bookmarkEnd w:id="5"/>
      <w:r w:rsidR="00670E27" w:rsidRPr="00361520">
        <w:t>)</w:t>
      </w:r>
    </w:p>
    <w:p w14:paraId="6F1640DE" w14:textId="77777777" w:rsidR="00B24B67" w:rsidRPr="00E863AC" w:rsidRDefault="00B24B67" w:rsidP="00B24B67">
      <w:pPr>
        <w:pStyle w:val="EPComma"/>
      </w:pPr>
      <w:bookmarkStart w:id="6" w:name="TextBodyBegin"/>
      <w:bookmarkEnd w:id="6"/>
      <w:r w:rsidRPr="00E863AC">
        <w:rPr>
          <w:i/>
          <w:iCs/>
        </w:rPr>
        <w:t>Europa-Parlamentet,</w:t>
      </w:r>
    </w:p>
    <w:p w14:paraId="43C3659B" w14:textId="77777777" w:rsidR="00B24B67" w:rsidRPr="00E863AC" w:rsidRDefault="00B24B67" w:rsidP="00B24B67">
      <w:pPr>
        <w:pStyle w:val="NormalHanging12a"/>
      </w:pPr>
      <w:r w:rsidRPr="00E863AC">
        <w:t>–</w:t>
      </w:r>
      <w:r w:rsidRPr="00E863AC">
        <w:tab/>
        <w:t>der henviser til traktaten om Den Europæiske Union (TEU) og traktaten om Den Europæiske Unions funktionsmåde (TEUF), særlig bestemmelserne om området med frihed, sikkerhed og retfærdighed,</w:t>
      </w:r>
    </w:p>
    <w:p w14:paraId="3A1DC6F2" w14:textId="77777777" w:rsidR="00B24B67" w:rsidRPr="00E863AC" w:rsidRDefault="00B24B67" w:rsidP="00B24B67">
      <w:pPr>
        <w:pStyle w:val="NormalHanging12a"/>
        <w:rPr>
          <w:szCs w:val="24"/>
        </w:rPr>
      </w:pPr>
      <w:r w:rsidRPr="00E863AC">
        <w:t>–</w:t>
      </w:r>
      <w:r w:rsidRPr="00E863AC">
        <w:tab/>
        <w:t>der henviser til Den Europæiske Unions charter om grundlæggende rettigheder, særlig artiklerne om den menneskelige værdighed, retten til livet, ytringsfrihed, ofres rettigheder og beskyttelse af personoplysninger,</w:t>
      </w:r>
    </w:p>
    <w:p w14:paraId="23661160" w14:textId="77777777" w:rsidR="00B24B67" w:rsidRPr="00E863AC" w:rsidRDefault="00B24B67" w:rsidP="00B24B67">
      <w:pPr>
        <w:pStyle w:val="NormalHanging12a"/>
      </w:pPr>
      <w:r w:rsidRPr="00E863AC">
        <w:t>–</w:t>
      </w:r>
      <w:r w:rsidRPr="00E863AC">
        <w:tab/>
        <w:t>der henviser til EU's narkotikastrategier og den seneste udgave heraf, der blev offentliggjort sammen med EU's handlingsplan for bekæmpelse af narkotikahandel 2026-2030,</w:t>
      </w:r>
    </w:p>
    <w:p w14:paraId="1DB55317" w14:textId="77777777" w:rsidR="00B24B67" w:rsidRPr="00E863AC" w:rsidRDefault="00B24B67" w:rsidP="00B24B67">
      <w:pPr>
        <w:pStyle w:val="NormalHanging12a"/>
      </w:pPr>
      <w:r w:rsidRPr="00E863AC">
        <w:t>–</w:t>
      </w:r>
      <w:r w:rsidRPr="00E863AC">
        <w:tab/>
        <w:t>der henviser til arbejdet i Rådets Horisontale Narkotikagruppe (HDG), der blev oprettet i 1997 for at koordinere EU's narkotikaindsats,</w:t>
      </w:r>
    </w:p>
    <w:p w14:paraId="50414A35" w14:textId="77777777" w:rsidR="00B24B67" w:rsidRPr="00E863AC" w:rsidRDefault="00B24B67" w:rsidP="00B24B67">
      <w:pPr>
        <w:pStyle w:val="NormalHanging12a"/>
      </w:pPr>
      <w:r w:rsidRPr="00E863AC">
        <w:t>–</w:t>
      </w:r>
      <w:r w:rsidRPr="00E863AC">
        <w:tab/>
        <w:t>der henviser til rapporter og analyser fra Den Europæiske Unions Narkotikaagentur (EUDA), navnlig den europæiske narkotikarapport 2025,</w:t>
      </w:r>
    </w:p>
    <w:p w14:paraId="73C8BD93" w14:textId="77777777" w:rsidR="00B24B67" w:rsidRPr="00E863AC" w:rsidRDefault="00B24B67" w:rsidP="00B24B67">
      <w:pPr>
        <w:pStyle w:val="NormalHanging12a"/>
      </w:pPr>
      <w:r w:rsidRPr="00E863AC">
        <w:t>–</w:t>
      </w:r>
      <w:r w:rsidRPr="00E863AC">
        <w:tab/>
        <w:t>der henviser til lanceringen af den europæiske koalition mod narkotika, som samler mere end 40 lande og har til formål at styrke det internationale samarbejde om bekæmpelse af narkotikahandel,</w:t>
      </w:r>
    </w:p>
    <w:p w14:paraId="771DA6F0" w14:textId="77777777" w:rsidR="00B24B67" w:rsidRPr="00E863AC" w:rsidRDefault="00B24B67" w:rsidP="00B24B67">
      <w:pPr>
        <w:pStyle w:val="NormalHanging12a"/>
      </w:pPr>
      <w:r w:rsidRPr="00E863AC">
        <w:t>–</w:t>
      </w:r>
      <w:r w:rsidRPr="00E863AC">
        <w:tab/>
        <w:t>der henviser til arbejdet i Europarådets Pompidougruppe om narkotika- og forebyggelsespolitikker,</w:t>
      </w:r>
    </w:p>
    <w:p w14:paraId="479A2CD0" w14:textId="77777777" w:rsidR="00B24B67" w:rsidRPr="00E863AC" w:rsidRDefault="00B24B67" w:rsidP="00B24B67">
      <w:pPr>
        <w:pStyle w:val="NormalHanging12a"/>
      </w:pPr>
      <w:r w:rsidRPr="00E863AC">
        <w:t>–</w:t>
      </w:r>
      <w:r w:rsidRPr="00E863AC">
        <w:tab/>
        <w:t xml:space="preserve">der henviser til FN's konvention imod ulovlig handel med narkotika og </w:t>
      </w:r>
      <w:proofErr w:type="spellStart"/>
      <w:r w:rsidRPr="00E863AC">
        <w:t>psykotrope</w:t>
      </w:r>
      <w:proofErr w:type="spellEnd"/>
      <w:r w:rsidRPr="00E863AC">
        <w:t xml:space="preserve"> stoffer fra 1988 og arbejdet i FN's Kontor for Narkotikakontrol og Kriminalitetsbekæmpelse (UNODC),</w:t>
      </w:r>
    </w:p>
    <w:p w14:paraId="00B6097F" w14:textId="77777777" w:rsidR="00B24B67" w:rsidRPr="00E863AC" w:rsidRDefault="00B24B67" w:rsidP="00B24B67">
      <w:pPr>
        <w:pStyle w:val="NormalHanging12a"/>
      </w:pPr>
      <w:r w:rsidRPr="00E863AC">
        <w:t>–</w:t>
      </w:r>
      <w:r w:rsidRPr="00E863AC">
        <w:tab/>
        <w:t xml:space="preserve">der henviser til FN's konvention om bekæmpelse af grænseoverskridende organiseret </w:t>
      </w:r>
      <w:r w:rsidRPr="00E863AC">
        <w:lastRenderedPageBreak/>
        <w:t>kriminalitet, der blev undertegnet i Palermo i 2000, og protokollerne hertil samt til FN's konvention mod korruption,</w:t>
      </w:r>
    </w:p>
    <w:p w14:paraId="6297101F" w14:textId="77777777" w:rsidR="00B24B67" w:rsidRPr="00E863AC" w:rsidRDefault="00B24B67" w:rsidP="00B24B67">
      <w:pPr>
        <w:pStyle w:val="NormalHanging12a"/>
      </w:pPr>
      <w:r w:rsidRPr="00E863AC">
        <w:t>–</w:t>
      </w:r>
      <w:r w:rsidRPr="00E863AC">
        <w:tab/>
        <w:t>der henviser til de forskellige foranstaltninger, som europæiske og internationale organer har truffet for at forebygge og bekæmpe hvidvask af penge og finansiering af organiseret kriminalitet,</w:t>
      </w:r>
    </w:p>
    <w:p w14:paraId="58525DF0" w14:textId="77777777" w:rsidR="00B24B67" w:rsidRPr="00E863AC" w:rsidRDefault="00B24B67" w:rsidP="00B24B67">
      <w:pPr>
        <w:pStyle w:val="NormalHanging12a"/>
      </w:pPr>
      <w:r w:rsidRPr="00E863AC">
        <w:t>–</w:t>
      </w:r>
      <w:r w:rsidRPr="00E863AC">
        <w:tab/>
        <w:t>der henviser til Europa-Parlamentets og Rådets direktiv 2012/29/EU af 25. oktober 2012 om minimumsstandarder for ofre for kriminalitet med hensyn til rettigheder, støtte og beskyttelse</w:t>
      </w:r>
      <w:r w:rsidRPr="00E863AC">
        <w:rPr>
          <w:rStyle w:val="FootnoteReference"/>
          <w:rFonts w:eastAsia="Arial"/>
        </w:rPr>
        <w:footnoteReference w:id="1"/>
      </w:r>
      <w:r w:rsidRPr="00E863AC">
        <w:t>,</w:t>
      </w:r>
    </w:p>
    <w:p w14:paraId="6AEA9BF9" w14:textId="77777777" w:rsidR="00B24B67" w:rsidRPr="00E863AC" w:rsidRDefault="00B24B67" w:rsidP="00B24B67">
      <w:pPr>
        <w:pStyle w:val="NormalHanging12a"/>
      </w:pPr>
      <w:r w:rsidRPr="00E863AC">
        <w:t>–</w:t>
      </w:r>
      <w:r w:rsidRPr="00E863AC">
        <w:tab/>
        <w:t>der henviser til den internationale konvention om barnets rettigheder, der blev vedtaget af FN's Generalforsamling den 20. november 1989,</w:t>
      </w:r>
    </w:p>
    <w:p w14:paraId="456E8CDA" w14:textId="77777777" w:rsidR="00B24B67" w:rsidRPr="00E863AC" w:rsidRDefault="00B24B67" w:rsidP="00B24B67">
      <w:pPr>
        <w:pStyle w:val="NormalHanging12a"/>
      </w:pPr>
      <w:r w:rsidRPr="00E863AC">
        <w:t>–</w:t>
      </w:r>
      <w:r w:rsidRPr="00E863AC">
        <w:tab/>
        <w:t>der henviser til Europa-Parlamentets beslutning af 11. juni 2013 om organiseret kriminalitet, korruption og hvidvask af penge</w:t>
      </w:r>
      <w:r w:rsidRPr="00E863AC">
        <w:rPr>
          <w:rStyle w:val="FootnoteReference"/>
          <w:rFonts w:eastAsia="Arial"/>
        </w:rPr>
        <w:footnoteReference w:id="2"/>
      </w:r>
      <w:r w:rsidRPr="00E863AC">
        <w:t>,</w:t>
      </w:r>
    </w:p>
    <w:p w14:paraId="3D1E6887" w14:textId="77777777" w:rsidR="00B24B67" w:rsidRPr="00E863AC" w:rsidRDefault="00B24B67" w:rsidP="00B24B67">
      <w:pPr>
        <w:pStyle w:val="NormalHanging12a"/>
      </w:pPr>
      <w:r w:rsidRPr="00E863AC">
        <w:t>–</w:t>
      </w:r>
      <w:r w:rsidRPr="00E863AC">
        <w:tab/>
        <w:t xml:space="preserve">der henviser til inddragelsen af europæiske organer i bekæmpelsen af narkotikahandel, navnlig EUDA, Europol og </w:t>
      </w:r>
      <w:proofErr w:type="spellStart"/>
      <w:r w:rsidRPr="00E863AC">
        <w:t>Eurojust</w:t>
      </w:r>
      <w:proofErr w:type="spellEnd"/>
      <w:r w:rsidRPr="00E863AC">
        <w:t>,</w:t>
      </w:r>
    </w:p>
    <w:p w14:paraId="529CDB02" w14:textId="77777777" w:rsidR="00B24B67" w:rsidRPr="00E863AC" w:rsidRDefault="00B24B67" w:rsidP="00B24B67">
      <w:pPr>
        <w:pStyle w:val="NormalHanging12a"/>
      </w:pPr>
      <w:r w:rsidRPr="00E863AC">
        <w:t>–</w:t>
      </w:r>
      <w:r w:rsidRPr="00E863AC">
        <w:tab/>
        <w:t>der henviser til EU's lovgivningspakke fra 2024 om bekæmpelse af hvidvask af penge og finansiering af terrorisme, herunder navnlig forordning (EU) 2024/1624</w:t>
      </w:r>
      <w:r w:rsidRPr="00E863AC">
        <w:rPr>
          <w:rStyle w:val="FootnoteReference"/>
          <w:rFonts w:eastAsia="Arial"/>
        </w:rPr>
        <w:footnoteReference w:id="3"/>
      </w:r>
      <w:r w:rsidRPr="00E863AC">
        <w:t>, direktiv (EU) 2024/1640</w:t>
      </w:r>
      <w:r w:rsidRPr="00E863AC">
        <w:rPr>
          <w:rStyle w:val="FootnoteReference"/>
          <w:rFonts w:eastAsia="Arial"/>
        </w:rPr>
        <w:footnoteReference w:id="4"/>
      </w:r>
      <w:r w:rsidRPr="00E863AC">
        <w:t xml:space="preserve"> og oprettelsen af Myndigheden for Bekæmpelse af Hvidvask af Penge (AMLA),</w:t>
      </w:r>
    </w:p>
    <w:p w14:paraId="668ABF01" w14:textId="77777777" w:rsidR="00B24B67" w:rsidRPr="00E863AC" w:rsidRDefault="00B24B67" w:rsidP="00B24B67">
      <w:pPr>
        <w:pStyle w:val="NormalHanging12a"/>
      </w:pPr>
      <w:r w:rsidRPr="00E863AC">
        <w:t>–</w:t>
      </w:r>
      <w:r w:rsidRPr="00E863AC">
        <w:tab/>
        <w:t>der henviser til Europa-Parlamentets og Rådets direktiv (EU) 2024/1712 af 13. juni 2024 om ændring af direktiv 2011/36/EU om forebyggelse og bekæmpelse af menneskehandel og beskyttelse af ofrene herfor</w:t>
      </w:r>
      <w:r w:rsidRPr="00E863AC">
        <w:rPr>
          <w:rStyle w:val="FootnoteReference"/>
          <w:rFonts w:eastAsia="Arial"/>
        </w:rPr>
        <w:footnoteReference w:id="5"/>
      </w:r>
      <w:r w:rsidRPr="00E863AC">
        <w:t>,</w:t>
      </w:r>
    </w:p>
    <w:p w14:paraId="73CE7D0D" w14:textId="77777777" w:rsidR="00B24B67" w:rsidRPr="00E863AC" w:rsidRDefault="00B24B67" w:rsidP="00B24B67">
      <w:pPr>
        <w:pStyle w:val="NormalHanging12a"/>
      </w:pPr>
      <w:r w:rsidRPr="00E863AC">
        <w:t>–</w:t>
      </w:r>
      <w:r w:rsidRPr="00E863AC">
        <w:tab/>
        <w:t>der henviser til arbejdet i civilsamfundsforummet om narkotika og dets ungdomsafdeling,</w:t>
      </w:r>
    </w:p>
    <w:p w14:paraId="53A046F2" w14:textId="77777777" w:rsidR="00B24B67" w:rsidRPr="00E863AC" w:rsidRDefault="00B24B67" w:rsidP="00B24B67">
      <w:pPr>
        <w:pStyle w:val="NormalHanging12a"/>
      </w:pPr>
      <w:r w:rsidRPr="00E863AC">
        <w:t>–</w:t>
      </w:r>
      <w:r w:rsidRPr="00E863AC">
        <w:tab/>
        <w:t>der henviser til den særligt kritiske situation i regionerne i den yderste periferi,</w:t>
      </w:r>
    </w:p>
    <w:p w14:paraId="46CE890E" w14:textId="77777777" w:rsidR="00B24B67" w:rsidRPr="00E863AC" w:rsidRDefault="00B24B67" w:rsidP="00B24B67">
      <w:pPr>
        <w:pStyle w:val="NormalHanging12a"/>
      </w:pPr>
      <w:r w:rsidRPr="00E863AC">
        <w:t>–</w:t>
      </w:r>
      <w:r w:rsidRPr="00E863AC">
        <w:tab/>
        <w:t xml:space="preserve">der henviser til bogen "Marseille, </w:t>
      </w:r>
      <w:proofErr w:type="spellStart"/>
      <w:r w:rsidRPr="00E863AC">
        <w:t>essuie</w:t>
      </w:r>
      <w:proofErr w:type="spellEnd"/>
      <w:r w:rsidRPr="00E863AC">
        <w:t xml:space="preserve"> tes larmes" (Marseille, tør dine tårer) af aktivist inden for narkotikabekæmpelse Amine </w:t>
      </w:r>
      <w:proofErr w:type="spellStart"/>
      <w:r w:rsidRPr="00E863AC">
        <w:t>Kessaci</w:t>
      </w:r>
      <w:proofErr w:type="spellEnd"/>
      <w:r w:rsidRPr="00E863AC">
        <w:t xml:space="preserve"> og hans opfordringer til offentligheden om at træde op imod og sige fra over for narkotikahandel,</w:t>
      </w:r>
    </w:p>
    <w:p w14:paraId="7C6CC170" w14:textId="77777777" w:rsidR="00B24B67" w:rsidRPr="00E863AC" w:rsidRDefault="00B24B67" w:rsidP="00B24B67">
      <w:pPr>
        <w:pStyle w:val="NormalHanging12a"/>
      </w:pPr>
      <w:r w:rsidRPr="00E863AC">
        <w:t>–</w:t>
      </w:r>
      <w:r w:rsidRPr="00E863AC">
        <w:tab/>
        <w:t>der henviser til forretningsordenens artikel 136, stk. 2,</w:t>
      </w:r>
    </w:p>
    <w:p w14:paraId="7345E058" w14:textId="77777777" w:rsidR="00B24B67" w:rsidRPr="00E863AC" w:rsidRDefault="00B24B67" w:rsidP="00B24B67">
      <w:pPr>
        <w:pStyle w:val="NormalHanging12a"/>
      </w:pPr>
      <w:r w:rsidRPr="00E863AC">
        <w:t>A.</w:t>
      </w:r>
      <w:r w:rsidRPr="00E863AC">
        <w:tab/>
        <w:t xml:space="preserve">der henviser til, at 20-årige Mehdi </w:t>
      </w:r>
      <w:proofErr w:type="spellStart"/>
      <w:r w:rsidRPr="00E863AC">
        <w:t>Kessaci</w:t>
      </w:r>
      <w:proofErr w:type="spellEnd"/>
      <w:r w:rsidRPr="00E863AC">
        <w:t>, en fransk statsborger, som kun var kendt af politiet, fordi han havde ansøgt om at blive politibetjent, den 13. november 2025 blev myrdet ved højlys dag og midt på gaden i Marseille i en kontekst af narkotikarelateret vold, hvilket viser de kriminelle netværks stigende brutalitet og de direkte konsekvenser af denne vold for familier og lokalsamfund;</w:t>
      </w:r>
    </w:p>
    <w:p w14:paraId="5ABC7725" w14:textId="77777777" w:rsidR="00B24B67" w:rsidRPr="00E863AC" w:rsidRDefault="00B24B67" w:rsidP="00B24B67">
      <w:pPr>
        <w:pStyle w:val="NormalHanging12a"/>
      </w:pPr>
      <w:r w:rsidRPr="00E863AC">
        <w:t>B.</w:t>
      </w:r>
      <w:r w:rsidRPr="00E863AC">
        <w:tab/>
        <w:t xml:space="preserve">der henviser til, at Mehdi </w:t>
      </w:r>
      <w:proofErr w:type="spellStart"/>
      <w:r w:rsidRPr="00E863AC">
        <w:t>Kessaci</w:t>
      </w:r>
      <w:proofErr w:type="spellEnd"/>
      <w:r w:rsidRPr="00E863AC">
        <w:t xml:space="preserve"> var bror til Amine </w:t>
      </w:r>
      <w:proofErr w:type="spellStart"/>
      <w:r w:rsidRPr="00E863AC">
        <w:t>Kessaci</w:t>
      </w:r>
      <w:proofErr w:type="spellEnd"/>
      <w:r w:rsidRPr="00E863AC">
        <w:t xml:space="preserve">, en aktivist inden for </w:t>
      </w:r>
      <w:r w:rsidRPr="00E863AC">
        <w:lastRenderedPageBreak/>
        <w:t xml:space="preserve">bekæmpelse af narkotika, forfatter og anerkendt figur inden for borgermobilisering mod organiseret kriminalitet; der henviser til, at han uden tvivl blev myrdet på grund af denne familierelation; der henviser til, at dette mord udgør et direkte angreb på ytringsfriheden og mistænkes for at være en form for intimideringsmetode, der minder om organiserede mafianetværks metoder; der henviser til, at denne forbrydelse vakte stor national opstandelse, og 10 000 mennesker samledes i hele landet for at vise støtte til Amine </w:t>
      </w:r>
      <w:proofErr w:type="spellStart"/>
      <w:r w:rsidRPr="00E863AC">
        <w:t>Kessaci</w:t>
      </w:r>
      <w:proofErr w:type="spellEnd"/>
      <w:r w:rsidRPr="00E863AC">
        <w:t xml:space="preserve"> og hans familie samt til forsvar for demokratiet, ytringsfriheden og retsstatsprincippet mod narkotikahandel;</w:t>
      </w:r>
    </w:p>
    <w:p w14:paraId="0B33A4EE" w14:textId="77777777" w:rsidR="00B24B67" w:rsidRPr="00E863AC" w:rsidRDefault="00B24B67" w:rsidP="00B24B67">
      <w:pPr>
        <w:pStyle w:val="NormalHanging12a"/>
      </w:pPr>
      <w:r w:rsidRPr="00E863AC">
        <w:t>C.</w:t>
      </w:r>
      <w:r w:rsidRPr="00E863AC">
        <w:tab/>
        <w:t>der henviser til, at dette mord indgår i en række af narkotikarelaterede voldshandlinger i Marseille, som talte 24 drab i 2024 og 49 i 2023 og i stigende grad rammer mindreårige og uskyldige mennesker; der henviser til, at dette problem plager mange europæiske byer og truer den sociale samhørighed, borgernes sundhed og sikkerhed og retsstatsprincippet; der henviser til, at situationen i regionerne i den yderste periferi er særlig kritisk med næsten 90 narkotikarelaterede drab blot på Guadeloupe og Martinique i 2025;</w:t>
      </w:r>
    </w:p>
    <w:p w14:paraId="574AF3CF" w14:textId="55A14140" w:rsidR="00B24B67" w:rsidRPr="00E863AC" w:rsidRDefault="00670E27" w:rsidP="00B24B67">
      <w:pPr>
        <w:pStyle w:val="NormalHanging12a"/>
      </w:pPr>
      <w:r w:rsidRPr="00E863AC">
        <w:t>D</w:t>
      </w:r>
      <w:r w:rsidR="00B24B67" w:rsidRPr="00E863AC">
        <w:t>.</w:t>
      </w:r>
      <w:r w:rsidR="00B24B67" w:rsidRPr="00E863AC">
        <w:tab/>
        <w:t xml:space="preserve">der henviser til, at narkotikahandel er en af de alvorligste trusler mod EU's indre sikkerhed og giver næring til organiseret kriminalitet, vold og korruption, og der </w:t>
      </w:r>
      <w:proofErr w:type="gramStart"/>
      <w:r w:rsidR="00B24B67" w:rsidRPr="00E863AC">
        <w:t>endvidere</w:t>
      </w:r>
      <w:proofErr w:type="gramEnd"/>
      <w:r w:rsidR="00B24B67" w:rsidRPr="00E863AC">
        <w:t xml:space="preserve"> henviser til, at næsten 50 % af Europas farligste kriminelle netværk ifølge Europol er involveret i narkotikahandel, og over en tredjedel beskæftiger sig udelukkende med dette;</w:t>
      </w:r>
    </w:p>
    <w:p w14:paraId="717832A0" w14:textId="2651125D" w:rsidR="00B24B67" w:rsidRPr="00E863AC" w:rsidRDefault="00670E27" w:rsidP="00B24B67">
      <w:pPr>
        <w:pStyle w:val="NormalHanging12a"/>
      </w:pPr>
      <w:r w:rsidRPr="00E863AC">
        <w:t>E</w:t>
      </w:r>
      <w:r w:rsidR="00B24B67" w:rsidRPr="00E863AC">
        <w:t>.</w:t>
      </w:r>
      <w:r w:rsidR="00B24B67" w:rsidRPr="00E863AC">
        <w:tab/>
        <w:t xml:space="preserve">der henviser til, at volden i forbindelse med narkotikahandel i Europa er blevet intensiveret i de seneste år, og at de organiserede kriminelle grupper i stigende </w:t>
      </w:r>
      <w:proofErr w:type="gramStart"/>
      <w:r w:rsidR="00B24B67" w:rsidRPr="00E863AC">
        <w:t>grad</w:t>
      </w:r>
      <w:proofErr w:type="gramEnd"/>
      <w:r w:rsidR="00B24B67" w:rsidRPr="00E863AC">
        <w:t xml:space="preserve"> anvender skydevåben, og der henviser til at gennemsnitligt 28 % af de beslaglagte skydevåben i Europa er tilknyttet narkotikahandel, hvilket viser den direkte forbindelse mellem narkotikahandel og alvorlige trusler mod den offentlige sikkerhed;</w:t>
      </w:r>
    </w:p>
    <w:p w14:paraId="2B3B0994" w14:textId="0F3A32A9" w:rsidR="00B24B67" w:rsidRPr="00E863AC" w:rsidRDefault="00670E27" w:rsidP="00B24B67">
      <w:pPr>
        <w:pStyle w:val="NormalHanging12a"/>
      </w:pPr>
      <w:r w:rsidRPr="00E863AC">
        <w:t>F</w:t>
      </w:r>
      <w:r w:rsidR="00B24B67" w:rsidRPr="00E863AC">
        <w:t>.</w:t>
      </w:r>
      <w:r w:rsidR="00B24B67" w:rsidRPr="00E863AC">
        <w:tab/>
        <w:t>der henviser til, at narkotikaproduktionen, -handelen og -forbruget er hastigt stigende og har nået hidtil usete niveauer i EU; der henviser til, at der ifølge EUDA blev beslaglagt 752 ton cannabis og 419 ton kokain i EU i 2023, og at 2,7 mio. unge voksne i alderen 15-34 år angiver at have brugt disse stoffer i løbet af det seneste år; der henviser til, at næsten 500 laboratorier til syntetisk narkotika nedlægges hvert år i EU, og at der var næsten 7 500 narkotikarelaterede dødsfald i 2023; der henviser til, at denne udvikling afspejler et udbredt fænomen, der berører alle områder, generationer og sociale grupper;</w:t>
      </w:r>
    </w:p>
    <w:p w14:paraId="12EB4A82" w14:textId="46B62BB3" w:rsidR="00B24B67" w:rsidRPr="00E863AC" w:rsidRDefault="00670E27" w:rsidP="00B24B67">
      <w:pPr>
        <w:pStyle w:val="NormalHanging12a"/>
      </w:pPr>
      <w:r w:rsidRPr="00E863AC">
        <w:t>G</w:t>
      </w:r>
      <w:r w:rsidR="00B24B67" w:rsidRPr="00E863AC">
        <w:t>.</w:t>
      </w:r>
      <w:r w:rsidR="00B24B67" w:rsidRPr="00E863AC">
        <w:tab/>
        <w:t xml:space="preserve">der henviser til, at europæiske havne er vigtige strategiske indgangssteder for </w:t>
      </w:r>
      <w:proofErr w:type="gramStart"/>
      <w:r w:rsidR="00B24B67" w:rsidRPr="00E863AC">
        <w:t>ulovlig</w:t>
      </w:r>
      <w:proofErr w:type="gramEnd"/>
      <w:r w:rsidR="00B24B67" w:rsidRPr="00E863AC">
        <w:t xml:space="preserve"> narkotika, og at ca. 70 % af toldmyndighedernes beslaglæggelser af narkotika finder sted i havneinfrastruktur, og der henviser til, at de kriminelle netværk udnytter disse knudepunkters logistiske og menneskelige sårbarheder;</w:t>
      </w:r>
    </w:p>
    <w:p w14:paraId="67962B99" w14:textId="55B7559B" w:rsidR="00B24B67" w:rsidRPr="00E863AC" w:rsidRDefault="00670E27" w:rsidP="00B24B67">
      <w:pPr>
        <w:pStyle w:val="NormalHanging12a"/>
      </w:pPr>
      <w:r w:rsidRPr="00E863AC">
        <w:t>H</w:t>
      </w:r>
      <w:r w:rsidR="00B24B67" w:rsidRPr="00E863AC">
        <w:t>.</w:t>
      </w:r>
      <w:r w:rsidR="00B24B67" w:rsidRPr="00E863AC">
        <w:tab/>
        <w:t>der henviser til, at fagfolk i fiskeri- og havnesektoren, såsom fiskere og havnearbejdere, er mål for narkotikanetværk, som udnytter karakteren af disses virksomhed til at indføre narkotika i EU;</w:t>
      </w:r>
    </w:p>
    <w:p w14:paraId="07138CA3" w14:textId="755C0481" w:rsidR="00B24B67" w:rsidRDefault="00670E27" w:rsidP="00B24B67">
      <w:pPr>
        <w:pStyle w:val="NormalHanging12a"/>
      </w:pPr>
      <w:r w:rsidRPr="00E863AC">
        <w:t>I</w:t>
      </w:r>
      <w:r w:rsidR="00B24B67" w:rsidRPr="00E863AC">
        <w:t>.</w:t>
      </w:r>
      <w:r w:rsidR="00B24B67" w:rsidRPr="00E863AC">
        <w:tab/>
        <w:t>der henviser til, at den massive stigning i brugen af narkotika har en direkte indvirkning på narkotikahandelen og skaber enorme fortjenester for narkotikahandlerne, der får en finansiel kapacitet, som kan bringe demokratiet i fare; der henviser til, at den franske nationale kommission for kampagneregnskaber og politisk finansiering har advaret om narkotikanetværkenes indflydelse på de kommende lokalvalg;</w:t>
      </w:r>
    </w:p>
    <w:p w14:paraId="14070CF4" w14:textId="6EC91CE3" w:rsidR="00B24B67" w:rsidRDefault="00D80319" w:rsidP="00B24B67">
      <w:pPr>
        <w:pStyle w:val="NormalHanging12a"/>
      </w:pPr>
      <w:r>
        <w:lastRenderedPageBreak/>
        <w:t>J</w:t>
      </w:r>
      <w:r w:rsidR="00B24B67" w:rsidRPr="00E863AC">
        <w:t>.</w:t>
      </w:r>
      <w:r w:rsidR="00B24B67" w:rsidRPr="00E863AC">
        <w:tab/>
        <w:t>der henviser til, at narkotikahandel er en af de mest lukrative aktiviteter inden for organiseret kriminalitet og tegner sig for ca. en femtedel af det globale udbytte fra kriminalitet, og der henviser til, at EU står over for en hidtil uset stigning i tilgængeligheden af ulovlige stoffer, herunder kokain fra Sydamerika;</w:t>
      </w:r>
    </w:p>
    <w:p w14:paraId="2C6B5CAC" w14:textId="774D0989" w:rsidR="00D80319" w:rsidRPr="00E863AC" w:rsidRDefault="00D80319" w:rsidP="00D80319">
      <w:pPr>
        <w:pStyle w:val="NormalHanging12a"/>
      </w:pPr>
      <w:r>
        <w:t>K</w:t>
      </w:r>
      <w:r w:rsidRPr="00D9483E">
        <w:t>.</w:t>
      </w:r>
      <w:r w:rsidRPr="00D9483E">
        <w:tab/>
        <w:t>der henviser til, at narkotikanetværk kan forsøge at udøve pres på eller utilbørlig påvirkning af lokale politikere og vælgere, navnlig på kommunalt plan, og dermed underminere de demokratiske processers integritet;</w:t>
      </w:r>
    </w:p>
    <w:p w14:paraId="6D88A7E8" w14:textId="0A2769BE" w:rsidR="00B24B67" w:rsidRPr="00E863AC" w:rsidRDefault="00242E2B" w:rsidP="00B24B67">
      <w:pPr>
        <w:pStyle w:val="NormalHanging12a"/>
      </w:pPr>
      <w:r>
        <w:t>L</w:t>
      </w:r>
      <w:r w:rsidR="00B24B67" w:rsidRPr="00E863AC">
        <w:t>.</w:t>
      </w:r>
      <w:r w:rsidR="00B24B67" w:rsidRPr="00E863AC">
        <w:tab/>
        <w:t>der henviser til, at narkotikahandlernes finansielle kapacitet truer demokratiet gennem hvidvask af penge, korruption, infiltration af den lovlige økonomi og den kapacitet, den giver de kriminelle netværk til at opnå og udvide deres territoriale rækkevidde, herunder inden for Den Europæiske Union;</w:t>
      </w:r>
    </w:p>
    <w:p w14:paraId="2E9E631F" w14:textId="25105CE4" w:rsidR="00B24B67" w:rsidRDefault="00242E2B" w:rsidP="00B24B67">
      <w:pPr>
        <w:pStyle w:val="NormalHanging12a"/>
      </w:pPr>
      <w:r>
        <w:t>M</w:t>
      </w:r>
      <w:r w:rsidR="00B24B67" w:rsidRPr="00E863AC">
        <w:t>.</w:t>
      </w:r>
      <w:r w:rsidR="00B24B67" w:rsidRPr="00E863AC">
        <w:tab/>
        <w:t>der henviser til, at bekæmpelsen af hvidvask af penge, skattely og kriminelle organisationers infiltration af den lovlige økonomi derfor er en central løftestang til at svække narkotikanetværkene permanent;</w:t>
      </w:r>
    </w:p>
    <w:p w14:paraId="01064440" w14:textId="304423F4" w:rsidR="00D9483E" w:rsidRPr="00E863AC" w:rsidRDefault="00242E2B" w:rsidP="00B24B67">
      <w:pPr>
        <w:pStyle w:val="NormalHanging12a"/>
      </w:pPr>
      <w:r>
        <w:t>N</w:t>
      </w:r>
      <w:r w:rsidR="00D9483E" w:rsidRPr="00D9483E">
        <w:t>.</w:t>
      </w:r>
      <w:r w:rsidR="00D9483E" w:rsidRPr="00D9483E">
        <w:tab/>
        <w:t>der henviser til, at det europæiske demokratiskjold understreger, at organiseret kriminalitet og korruption udgør en direkte trussel mod retsstatsprincippet og vores demokratiske institutioner;</w:t>
      </w:r>
    </w:p>
    <w:p w14:paraId="0D4D6F36" w14:textId="7FC85983" w:rsidR="00B24B67" w:rsidRPr="00E863AC" w:rsidRDefault="00242E2B" w:rsidP="00B24B67">
      <w:pPr>
        <w:pStyle w:val="NormalHanging12a"/>
      </w:pPr>
      <w:r>
        <w:t>O</w:t>
      </w:r>
      <w:r w:rsidR="00B24B67" w:rsidRPr="00E863AC">
        <w:t>.</w:t>
      </w:r>
      <w:r w:rsidR="00B24B67" w:rsidRPr="00E863AC">
        <w:tab/>
        <w:t>der henviser til, at digitale værktøjer og sociale netværk i stigende grad anvendes til at rekruttere og til at koordinere og begå voldshandlinger, navnlig rettet mod mindreårige, hvilket kræver en koordineret europæisk reaktion, som respekterer de grundlæggende rettigheder;</w:t>
      </w:r>
    </w:p>
    <w:p w14:paraId="6EB02103" w14:textId="441EE9C1" w:rsidR="00B24B67" w:rsidRPr="00E863AC" w:rsidRDefault="00242E2B" w:rsidP="00B24B67">
      <w:pPr>
        <w:pStyle w:val="NormalHanging12a"/>
      </w:pPr>
      <w:r>
        <w:t>P</w:t>
      </w:r>
      <w:r w:rsidR="00B24B67" w:rsidRPr="00E863AC">
        <w:t>.</w:t>
      </w:r>
      <w:r w:rsidR="00B24B67" w:rsidRPr="00E863AC">
        <w:tab/>
        <w:t>der henviser til, at de kriminelle organisationer og deres praksis udvikler sig, navnlig ved at digitalisere deres strategier, og der henviser til, at der derfor er behov for at udvikle de efterforskningsmæssige, retlige og sociale strukturer i EU's reaktion på denne plage;</w:t>
      </w:r>
    </w:p>
    <w:p w14:paraId="75EF6B58" w14:textId="70FA71FE" w:rsidR="00B24B67" w:rsidRPr="00E863AC" w:rsidRDefault="00242E2B" w:rsidP="00B24B67">
      <w:pPr>
        <w:pStyle w:val="NormalHanging12a"/>
      </w:pPr>
      <w:r>
        <w:t>Q</w:t>
      </w:r>
      <w:r w:rsidR="00B24B67" w:rsidRPr="00E863AC">
        <w:t>.</w:t>
      </w:r>
      <w:r w:rsidR="00B24B67" w:rsidRPr="00E863AC">
        <w:tab/>
        <w:t xml:space="preserve"> der henviser til, at forekomsten af nye psykoaktive stoffer er stigende i Europa, herunder syntetiske </w:t>
      </w:r>
      <w:proofErr w:type="spellStart"/>
      <w:r w:rsidR="00B24B67" w:rsidRPr="00E863AC">
        <w:t>cannabinoider</w:t>
      </w:r>
      <w:proofErr w:type="spellEnd"/>
      <w:r w:rsidR="00B24B67" w:rsidRPr="00E863AC">
        <w:t xml:space="preserve">, </w:t>
      </w:r>
      <w:proofErr w:type="spellStart"/>
      <w:r w:rsidR="00B24B67" w:rsidRPr="00E863AC">
        <w:t>cathinoner</w:t>
      </w:r>
      <w:proofErr w:type="spellEnd"/>
      <w:r w:rsidR="00B24B67" w:rsidRPr="00E863AC">
        <w:t xml:space="preserve"> og kraftige syntetiske opioider, som ofte produceres eller distribueres i EU og delvis forbliver uden for international og national kontrol; der henviser til, at deres høje styrke og de små voluminer, der kræves, kombineret med muligheden for at ændre den kemiske strukturer en smule for at omgå lovgivningen skaber et hurtigt voksende og meget lukrativt marked til gavn for narkotikahandlerne og samtidig udgør en væsentlig folkesundheds- og sikkerhedsrisiko; der henviser til, at robuste systemer for tidlig varsling, forbedrede detektionskapaciteter og koordinerede reaktioner på EU-plan er vigtige for at imødegå den voksende trussel, fra nye psykoaktive stoffer;</w:t>
      </w:r>
    </w:p>
    <w:p w14:paraId="7CF60786" w14:textId="52F41828" w:rsidR="00B24B67" w:rsidRPr="00E863AC" w:rsidRDefault="00242E2B" w:rsidP="00B24B67">
      <w:pPr>
        <w:pStyle w:val="NormalHanging12a"/>
      </w:pPr>
      <w:r>
        <w:t>R</w:t>
      </w:r>
      <w:r w:rsidR="00B24B67" w:rsidRPr="00E863AC">
        <w:t>.</w:t>
      </w:r>
      <w:r w:rsidR="00B24B67" w:rsidRPr="00E863AC">
        <w:tab/>
        <w:t>der henviser til, at udviklingen og den varige etablering af narkotikanetværk ofte finder sted i en kontekst, der er præget af vedvarende sociale og territoriale uligheder, utilstrækkelig adgang til beskæftigelse, offentlige tjenester og uddannelsesmuligheder samt en følelse af at være blevet svigtet af samfundet, navnlig i visse ugunstigt stillede byområdet, og der henviser til, at disse sårbarheder skaber grobund for den kriminelle økonomi og strukturelle faktorer, som narkotikanetværkene udnytter til at rekruttere en sårbar, ofte ung, arbejdsstyrke;</w:t>
      </w:r>
    </w:p>
    <w:p w14:paraId="058BA9ED" w14:textId="794F8C2C" w:rsidR="00B24B67" w:rsidRPr="00E863AC" w:rsidRDefault="00242E2B" w:rsidP="00B24B67">
      <w:pPr>
        <w:pStyle w:val="NormalHanging12a"/>
      </w:pPr>
      <w:r>
        <w:t>S</w:t>
      </w:r>
      <w:r w:rsidR="00B24B67" w:rsidRPr="00E863AC">
        <w:t>.</w:t>
      </w:r>
      <w:r w:rsidR="00B24B67" w:rsidRPr="00E863AC">
        <w:tab/>
        <w:t xml:space="preserve">der henviser til, at EU's samhørighedspolitik gennem sine finansielle instrumenter </w:t>
      </w:r>
      <w:r w:rsidR="00B24B67" w:rsidRPr="00E863AC">
        <w:lastRenderedPageBreak/>
        <w:t>historisk set har bidraget til at mindske de territoriale forskelle, styrke den sociale samhørighed og støtte strukturelle investeringer i vanskeligt stillede byområder, og der henviser til, at Kommissionens planlagte retningslinjer for den flerårige finansielle ramme for 2028-2034 samt gennemførelsen af den nye EU-dagsorden for byer vil have en afgørende indvirkning på EU's evne til på bæredygtig vis at forhindre, at ulovlig handel rodfæstes i disse områder;</w:t>
      </w:r>
    </w:p>
    <w:p w14:paraId="5A02A184" w14:textId="7BC1656C" w:rsidR="00B24B67" w:rsidRPr="00E863AC" w:rsidRDefault="00242E2B" w:rsidP="00B24B67">
      <w:pPr>
        <w:pStyle w:val="NormalHanging12a"/>
      </w:pPr>
      <w:r>
        <w:t>T</w:t>
      </w:r>
      <w:r w:rsidR="00B24B67" w:rsidRPr="00E863AC">
        <w:t>.</w:t>
      </w:r>
      <w:r w:rsidR="00B24B67" w:rsidRPr="00E863AC">
        <w:tab/>
        <w:t xml:space="preserve">der henviser til, at de beløb, som de kriminelle netværk får ind, fremmes af korruption og kan forstærke forekomsten heraf, og der henviser til, at deres finansielle kapacitet sætter dem i stand til både at yde tjenester til beboerne og skabe frygt i et stigende antal områder, hvilket resulterer i en form for bedøvelse af lokalsamfundene, som bliver mindre og mindre modstandsdygtige over for narkotikahandelen; der henviser til, at mordet på Mehdi </w:t>
      </w:r>
      <w:proofErr w:type="spellStart"/>
      <w:r w:rsidR="00B24B67" w:rsidRPr="00E863AC">
        <w:t>Kessaci</w:t>
      </w:r>
      <w:proofErr w:type="spellEnd"/>
      <w:r w:rsidR="00B24B67" w:rsidRPr="00E863AC">
        <w:t xml:space="preserve"> er et led i disse intimideringsstrategier; der henviser til, at advarsler om narkotikahandelens indflydelse på valg er en stærk påmindelse om den trussel, som narkotikahandelen udgør mod de grundlæggende rettigheder, demokratiet og retsstatsprincippet;</w:t>
      </w:r>
    </w:p>
    <w:p w14:paraId="31FB3C8A" w14:textId="455CE0BD" w:rsidR="00B24B67" w:rsidRPr="00E863AC" w:rsidRDefault="00242E2B" w:rsidP="00B24B67">
      <w:pPr>
        <w:pStyle w:val="NormalHanging12a"/>
      </w:pPr>
      <w:r>
        <w:t>U</w:t>
      </w:r>
      <w:r w:rsidR="00B24B67" w:rsidRPr="00E863AC">
        <w:t>.</w:t>
      </w:r>
      <w:r w:rsidR="00B24B67" w:rsidRPr="00E863AC">
        <w:tab/>
        <w:t>der henviser til, at ofrenes familier, og navnlig mødrene og slægtningene til dem, der er blevet dræbt eller rekrutteret af kriminelle netværk, ofte spiller en central rolle med hensyn til at forebygge, øge bevidstheden om og støtte unge, der er eksponeret for narkotikahandel; der henviser til, at familierne til ofre for narkotikahandel imidlertid ikke er involveret i udviklingen af de europæiske og nationale narkotikabekæmpelsespolitikker eller i civilsamfundsforummet om narkotika;</w:t>
      </w:r>
    </w:p>
    <w:p w14:paraId="0E4E5014" w14:textId="172679EB" w:rsidR="00B24B67" w:rsidRPr="00E863AC" w:rsidRDefault="00242E2B" w:rsidP="00B24B67">
      <w:pPr>
        <w:pStyle w:val="NormalHanging12a"/>
      </w:pPr>
      <w:r>
        <w:t>V</w:t>
      </w:r>
      <w:r w:rsidR="00B24B67" w:rsidRPr="00E863AC">
        <w:t>.</w:t>
      </w:r>
      <w:r w:rsidR="00B24B67" w:rsidRPr="00E863AC">
        <w:tab/>
        <w:t>der henviser til, at tidligere strategier har understreget behovet for at finde en bedre balance mellem retshåndhævelsesindsats og politikker til forebyggelse, risikoreduktion og social retfærdighed;</w:t>
      </w:r>
    </w:p>
    <w:p w14:paraId="6D62CFDA" w14:textId="3A1FFC3F" w:rsidR="00B24B67" w:rsidRPr="00E863AC" w:rsidRDefault="00242E2B" w:rsidP="00B24B67">
      <w:pPr>
        <w:pStyle w:val="NormalHanging12a"/>
      </w:pPr>
      <w:r>
        <w:t>W</w:t>
      </w:r>
      <w:r w:rsidR="00B24B67" w:rsidRPr="00E863AC">
        <w:t>.</w:t>
      </w:r>
      <w:r w:rsidR="00B24B67" w:rsidRPr="00E863AC">
        <w:tab/>
        <w:t>der henviser til, at EU's narkotikastrategi bygger på centrale søjler, der kombinerer folkesundhed, forebyggelse, retligt samarbejde og politisamarbejde samt samarbejde med tredjelande, og med fordel kunne suppleres med et element med fokus på den sociale modstandsdygtighed i områder og samfund, der mobiliseres mod narkotikahandel;</w:t>
      </w:r>
    </w:p>
    <w:p w14:paraId="02CCCE11" w14:textId="781CC87C" w:rsidR="00B24B67" w:rsidRPr="00E863AC" w:rsidRDefault="00242E2B" w:rsidP="00B24B67">
      <w:pPr>
        <w:pStyle w:val="NormalHanging12a"/>
      </w:pPr>
      <w:r>
        <w:t>X</w:t>
      </w:r>
      <w:r w:rsidR="00B24B67" w:rsidRPr="00E863AC">
        <w:t>.</w:t>
      </w:r>
      <w:r w:rsidR="00B24B67" w:rsidRPr="00E863AC">
        <w:tab/>
        <w:t>der henviser til, at udbredelsen af narkotikahandel er et europæisk fænomen og kræver en fælles og håndfast reaktion; der henviser til, at de europæiske myndigheder skal vise deres evne til at mobilisere sig, så der ikke går flere liv tabt;</w:t>
      </w:r>
    </w:p>
    <w:p w14:paraId="060A1D00" w14:textId="77777777" w:rsidR="00B24B67" w:rsidRPr="00E863AC" w:rsidRDefault="00B24B67" w:rsidP="00B24B67">
      <w:pPr>
        <w:pStyle w:val="NormalHanging12a"/>
      </w:pPr>
      <w:r w:rsidRPr="00E863AC">
        <w:t>1.</w:t>
      </w:r>
      <w:r w:rsidRPr="00E863AC">
        <w:tab/>
        <w:t xml:space="preserve">fordømmer på det kraftigste mordet på Mehdi </w:t>
      </w:r>
      <w:proofErr w:type="spellStart"/>
      <w:r w:rsidRPr="00E863AC">
        <w:t>Kessaci</w:t>
      </w:r>
      <w:proofErr w:type="spellEnd"/>
      <w:r w:rsidRPr="00E863AC">
        <w:t>; udtrykker sin dybe sympati og medfølelse med hans forældre og familie og nære og gennem dem med alle de direkte og indirekte ofre for narkotikahandel i Europa og resten af verden;</w:t>
      </w:r>
    </w:p>
    <w:p w14:paraId="4D072CAB" w14:textId="77777777" w:rsidR="00B24B67" w:rsidRPr="00E863AC" w:rsidRDefault="00B24B67" w:rsidP="00B24B67">
      <w:pPr>
        <w:pStyle w:val="NormalHanging12a"/>
      </w:pPr>
      <w:r w:rsidRPr="00E863AC">
        <w:t>2.</w:t>
      </w:r>
      <w:r w:rsidRPr="00E863AC">
        <w:tab/>
        <w:t xml:space="preserve">roser indsatsen fra Amine </w:t>
      </w:r>
      <w:proofErr w:type="spellStart"/>
      <w:r w:rsidRPr="00E863AC">
        <w:t>Kessaci</w:t>
      </w:r>
      <w:proofErr w:type="spellEnd"/>
      <w:r w:rsidRPr="00E863AC">
        <w:t xml:space="preserve">, foreningen </w:t>
      </w:r>
      <w:proofErr w:type="spellStart"/>
      <w:r w:rsidRPr="00E863AC">
        <w:t>Conscience</w:t>
      </w:r>
      <w:proofErr w:type="spellEnd"/>
      <w:r w:rsidRPr="00E863AC">
        <w:t xml:space="preserve"> og alle aktivister, der, ofte med risiko for egen sikkerhed, arbejder for at bekæmpe narkotikahandel; anerkender modet hos Amine </w:t>
      </w:r>
      <w:proofErr w:type="spellStart"/>
      <w:r w:rsidRPr="00E863AC">
        <w:t>Kessaci</w:t>
      </w:r>
      <w:proofErr w:type="spellEnd"/>
      <w:r w:rsidRPr="00E863AC">
        <w:t xml:space="preserve">, som fortsat står op imod narkotikahandlerne på trods af truslerne mod ham; anerkender, at mordet på Mehdi </w:t>
      </w:r>
      <w:proofErr w:type="spellStart"/>
      <w:r w:rsidRPr="00E863AC">
        <w:t>Kessaci</w:t>
      </w:r>
      <w:proofErr w:type="spellEnd"/>
      <w:r w:rsidRPr="00E863AC">
        <w:t xml:space="preserve"> er et frontalangreb på ytringsfriheden og den kreative frihed samt på retsstatsprincippet;</w:t>
      </w:r>
    </w:p>
    <w:p w14:paraId="27497846" w14:textId="77777777" w:rsidR="00B24B67" w:rsidRPr="00E863AC" w:rsidRDefault="00B24B67" w:rsidP="00B24B67">
      <w:pPr>
        <w:pStyle w:val="NormalHanging12a"/>
      </w:pPr>
      <w:r w:rsidRPr="00E863AC">
        <w:t>3.</w:t>
      </w:r>
      <w:r w:rsidRPr="00E863AC">
        <w:tab/>
        <w:t>minder om, at græsrodsforeningers arbejde bidrager til at beskytte unge, den sociale samhørighed og den demokratiske vitalitet, og at de ofte ikke får meget anerkendelse, støtte eller beskyttelse;</w:t>
      </w:r>
    </w:p>
    <w:p w14:paraId="4897F005" w14:textId="77777777" w:rsidR="00B24B67" w:rsidRPr="00E863AC" w:rsidRDefault="00B24B67" w:rsidP="00B24B67">
      <w:pPr>
        <w:pStyle w:val="NormalHanging12a"/>
      </w:pPr>
      <w:r w:rsidRPr="00E863AC">
        <w:lastRenderedPageBreak/>
        <w:t>4.</w:t>
      </w:r>
      <w:r w:rsidRPr="00E863AC">
        <w:tab/>
        <w:t>understreger, at bekæmpelsen af narkotikahandel og organiseret kriminalitet er en stor udfordring for EU som helhed, både med hensyn til sikkerhed og folkesundhed, social retfærdighed og respekt for retsstatsprincippet;</w:t>
      </w:r>
    </w:p>
    <w:p w14:paraId="07DFBA73" w14:textId="77777777" w:rsidR="00B24B67" w:rsidRDefault="00B24B67" w:rsidP="00B24B67">
      <w:pPr>
        <w:pStyle w:val="NormalHanging12a"/>
      </w:pPr>
      <w:r w:rsidRPr="00E863AC">
        <w:t>5.</w:t>
      </w:r>
      <w:r w:rsidRPr="00E863AC">
        <w:tab/>
        <w:t>glæder sig over vedtagelsen af EU's nye narkotikastrategi og handlingsplanen herfor og gentager sin støtte til en afbalanceret tilgang baseret på reduktion af efterspørgslen, retligt samarbejde og politisamarbejde, samarbejde med tredjelande og forebyggelse, herunder online; minder om, at tidligere planer ikke har været tilstrækkelige til at dæmme op for narkotikahandelen, men at det er alles ansvar at imødegå denne udfordring;</w:t>
      </w:r>
    </w:p>
    <w:p w14:paraId="4451DE35" w14:textId="02127649" w:rsidR="00D9483E" w:rsidRPr="00E863AC" w:rsidRDefault="00D9483E" w:rsidP="00B24B67">
      <w:pPr>
        <w:pStyle w:val="NormalHanging12a"/>
      </w:pPr>
      <w:r>
        <w:t>6</w:t>
      </w:r>
      <w:r w:rsidRPr="00D9483E">
        <w:t>.</w:t>
      </w:r>
      <w:r w:rsidRPr="00D9483E">
        <w:tab/>
        <w:t>minder om, at den nye narkotikastrategi opfordrer medlemsstaterne til at vedtage nultolerancepolitikker for kørsel under påvirkning af narkotika i overensstemmelse med direktiv 2006/126/EF</w:t>
      </w:r>
      <w:r>
        <w:rPr>
          <w:rStyle w:val="FootnoteReference"/>
        </w:rPr>
        <w:footnoteReference w:id="6"/>
      </w:r>
      <w:r w:rsidRPr="00D9483E">
        <w:t xml:space="preserve"> om kørekort og til at gøre fuld brug af de grænseoverskridende værktøjer, der er til rådighed til at håndhæve disse regler;</w:t>
      </w:r>
    </w:p>
    <w:p w14:paraId="2D007DF5" w14:textId="74CDA734" w:rsidR="00B24B67" w:rsidRPr="00E863AC" w:rsidRDefault="00242E2B" w:rsidP="00B24B67">
      <w:pPr>
        <w:pStyle w:val="NormalHanging12a"/>
      </w:pPr>
      <w:r>
        <w:t>7</w:t>
      </w:r>
      <w:r w:rsidR="00B24B67" w:rsidRPr="00E863AC">
        <w:t>.</w:t>
      </w:r>
      <w:r w:rsidR="00B24B67" w:rsidRPr="00E863AC">
        <w:tab/>
        <w:t>støtter fuldt ud folkesundheds- og forebyggelsessøjlen i EU's narkotikastrategi, herunder tidlig forebyggelse, risikoreduktion, adgang til pleje, behandling for afhængighed og genintegration i samfundet; påpeger, at narkotika i stigende grad påvirker hele samfundet og gør det afhængigt, og opfordrer til en bred mobilisering for at sikre europæernes mentale sundhed;</w:t>
      </w:r>
    </w:p>
    <w:p w14:paraId="06ECF1FB" w14:textId="2B74BD9B" w:rsidR="00B24B67" w:rsidRPr="00E863AC" w:rsidRDefault="00242E2B" w:rsidP="00B24B67">
      <w:pPr>
        <w:pStyle w:val="NormalHanging12a"/>
      </w:pPr>
      <w:r>
        <w:t>8</w:t>
      </w:r>
      <w:r w:rsidR="00B24B67" w:rsidRPr="00E863AC">
        <w:t>.</w:t>
      </w:r>
      <w:r w:rsidR="00B24B67" w:rsidRPr="00E863AC">
        <w:tab/>
        <w:t>støtter Kommissionens forslag om at styrke sikkerheden inden for bekæmpelse af narkotikahandel, herunder den planlagte evaluering senest i 2026 af den eksisterende rammeafgørelse om narkotikahandel og moderniseringen af bestemmelserne om organiseret kriminalitet; støtter centrale foranstaltninger såsom styrkelse af det offentlig-private samarbejde for at forbedre opsporingen af narkotika smuglet via post- og pakketjenester samt udvikling af en ny europæisk strategi for havne, der har til formål at øge havnenes og forsyningskædernes sikkerhed og modstandsdygtighed over for narkotikahandel;</w:t>
      </w:r>
    </w:p>
    <w:p w14:paraId="4B0BD2B8" w14:textId="389A9C68" w:rsidR="00B24B67" w:rsidRPr="00E863AC" w:rsidRDefault="00242E2B" w:rsidP="00B24B67">
      <w:pPr>
        <w:pStyle w:val="NormalHanging12a"/>
      </w:pPr>
      <w:r>
        <w:t>9</w:t>
      </w:r>
      <w:r w:rsidR="00B24B67" w:rsidRPr="00E863AC">
        <w:t>.</w:t>
      </w:r>
      <w:r w:rsidR="00B24B67" w:rsidRPr="00E863AC">
        <w:tab/>
        <w:t>glæder sig over det engagement, som de retshåndhævende myndigheder, de væbnede styrker, toldmyndighederne og dommerne har udvist i hele Den Europæiske Union i bekæmpelsen af narkotikahandel; anerkender deres væsentlige bidrag til at beskytte den offentlige sikkerhed og opfordrer til en forholdsmæssig og passende forøgelse af de ressourcer, der er til rådighed for politistyrkerne og de retslige myndigheder, for at håndtere denne voksende tværnationale trussel;</w:t>
      </w:r>
    </w:p>
    <w:p w14:paraId="1F9FC0F3" w14:textId="1E6F04FF" w:rsidR="00B24B67" w:rsidRPr="00E863AC" w:rsidRDefault="00242E2B" w:rsidP="00B24B67">
      <w:pPr>
        <w:pStyle w:val="NormalHanging12a"/>
      </w:pPr>
      <w:r>
        <w:t>10</w:t>
      </w:r>
      <w:r w:rsidR="00B24B67" w:rsidRPr="00E863AC">
        <w:t>.</w:t>
      </w:r>
      <w:r w:rsidR="00B24B67" w:rsidRPr="00E863AC">
        <w:tab/>
        <w:t xml:space="preserve">opfordrer til, at de </w:t>
      </w:r>
      <w:r w:rsidR="00D9483E" w:rsidRPr="00D9483E">
        <w:t>menneskelige, materielle og teknologiske ressourcer, der afsættes til kontrol ved de ydre grænser i forbindelse med bekæmpelsen af våben-, menneske- og narkotikahandel, samt</w:t>
      </w:r>
      <w:r w:rsidR="00D9483E">
        <w:t xml:space="preserve"> de </w:t>
      </w:r>
      <w:r w:rsidR="00B24B67" w:rsidRPr="00E863AC">
        <w:t xml:space="preserve">fælles grænseoverskridende retshåndhævelsesoperationer styrkes, navnlig i hotspots såsom Marseille, Le Havre, Antwerpen, Rotterdam og Hamburg, i tæt samarbejde med </w:t>
      </w:r>
      <w:r w:rsidR="00D9483E" w:rsidRPr="00D9483E">
        <w:t xml:space="preserve">Det Europæiske Agentur for Grænse- og Kystbevogtning, </w:t>
      </w:r>
      <w:r w:rsidR="00B24B67" w:rsidRPr="00E863AC">
        <w:t xml:space="preserve">Europol, </w:t>
      </w:r>
      <w:proofErr w:type="spellStart"/>
      <w:r w:rsidR="00B24B67" w:rsidRPr="00E863AC">
        <w:t>Eurojust</w:t>
      </w:r>
      <w:proofErr w:type="spellEnd"/>
      <w:r w:rsidR="00B24B67" w:rsidRPr="00E863AC">
        <w:t xml:space="preserve"> og EUDA med henblik på at optrevle de kriminelle netværk, der står bag skyderier, drab og intimidering i hele Europa;</w:t>
      </w:r>
    </w:p>
    <w:p w14:paraId="4EB9F787" w14:textId="241F5B7E" w:rsidR="00B24B67" w:rsidRPr="00E863AC" w:rsidRDefault="00242E2B" w:rsidP="00B24B67">
      <w:pPr>
        <w:pStyle w:val="NormalHanging12a"/>
      </w:pPr>
      <w:r>
        <w:t>11</w:t>
      </w:r>
      <w:r w:rsidR="00B24B67" w:rsidRPr="00E863AC">
        <w:t>.</w:t>
      </w:r>
      <w:r w:rsidR="00B24B67" w:rsidRPr="00E863AC">
        <w:tab/>
        <w:t xml:space="preserve">understreger, at der er behov for at styrke samarbejdet og informationsudvekslingen mellem toldmyndigheder, retshåndhævende myndigheder, retslige myndigheder og </w:t>
      </w:r>
      <w:r w:rsidR="00B24B67" w:rsidRPr="00E863AC">
        <w:lastRenderedPageBreak/>
        <w:t>administrative myndigheder, og opfordrer Kommissionen til at sikre den nødvendige ramme for at støtte disse bestræbelser, samtidig med at de grundlæggende rettigheder og privatlivets fred beskyttes;</w:t>
      </w:r>
    </w:p>
    <w:p w14:paraId="4F59DA4C" w14:textId="6205B4BB" w:rsidR="00B24B67" w:rsidRPr="00E863AC" w:rsidRDefault="00242E2B" w:rsidP="00B24B67">
      <w:pPr>
        <w:pStyle w:val="NormalHanging12a"/>
      </w:pPr>
      <w:r>
        <w:t>12</w:t>
      </w:r>
      <w:r w:rsidR="00B24B67" w:rsidRPr="00E863AC">
        <w:t>.</w:t>
      </w:r>
      <w:r w:rsidR="00B24B67" w:rsidRPr="00E863AC">
        <w:tab/>
        <w:t>minder om, at bekæmpelsen af organiseret kriminalitet skal tage fat på de økonomiske og finansielle strukturer i narkotikahandelen, herunder ved at styrke ordninger for konfiskation af kriminelle aktiver og bekæmpelse af skattely; opfordrer EU og medlemsstaterne til at gøre fuld og effektiv brug af det nye direktiv (EU) 2024/1260 om inddrivelse og konfiskation af aktiver</w:t>
      </w:r>
      <w:r w:rsidR="00B24B67" w:rsidRPr="00E863AC">
        <w:rPr>
          <w:rStyle w:val="FootnoteReference"/>
        </w:rPr>
        <w:footnoteReference w:id="7"/>
      </w:r>
      <w:r w:rsidR="00B24B67" w:rsidRPr="00E863AC">
        <w:t xml:space="preserve"> og til at træffe de nødvendige foranstaltninger for at muliggøre overdragelse af konfiskeret ejendom til sociale formål, herunder til græsrodsorganisationer, der kæmper mod narkotikahandelens territoriale indflydelse, som det er tilfældet i Italien, samt til de myndigheder, der er mest udsat for narkotikarelateret vold, eller til </w:t>
      </w:r>
      <w:proofErr w:type="spellStart"/>
      <w:r w:rsidR="00B24B67" w:rsidRPr="00E863AC">
        <w:t>retsmyndigheder</w:t>
      </w:r>
      <w:proofErr w:type="spellEnd"/>
      <w:r w:rsidR="00B24B67" w:rsidRPr="00E863AC">
        <w:t xml:space="preserve"> og toldefterforskningsafdelinger; opfordrer Kommissionen og medlemsstaterne til at sikre, at foranstaltninger vedrørende anvendelsen af konfiskeret ejendom i offentlighedens interesse eller til sociale formål medtages i de nationale strategier for inddrivelse af aktiver;</w:t>
      </w:r>
    </w:p>
    <w:p w14:paraId="451870CC" w14:textId="0FF36079" w:rsidR="00B24B67" w:rsidRPr="00E863AC" w:rsidRDefault="00242E2B" w:rsidP="00B24B67">
      <w:pPr>
        <w:pStyle w:val="NormalHanging12a"/>
      </w:pPr>
      <w:r>
        <w:t>13</w:t>
      </w:r>
      <w:r w:rsidR="00B24B67" w:rsidRPr="00E863AC">
        <w:t>.</w:t>
      </w:r>
      <w:r w:rsidR="00B24B67" w:rsidRPr="00E863AC">
        <w:tab/>
        <w:t>understreger betydningen af at indarbejde krav om retligt samarbejde og gennemsigtighed i EU's eksterne forbindelser og aftaler med tredjelande, der er berørt af narkotikahandelsruter; understreger, at samarbejdet med nogle af disse stater er frugtbart, mens andre nægter at samarbejde fuldt ud med de europæiske myndigheder;</w:t>
      </w:r>
    </w:p>
    <w:p w14:paraId="55AC1E1F" w14:textId="06C8C313" w:rsidR="00B24B67" w:rsidRPr="00E863AC" w:rsidRDefault="00242E2B" w:rsidP="00B24B67">
      <w:pPr>
        <w:pStyle w:val="NormalHanging12a"/>
      </w:pPr>
      <w:r>
        <w:t>14</w:t>
      </w:r>
      <w:r w:rsidR="00B24B67" w:rsidRPr="00E863AC">
        <w:t>.</w:t>
      </w:r>
      <w:r w:rsidR="00B24B67" w:rsidRPr="00E863AC">
        <w:tab/>
        <w:t xml:space="preserve">glæder sig over, at der er indgået aftaler mellem </w:t>
      </w:r>
      <w:proofErr w:type="spellStart"/>
      <w:r w:rsidR="00B24B67" w:rsidRPr="00E863AC">
        <w:t>Eurojust</w:t>
      </w:r>
      <w:proofErr w:type="spellEnd"/>
      <w:r w:rsidR="00B24B67" w:rsidRPr="00E863AC">
        <w:t>, Europol og Armenien, Bosnien-Hercegovina og Libanon;</w:t>
      </w:r>
    </w:p>
    <w:p w14:paraId="127E4413" w14:textId="5EF05D75" w:rsidR="00D9483E" w:rsidRPr="00E863AC" w:rsidRDefault="00242E2B" w:rsidP="00B24B67">
      <w:pPr>
        <w:pStyle w:val="NormalHanging12a"/>
      </w:pPr>
      <w:r>
        <w:t>15</w:t>
      </w:r>
      <w:r w:rsidR="00B24B67" w:rsidRPr="00E863AC">
        <w:t>.</w:t>
      </w:r>
      <w:r w:rsidR="00B24B67" w:rsidRPr="00E863AC">
        <w:tab/>
        <w:t>understreger, at det er vigtigt at foretage en grundig undersøgelse af de metoder, der anvendes af kriminelle organisationer, og deres hurtige udvikling for at udarbejde de mest hensigtsmæssige retslige procedurer; opfordrer navnlig til, at der anlægges en fælles tilgang til bekæmpelse af organiseret kriminalitet, at det overvejes at indføre en status for kriminelle, der samarbejder med myndighederne, med henblik på at beskytte mindreårige, der er integreret i kriminelle netværk, og til, at bekæmpelse af narkotikahandel kædes sammen med bestemmelser om hvidvask af penge og korruption, afpresning, menneskehandel, miljøkriminalitet og våbenhandel; opfordrer til, at det undersøges, om Den Europæiske Anklagemyndighed kan spille en større rolle i bekæmpelsen af organiseret kriminalitet;</w:t>
      </w:r>
    </w:p>
    <w:p w14:paraId="41DFE47F" w14:textId="463E3C20" w:rsidR="00B24B67" w:rsidRPr="00E863AC" w:rsidRDefault="00242E2B" w:rsidP="00B24B67">
      <w:pPr>
        <w:pStyle w:val="NormalHanging12a"/>
      </w:pPr>
      <w:r>
        <w:t>16</w:t>
      </w:r>
      <w:r w:rsidR="00B24B67" w:rsidRPr="00E863AC">
        <w:t>.</w:t>
      </w:r>
      <w:r w:rsidR="00B24B67" w:rsidRPr="00E863AC">
        <w:tab/>
        <w:t>forpligter sig til at overvåge narkotikahandelen og bekæmpelsen af organiseret grænseoverskridende narkotikarelateret kriminalitet nøjere og grundigere;</w:t>
      </w:r>
    </w:p>
    <w:p w14:paraId="454DB53A" w14:textId="5C9583AC" w:rsidR="00B24B67" w:rsidRPr="00E863AC" w:rsidRDefault="00242E2B" w:rsidP="00B24B67">
      <w:pPr>
        <w:pStyle w:val="NormalHanging12a"/>
      </w:pPr>
      <w:r>
        <w:t>17</w:t>
      </w:r>
      <w:r w:rsidR="00B24B67" w:rsidRPr="00E863AC">
        <w:t>.</w:t>
      </w:r>
      <w:r w:rsidR="00B24B67" w:rsidRPr="00E863AC">
        <w:tab/>
        <w:t>opfordrer til, at der afsættes flere menneskelige ressourcer til nærpoliti og specialiserede politistyrker samt til specialiserede domstole for bekæmpelse af narkotika, herunder domstole for bekæmpelse af hvidvask af penge;</w:t>
      </w:r>
    </w:p>
    <w:p w14:paraId="512E4AC9" w14:textId="6EE93479" w:rsidR="00B24B67" w:rsidRPr="00E863AC" w:rsidRDefault="00242E2B" w:rsidP="00B24B67">
      <w:pPr>
        <w:pStyle w:val="NormalHanging12a"/>
      </w:pPr>
      <w:r>
        <w:t>18</w:t>
      </w:r>
      <w:r w:rsidR="00B24B67" w:rsidRPr="00E863AC">
        <w:t>.</w:t>
      </w:r>
      <w:r w:rsidR="00B24B67" w:rsidRPr="00E863AC">
        <w:tab/>
        <w:t>tilskynder til samarbejde mellem EU-organerne, de nationale myndigheder og medlemsstaterne om politimæssige, retlige og administrative spørgsmål;</w:t>
      </w:r>
    </w:p>
    <w:p w14:paraId="77F7DD41" w14:textId="038F01BE" w:rsidR="00B24B67" w:rsidRPr="00E863AC" w:rsidRDefault="00242E2B" w:rsidP="00B24B67">
      <w:pPr>
        <w:pStyle w:val="NormalHanging12a"/>
      </w:pPr>
      <w:r>
        <w:t>19</w:t>
      </w:r>
      <w:r w:rsidR="00B24B67" w:rsidRPr="00E863AC">
        <w:t>.</w:t>
      </w:r>
      <w:r w:rsidR="00B24B67" w:rsidRPr="00E863AC">
        <w:tab/>
        <w:t xml:space="preserve">opfordrer til, at bekæmpelse af narkotikahandel gøres til en søjle i EU-havnestrategien og havnealliancen ved at integrere både </w:t>
      </w:r>
      <w:proofErr w:type="spellStart"/>
      <w:r w:rsidR="00B24B67" w:rsidRPr="00E863AC">
        <w:t>søhavne</w:t>
      </w:r>
      <w:proofErr w:type="spellEnd"/>
      <w:r w:rsidR="00B24B67" w:rsidRPr="00E863AC">
        <w:t xml:space="preserve"> og flodhavne, og til, at der indføres uddannelses-, forebyggelses- og beskyttelsesforanstaltninger for havnepersonale; opfordrer til, at der ydes støtte og bistand til havnearbejdere og fiskere, der udsættes for </w:t>
      </w:r>
      <w:r w:rsidR="00B24B67" w:rsidRPr="00E863AC">
        <w:lastRenderedPageBreak/>
        <w:t xml:space="preserve">pres, trusler og afpresningsforsøg fra narkotikanetværk; understreger betydningen af deling af efterretninger om beslaglæggelser af narkotika, </w:t>
      </w:r>
      <w:proofErr w:type="spellStart"/>
      <w:r w:rsidR="00B24B67" w:rsidRPr="00E863AC">
        <w:t>prækursorer</w:t>
      </w:r>
      <w:proofErr w:type="spellEnd"/>
      <w:r w:rsidR="00B24B67" w:rsidRPr="00E863AC">
        <w:t xml:space="preserve"> og essentielle kemikalier samt brugen af overvågningsteknologier rettet mod strategisk infrastruktur;</w:t>
      </w:r>
    </w:p>
    <w:p w14:paraId="7AEFF774" w14:textId="20428C33" w:rsidR="00B24B67" w:rsidRDefault="00242E2B" w:rsidP="00B24B67">
      <w:pPr>
        <w:pStyle w:val="NormalHanging12a"/>
      </w:pPr>
      <w:r>
        <w:t>20</w:t>
      </w:r>
      <w:r w:rsidR="00B24B67" w:rsidRPr="00E863AC">
        <w:t>.</w:t>
      </w:r>
      <w:r w:rsidR="00B24B67" w:rsidRPr="00E863AC">
        <w:tab/>
        <w:t>opfordrer til, at bekæmpelsen af narkotikahandel gøres til en prioritet for EU-Toldmyndigheden, og at toldmyndighederne får de samme værktøjer som havnepersonale;</w:t>
      </w:r>
    </w:p>
    <w:p w14:paraId="20B39D13" w14:textId="71FF7A9B" w:rsidR="00D9483E" w:rsidRPr="00E863AC" w:rsidRDefault="00242E2B" w:rsidP="00B24B67">
      <w:pPr>
        <w:pStyle w:val="NormalHanging12a"/>
      </w:pPr>
      <w:r>
        <w:t>21</w:t>
      </w:r>
      <w:r w:rsidR="00D9483E" w:rsidRPr="00D9483E">
        <w:t>.</w:t>
      </w:r>
      <w:r w:rsidR="00D9483E" w:rsidRPr="00D9483E">
        <w:tab/>
        <w:t xml:space="preserve">understreger, at kommende europæiske initiativer såsom den europæiske havnealliance samt reformerne af Europol, </w:t>
      </w:r>
      <w:proofErr w:type="spellStart"/>
      <w:r w:rsidR="00D9483E" w:rsidRPr="00D9483E">
        <w:t>Eurojust</w:t>
      </w:r>
      <w:proofErr w:type="spellEnd"/>
      <w:r w:rsidR="00D9483E" w:rsidRPr="00D9483E">
        <w:t xml:space="preserve"> og Den Europæiske Anklagemyndighed bør bidrage til at styrke de europæiske havnes integritet, gennemsigtighed og modstandsdygtighed, herunder ved at forbedre beskyttelsen af frontlinjemedarbejdere mod risikoen for intimidering og korruption;</w:t>
      </w:r>
    </w:p>
    <w:p w14:paraId="62F50C42" w14:textId="34094084" w:rsidR="00B24B67" w:rsidRPr="00E863AC" w:rsidRDefault="00242E2B" w:rsidP="00B24B67">
      <w:pPr>
        <w:pStyle w:val="NormalHanging12a"/>
      </w:pPr>
      <w:r>
        <w:t>22</w:t>
      </w:r>
      <w:r w:rsidR="00B24B67" w:rsidRPr="00E863AC">
        <w:t>.</w:t>
      </w:r>
      <w:r w:rsidR="00B24B67" w:rsidRPr="00E863AC">
        <w:tab/>
        <w:t>understreger, at forebyggelse spiller en central rolle, herunder på sociale medier og digitale platforme, og opfordrer til en effektiv gennemførelse af de eksisterende EU-bestemmelser, navnlig forordningen om digitale tjenester, for at forhindre onlinerekruttering, tilskyndelse til vold og tilrettelæggelse af kriminelle aktiviteter og for at undersøge behovet for at videreudvikle disse; opfordrer medlemsstaterne til i deres forebyggelsespolitikker at inkludere tydelig kommunikation, der lader brugerne forstå, at de bidrager til destruktive kriminelle netværks voldshandlinger;</w:t>
      </w:r>
    </w:p>
    <w:p w14:paraId="6DE42833" w14:textId="61FCE670" w:rsidR="00B24B67" w:rsidRPr="00E863AC" w:rsidRDefault="00242E2B" w:rsidP="00B24B67">
      <w:pPr>
        <w:pStyle w:val="NormalHanging12a"/>
      </w:pPr>
      <w:bookmarkStart w:id="7" w:name="_heading=h.wu2hczxpxd"/>
      <w:bookmarkEnd w:id="7"/>
      <w:r>
        <w:t>23</w:t>
      </w:r>
      <w:r w:rsidR="00B24B67" w:rsidRPr="00E863AC">
        <w:t>.</w:t>
      </w:r>
      <w:r w:rsidR="00B24B67" w:rsidRPr="00E863AC">
        <w:tab/>
        <w:t>understreger, at det er nødvendigt fuldt ud at integrere beskyttelse af mindreårige mod at blive rekrutteret af kriminelle netværk i narkotikapolitikkerne i overensstemmelse med forordningen om digitale tjenester og Europa-Parlamentets beslutning om beskyttelse af mindreårige online (2025/2060(INI)), herunder gennem samarbejde med digitale platforme, målrettet forebyggelse og tidlig opdagelse;</w:t>
      </w:r>
    </w:p>
    <w:p w14:paraId="64E71FC4" w14:textId="3E213266" w:rsidR="00B24B67" w:rsidRPr="00E863AC" w:rsidRDefault="00242E2B" w:rsidP="00B24B67">
      <w:pPr>
        <w:pStyle w:val="NormalHanging12a"/>
      </w:pPr>
      <w:r>
        <w:t>24</w:t>
      </w:r>
      <w:r w:rsidR="00B24B67" w:rsidRPr="00E863AC">
        <w:t>.</w:t>
      </w:r>
      <w:r w:rsidR="00B24B67" w:rsidRPr="00E863AC">
        <w:tab/>
        <w:t>understreger den afgørende betydning af, det der som supplement til en sikkerheds- og retshåndhævelsestilgang tages strukturelle tiltag målrettet de sociale, økonomiske og territoriale faktorer, der fremmer varig etablering af disse kriminelle aktiviteter, navnlig i ugunstigt stillede byområder; understreger i denne forbindelse den afgørende rolle, som EU's budgetinstrumenter, herunder Den Europæiske Fond for Regionaludvikling (EFRU), Samhørighedsfonden og Den Europæiske Socialfond Plus (ESF+), spiller med hensyn til at støtte langsigtede investeringer i adgang til beskæftigelse, byfornyelse, offentlige tjenester i lokalområdet, uddannelse, forebyggelse og social samhørighed og dermed bidrage til at styrke disse områders modstandsdygtighed over for ulovlige økonomier og lokalsamfundenes modstandsdygtighed over for kriminelle organisationer;</w:t>
      </w:r>
    </w:p>
    <w:p w14:paraId="11BA8A22" w14:textId="1A97597C" w:rsidR="00B24B67" w:rsidRPr="00E863AC" w:rsidRDefault="00242E2B" w:rsidP="00B24B67">
      <w:pPr>
        <w:pStyle w:val="NormalHanging12a"/>
      </w:pPr>
      <w:r>
        <w:t>25</w:t>
      </w:r>
      <w:r w:rsidR="00B24B67" w:rsidRPr="00E863AC">
        <w:t>.</w:t>
      </w:r>
      <w:r w:rsidR="00B24B67" w:rsidRPr="00E863AC">
        <w:tab/>
        <w:t xml:space="preserve">udtrykker imidlertid alvorlig bekymring over Kommissionens planlagte retningslinjer for den flerårige finansielle ramme for 2028-2034, navnlig risikoen for yderligere </w:t>
      </w:r>
      <w:proofErr w:type="spellStart"/>
      <w:r w:rsidR="00B24B67" w:rsidRPr="00E863AC">
        <w:t>renationalisering</w:t>
      </w:r>
      <w:proofErr w:type="spellEnd"/>
      <w:r w:rsidR="00B24B67" w:rsidRPr="00E863AC">
        <w:t xml:space="preserve"> af samhørighedspolitikken, sammenlægning af samhørighedsfondene med andre instrumenter og koncentration af finansieringen udelukkende til de mindre udviklede regioner; advarer om, at denne udvikling kan føre til skadelig konkurrence mellem prioriteter og territorier på bekostning af de nødvendige investeringer i ugunstigt stillede byområder i mellemregioner eller mere udviklede regioner, selv om disse kvarterer ofte har akutte sociale sårbarheder og er stærkt eksponerede for narkotikahandel;</w:t>
      </w:r>
    </w:p>
    <w:p w14:paraId="3C51EB5B" w14:textId="3B50A923" w:rsidR="00B24B67" w:rsidRPr="00E863AC" w:rsidRDefault="00242E2B" w:rsidP="00B24B67">
      <w:pPr>
        <w:pStyle w:val="NormalHanging12a"/>
      </w:pPr>
      <w:r>
        <w:t>26</w:t>
      </w:r>
      <w:r w:rsidR="00B24B67" w:rsidRPr="00E863AC">
        <w:t>.</w:t>
      </w:r>
      <w:r w:rsidR="00B24B67" w:rsidRPr="00E863AC">
        <w:tab/>
        <w:t xml:space="preserve">understreger, at Kommissionens vedtagelse for nylig af den nye EU-dagsorden for byer kun vil give konkrete resultater, hvis den integreres fuldt ud i fremtidige nationale og </w:t>
      </w:r>
      <w:r w:rsidR="00B24B67" w:rsidRPr="00E863AC">
        <w:lastRenderedPageBreak/>
        <w:t>regionale partnerskabsprogrammer; opfordrer i denne forbindelse til, at disse planer omfatter specifikke, identificerbare og tilstrækkeligt finansierede foranstaltninger til offentlige investeringer i arbejderkvarterer med henblik på at undgå varig marginalisering heraf og forhindre, at de indtages af kriminelle netværk; understreger behovet for at sikre en stedbaseret, integreret og inklusiv tilgang til samhørighed, hvilket er absolut nødvendigt for ikke at lade noget område i stikken og for at styrke sikkerheden, den sociale retfærdighed og samhørigheden i EU permanent;</w:t>
      </w:r>
    </w:p>
    <w:p w14:paraId="2DBED3F5" w14:textId="20757B4F" w:rsidR="00B24B67" w:rsidRPr="00E863AC" w:rsidRDefault="00242E2B" w:rsidP="00B24B67">
      <w:pPr>
        <w:pStyle w:val="NormalHanging12a"/>
      </w:pPr>
      <w:r>
        <w:t>27</w:t>
      </w:r>
      <w:r w:rsidR="00B24B67" w:rsidRPr="00E863AC">
        <w:t>.</w:t>
      </w:r>
      <w:r w:rsidR="00B24B67" w:rsidRPr="00E863AC">
        <w:tab/>
        <w:t>minder om, at succesen med den italienske strategi for bekæmpelse af mafiaen i vid udstrækning beroede på mobilisering af civilsamfundet; opfordrer derfor til fuld integration af civilsamfundet, og navnlig græsrodsorganisationer, i bekæmpelsen af organiseret kriminalitet og narkotikahandel;</w:t>
      </w:r>
    </w:p>
    <w:p w14:paraId="0CD625F0" w14:textId="56084623" w:rsidR="00B24B67" w:rsidRPr="00E863AC" w:rsidRDefault="00242E2B" w:rsidP="00B24B67">
      <w:pPr>
        <w:pStyle w:val="NormalHanging12a"/>
      </w:pPr>
      <w:r>
        <w:t>28</w:t>
      </w:r>
      <w:r w:rsidR="00B24B67" w:rsidRPr="00E863AC">
        <w:t>.</w:t>
      </w:r>
      <w:r w:rsidR="00B24B67" w:rsidRPr="00E863AC">
        <w:tab/>
        <w:t>understreger, at ofrenes familiers erfaringer og stemmer skal sættes i centrum for udviklingen, gennemførelsen og evalueringen af de europæiske narkotikapolitikker, i anerkendelse af deres afgørende rolle med hensyn til at forebygge og støtte personer, der er i risiko; opfordrer derfor til, at de integreres fuldt ud i Den Europæiske Unions og medlemsstaternes fremtidige tiltag til bekæmpelse af narkotikahandel;</w:t>
      </w:r>
    </w:p>
    <w:p w14:paraId="0E7A2A0E" w14:textId="16778EA6" w:rsidR="00B24B67" w:rsidRPr="00E863AC" w:rsidRDefault="00242E2B" w:rsidP="00B24B67">
      <w:pPr>
        <w:pStyle w:val="NormalHanging12a"/>
      </w:pPr>
      <w:r>
        <w:t>29</w:t>
      </w:r>
      <w:r w:rsidR="00B24B67" w:rsidRPr="00E863AC">
        <w:t>.</w:t>
      </w:r>
      <w:r w:rsidR="00B24B67" w:rsidRPr="00E863AC">
        <w:tab/>
        <w:t>opfordrer til, at forvaltningsorganerne for narkotikastrategien, de associerede interessentudvalg og medlemsstaterne på en struktureret måde inddrager repræsentanter for ofre og berørte familier;</w:t>
      </w:r>
    </w:p>
    <w:p w14:paraId="7FAC0198" w14:textId="03A8394B" w:rsidR="00B24B67" w:rsidRPr="00E863AC" w:rsidRDefault="00242E2B" w:rsidP="00B24B67">
      <w:pPr>
        <w:pStyle w:val="NormalHanging12a"/>
      </w:pPr>
      <w:r>
        <w:t>30</w:t>
      </w:r>
      <w:r w:rsidR="00B24B67" w:rsidRPr="00E863AC">
        <w:t>.</w:t>
      </w:r>
      <w:r w:rsidR="00B24B67" w:rsidRPr="00E863AC">
        <w:tab/>
        <w:t xml:space="preserve">udtrykker sin støtte til alle aktører på stedet, herunder </w:t>
      </w:r>
      <w:r w:rsidR="00D9483E" w:rsidRPr="00D9483E">
        <w:t xml:space="preserve">retshåndhævelsespersonale, </w:t>
      </w:r>
      <w:r w:rsidR="00B24B67" w:rsidRPr="00E863AC">
        <w:t>foreninger, undervisere, socialarbejdere og lokale myndigheder; understreger betydningen af tilstrækkelig finansiel støtte fra EU til disse initiativer og bemærker, at både de midler, der er afsat til sociale tiltag, og midler, der er afsat i henhold til forslaget til forordning om EU-støtte til indre sikkerhed for perioden 2028-2034 (</w:t>
      </w:r>
      <w:proofErr w:type="gramStart"/>
      <w:r w:rsidR="00B24B67" w:rsidRPr="00E863AC">
        <w:t>COM(</w:t>
      </w:r>
      <w:proofErr w:type="gramEnd"/>
      <w:r w:rsidR="00B24B67" w:rsidRPr="00E863AC">
        <w:t>2025)0542), kan mobiliseres i denne forbindelse;</w:t>
      </w:r>
    </w:p>
    <w:p w14:paraId="04C6325D" w14:textId="67AAB48E" w:rsidR="00B24B67" w:rsidRPr="00E863AC" w:rsidRDefault="00242E2B" w:rsidP="00B24B67">
      <w:pPr>
        <w:pStyle w:val="NormalHanging12a"/>
      </w:pPr>
      <w:r>
        <w:t>31</w:t>
      </w:r>
      <w:r w:rsidR="00B24B67" w:rsidRPr="00E863AC">
        <w:t>.</w:t>
      </w:r>
      <w:r w:rsidR="00B24B67" w:rsidRPr="00E863AC">
        <w:tab/>
        <w:t>opfordrer Kommissionen og medlemsstaterne til at udvikle EU-koordinering af bedste praksis for beskyttelse af ofre og vidner under hensyntagen til de berørte familiers ofte usikre sociale og økonomiske situation;</w:t>
      </w:r>
    </w:p>
    <w:p w14:paraId="4286BCED" w14:textId="1ADDA246" w:rsidR="00B24B67" w:rsidRPr="00E863AC" w:rsidRDefault="00242E2B" w:rsidP="00B24B67">
      <w:pPr>
        <w:pStyle w:val="NormalHanging12a"/>
      </w:pPr>
      <w:r>
        <w:t>32</w:t>
      </w:r>
      <w:r w:rsidR="00B24B67" w:rsidRPr="00E863AC">
        <w:t>.</w:t>
      </w:r>
      <w:r w:rsidR="00B24B67" w:rsidRPr="00E863AC">
        <w:tab/>
        <w:t>opfordrer medlemsstaterne til at sikre, at familier, der er berørt af narkotikahandel, genhuses og har adgang til beskæftigelse for at garantere deres sikkerhed, og opfordrer Kommissionen til at medtage denne dimension i sin boligplan;</w:t>
      </w:r>
    </w:p>
    <w:p w14:paraId="460AB134" w14:textId="43A7267B" w:rsidR="00B24B67" w:rsidRPr="00E863AC" w:rsidRDefault="00242E2B" w:rsidP="00B24B67">
      <w:pPr>
        <w:pStyle w:val="NormalHanging12a"/>
      </w:pPr>
      <w:r>
        <w:t>33</w:t>
      </w:r>
      <w:r w:rsidR="00B24B67" w:rsidRPr="00E863AC">
        <w:t>.</w:t>
      </w:r>
      <w:r w:rsidR="00B24B67" w:rsidRPr="00E863AC">
        <w:tab/>
        <w:t xml:space="preserve">opfordrer medlemsstaterne til at støtte dem, der tager til orde imod organiseret kriminalitet, såsom Amine </w:t>
      </w:r>
      <w:proofErr w:type="spellStart"/>
      <w:r w:rsidR="00B24B67" w:rsidRPr="00E863AC">
        <w:t>Kessaci</w:t>
      </w:r>
      <w:proofErr w:type="spellEnd"/>
      <w:r w:rsidR="00B24B67" w:rsidRPr="00E863AC">
        <w:t xml:space="preserve"> og Roberto </w:t>
      </w:r>
      <w:proofErr w:type="spellStart"/>
      <w:r w:rsidR="00B24B67" w:rsidRPr="00E863AC">
        <w:t>Saviano</w:t>
      </w:r>
      <w:proofErr w:type="spellEnd"/>
      <w:r w:rsidR="00B24B67" w:rsidRPr="00E863AC">
        <w:t>, og til at gøre det til en søjle i forsvaret af retsstatsprincippet og ytringsfriheden;</w:t>
      </w:r>
    </w:p>
    <w:p w14:paraId="55C231AE" w14:textId="7E7C085C" w:rsidR="00E365E1" w:rsidRPr="00E863AC" w:rsidRDefault="00242E2B" w:rsidP="00361520">
      <w:pPr>
        <w:ind w:left="567" w:hanging="567"/>
      </w:pPr>
      <w:r>
        <w:t>34</w:t>
      </w:r>
      <w:r w:rsidR="00B24B67" w:rsidRPr="00E863AC">
        <w:t>.</w:t>
      </w:r>
      <w:r w:rsidR="00B24B67" w:rsidRPr="00E863AC">
        <w:tab/>
        <w:t>pålægger sin formand at sende denne beslutning til Rådet, Kommissionen, medlemsstaternes regeringer og parlamenter samt de berørte internationale institutioner og organer.</w:t>
      </w:r>
    </w:p>
    <w:sectPr w:rsidR="00E365E1" w:rsidRPr="00E863AC" w:rsidSect="004456F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CA8D59" w14:textId="77777777" w:rsidR="00922CF5" w:rsidRPr="004456F2" w:rsidRDefault="00922CF5">
      <w:r w:rsidRPr="004456F2">
        <w:separator/>
      </w:r>
    </w:p>
  </w:endnote>
  <w:endnote w:type="continuationSeparator" w:id="0">
    <w:p w14:paraId="3A0B9E5D" w14:textId="77777777" w:rsidR="00922CF5" w:rsidRPr="004456F2" w:rsidRDefault="00922CF5">
      <w:r w:rsidRPr="004456F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01A2EB" w14:textId="77777777" w:rsidR="00922CF5" w:rsidRPr="004456F2" w:rsidRDefault="00922CF5">
      <w:r w:rsidRPr="004456F2">
        <w:separator/>
      </w:r>
    </w:p>
  </w:footnote>
  <w:footnote w:type="continuationSeparator" w:id="0">
    <w:p w14:paraId="2AB71684" w14:textId="77777777" w:rsidR="00922CF5" w:rsidRPr="004456F2" w:rsidRDefault="00922CF5">
      <w:r w:rsidRPr="004456F2">
        <w:continuationSeparator/>
      </w:r>
    </w:p>
  </w:footnote>
  <w:footnote w:id="1">
    <w:p w14:paraId="766849B4" w14:textId="3929EEBF" w:rsidR="00B24B67" w:rsidRPr="004456F2" w:rsidRDefault="00B24B67" w:rsidP="004456F2">
      <w:pPr>
        <w:pStyle w:val="FootnoteText"/>
        <w:ind w:left="567" w:hanging="567"/>
        <w:rPr>
          <w:sz w:val="24"/>
          <w:lang w:val="da-DK"/>
        </w:rPr>
      </w:pPr>
      <w:r w:rsidRPr="004456F2">
        <w:rPr>
          <w:rStyle w:val="FootnoteReference"/>
          <w:sz w:val="24"/>
          <w:lang w:val="da-DK"/>
        </w:rPr>
        <w:footnoteRef/>
      </w:r>
      <w:r w:rsidR="004456F2" w:rsidRPr="004456F2">
        <w:rPr>
          <w:sz w:val="24"/>
          <w:lang w:val="da-DK"/>
        </w:rPr>
        <w:t xml:space="preserve"> </w:t>
      </w:r>
      <w:r w:rsidR="004456F2" w:rsidRPr="004456F2">
        <w:rPr>
          <w:sz w:val="24"/>
          <w:lang w:val="da-DK"/>
        </w:rPr>
        <w:tab/>
      </w:r>
      <w:r w:rsidRPr="004456F2">
        <w:rPr>
          <w:sz w:val="24"/>
          <w:lang w:val="da-DK"/>
        </w:rPr>
        <w:t>EUT L 315 af 14.11.2012, s. 57, ELI: </w:t>
      </w:r>
      <w:hyperlink r:id="rId1" w:tooltip="Giver adgang til dokumentet via dets ELI URI." w:history="1">
        <w:r w:rsidRPr="004456F2">
          <w:rPr>
            <w:rStyle w:val="Hyperlink"/>
            <w:sz w:val="24"/>
            <w:lang w:val="da-DK"/>
          </w:rPr>
          <w:t>http://data.europa.eu/eli/dir/2012/29/oj</w:t>
        </w:r>
      </w:hyperlink>
      <w:r w:rsidRPr="004456F2">
        <w:rPr>
          <w:sz w:val="24"/>
          <w:lang w:val="da-DK"/>
        </w:rPr>
        <w:t>.</w:t>
      </w:r>
    </w:p>
  </w:footnote>
  <w:footnote w:id="2">
    <w:p w14:paraId="19E070F5" w14:textId="44E0132B" w:rsidR="00B24B67" w:rsidRPr="004456F2" w:rsidRDefault="00B24B67" w:rsidP="004456F2">
      <w:pPr>
        <w:pStyle w:val="FootnoteText"/>
        <w:ind w:left="567" w:hanging="567"/>
        <w:rPr>
          <w:sz w:val="24"/>
          <w:lang w:val="da-DK"/>
        </w:rPr>
      </w:pPr>
      <w:r w:rsidRPr="004456F2">
        <w:rPr>
          <w:rStyle w:val="FootnoteReference"/>
          <w:sz w:val="24"/>
          <w:lang w:val="da-DK"/>
        </w:rPr>
        <w:footnoteRef/>
      </w:r>
      <w:r w:rsidR="004456F2" w:rsidRPr="004456F2">
        <w:rPr>
          <w:sz w:val="24"/>
          <w:lang w:val="da-DK"/>
        </w:rPr>
        <w:t xml:space="preserve"> </w:t>
      </w:r>
      <w:r w:rsidR="004456F2" w:rsidRPr="004456F2">
        <w:rPr>
          <w:sz w:val="24"/>
          <w:lang w:val="da-DK"/>
        </w:rPr>
        <w:tab/>
      </w:r>
      <w:r w:rsidRPr="004456F2">
        <w:rPr>
          <w:sz w:val="24"/>
          <w:lang w:val="da-DK"/>
        </w:rPr>
        <w:t xml:space="preserve">EUT C 65 </w:t>
      </w:r>
      <w:r w:rsidR="00670E27">
        <w:rPr>
          <w:sz w:val="24"/>
          <w:lang w:val="da-DK"/>
        </w:rPr>
        <w:t>af</w:t>
      </w:r>
      <w:r w:rsidRPr="004456F2">
        <w:rPr>
          <w:sz w:val="24"/>
          <w:lang w:val="da-DK"/>
        </w:rPr>
        <w:t xml:space="preserve"> 19.2.2016, </w:t>
      </w:r>
      <w:r w:rsidR="00670E27">
        <w:rPr>
          <w:sz w:val="24"/>
          <w:lang w:val="da-DK"/>
        </w:rPr>
        <w:t>s</w:t>
      </w:r>
      <w:r w:rsidRPr="004456F2">
        <w:rPr>
          <w:sz w:val="24"/>
          <w:lang w:val="da-DK"/>
        </w:rPr>
        <w:t>. 16.</w:t>
      </w:r>
    </w:p>
  </w:footnote>
  <w:footnote w:id="3">
    <w:p w14:paraId="525A3681" w14:textId="43DB7078" w:rsidR="00B24B67" w:rsidRPr="004456F2" w:rsidRDefault="00B24B67" w:rsidP="004456F2">
      <w:pPr>
        <w:pStyle w:val="FootnoteText"/>
        <w:ind w:left="567" w:hanging="567"/>
        <w:rPr>
          <w:sz w:val="24"/>
          <w:lang w:val="da-DK"/>
        </w:rPr>
      </w:pPr>
      <w:r w:rsidRPr="004456F2">
        <w:rPr>
          <w:rStyle w:val="FootnoteReference"/>
          <w:sz w:val="24"/>
          <w:lang w:val="da-DK"/>
        </w:rPr>
        <w:footnoteRef/>
      </w:r>
      <w:r w:rsidR="004456F2" w:rsidRPr="004456F2">
        <w:rPr>
          <w:sz w:val="24"/>
          <w:lang w:val="da-DK"/>
        </w:rPr>
        <w:t xml:space="preserve"> </w:t>
      </w:r>
      <w:r w:rsidR="004456F2" w:rsidRPr="004456F2">
        <w:rPr>
          <w:sz w:val="24"/>
          <w:lang w:val="da-DK"/>
        </w:rPr>
        <w:tab/>
      </w:r>
      <w:r w:rsidRPr="004456F2">
        <w:rPr>
          <w:sz w:val="24"/>
          <w:lang w:val="da-DK"/>
        </w:rPr>
        <w:t>EUT L, 2024/1624, 19.6.2024, ELI: </w:t>
      </w:r>
      <w:hyperlink r:id="rId2" w:tgtFrame="_blank" w:tooltip="Giver adgang til dokumentet via dets ELI URI." w:history="1">
        <w:r w:rsidRPr="004456F2">
          <w:rPr>
            <w:rStyle w:val="Hyperlink"/>
            <w:sz w:val="24"/>
            <w:lang w:val="da-DK"/>
          </w:rPr>
          <w:t>http://data.europa.eu/eli/reg/2024/1624/oj</w:t>
        </w:r>
      </w:hyperlink>
      <w:r w:rsidRPr="004456F2">
        <w:rPr>
          <w:sz w:val="24"/>
          <w:lang w:val="da-DK"/>
        </w:rPr>
        <w:t>.</w:t>
      </w:r>
    </w:p>
  </w:footnote>
  <w:footnote w:id="4">
    <w:p w14:paraId="69E9C1FC" w14:textId="646DA806" w:rsidR="00B24B67" w:rsidRPr="007839B8" w:rsidRDefault="00B24B67" w:rsidP="004456F2">
      <w:pPr>
        <w:pStyle w:val="FootnoteText"/>
        <w:ind w:left="567" w:hanging="567"/>
        <w:rPr>
          <w:sz w:val="24"/>
        </w:rPr>
      </w:pPr>
      <w:r w:rsidRPr="004456F2">
        <w:rPr>
          <w:rStyle w:val="FootnoteReference"/>
          <w:sz w:val="24"/>
          <w:lang w:val="da-DK"/>
        </w:rPr>
        <w:footnoteRef/>
      </w:r>
      <w:r w:rsidR="004456F2" w:rsidRPr="007839B8">
        <w:rPr>
          <w:sz w:val="24"/>
        </w:rPr>
        <w:t xml:space="preserve"> </w:t>
      </w:r>
      <w:r w:rsidR="004456F2" w:rsidRPr="007839B8">
        <w:rPr>
          <w:sz w:val="24"/>
        </w:rPr>
        <w:tab/>
      </w:r>
      <w:r w:rsidRPr="007839B8">
        <w:rPr>
          <w:sz w:val="24"/>
        </w:rPr>
        <w:t xml:space="preserve">EUT L, 2024/1640, 19.6.2024, </w:t>
      </w:r>
      <w:proofErr w:type="gramStart"/>
      <w:r w:rsidRPr="007839B8">
        <w:rPr>
          <w:sz w:val="24"/>
        </w:rPr>
        <w:t>ELI:</w:t>
      </w:r>
      <w:proofErr w:type="gramEnd"/>
      <w:r w:rsidRPr="007839B8">
        <w:rPr>
          <w:sz w:val="24"/>
        </w:rPr>
        <w:t> </w:t>
      </w:r>
      <w:hyperlink r:id="rId3" w:tgtFrame="_blank" w:tooltip="Giver adgang til dokumentet via dets ELI-URI." w:history="1">
        <w:r w:rsidRPr="007839B8">
          <w:rPr>
            <w:rStyle w:val="Hyperlink"/>
            <w:sz w:val="24"/>
          </w:rPr>
          <w:t>http://data.europa.eu/eli/dir/2024/1640/oj</w:t>
        </w:r>
      </w:hyperlink>
      <w:r w:rsidRPr="007839B8">
        <w:rPr>
          <w:sz w:val="24"/>
        </w:rPr>
        <w:t>.</w:t>
      </w:r>
    </w:p>
  </w:footnote>
  <w:footnote w:id="5">
    <w:p w14:paraId="47C3D98E" w14:textId="25FFBC31" w:rsidR="00B24B67" w:rsidRPr="007839B8" w:rsidRDefault="00B24B67" w:rsidP="004456F2">
      <w:pPr>
        <w:pStyle w:val="FootnoteText"/>
        <w:ind w:left="567" w:hanging="567"/>
        <w:rPr>
          <w:sz w:val="24"/>
        </w:rPr>
      </w:pPr>
      <w:r w:rsidRPr="004456F2">
        <w:rPr>
          <w:rStyle w:val="FootnoteReference"/>
          <w:sz w:val="24"/>
          <w:lang w:val="da-DK"/>
        </w:rPr>
        <w:footnoteRef/>
      </w:r>
      <w:r w:rsidR="004456F2" w:rsidRPr="007839B8">
        <w:rPr>
          <w:sz w:val="24"/>
        </w:rPr>
        <w:t xml:space="preserve"> </w:t>
      </w:r>
      <w:r w:rsidR="004456F2" w:rsidRPr="007839B8">
        <w:rPr>
          <w:sz w:val="24"/>
        </w:rPr>
        <w:tab/>
      </w:r>
      <w:r w:rsidRPr="007839B8">
        <w:rPr>
          <w:sz w:val="24"/>
        </w:rPr>
        <w:t xml:space="preserve">EUT L, 2024/1712, 24.6.2024, </w:t>
      </w:r>
      <w:proofErr w:type="gramStart"/>
      <w:r w:rsidRPr="007839B8">
        <w:rPr>
          <w:sz w:val="24"/>
        </w:rPr>
        <w:t>ELI:</w:t>
      </w:r>
      <w:proofErr w:type="gramEnd"/>
      <w:r w:rsidRPr="007839B8">
        <w:rPr>
          <w:sz w:val="24"/>
        </w:rPr>
        <w:t> </w:t>
      </w:r>
      <w:hyperlink r:id="rId4" w:tgtFrame="_blank" w:tooltip="Giver adgang til dokumentet via dets ELI-URI." w:history="1">
        <w:r w:rsidRPr="007839B8">
          <w:rPr>
            <w:rStyle w:val="Hyperlink"/>
            <w:sz w:val="24"/>
          </w:rPr>
          <w:t>http://data.europa.eu/eli/dir/2024/1712/oj</w:t>
        </w:r>
      </w:hyperlink>
      <w:r w:rsidRPr="007839B8">
        <w:rPr>
          <w:sz w:val="24"/>
        </w:rPr>
        <w:t>.</w:t>
      </w:r>
    </w:p>
  </w:footnote>
  <w:footnote w:id="6">
    <w:p w14:paraId="1A94A32A" w14:textId="5C67BDEF" w:rsidR="00D9483E" w:rsidRPr="007A2F28" w:rsidRDefault="00D9483E" w:rsidP="007A2F28">
      <w:pPr>
        <w:pStyle w:val="FootnoteText"/>
        <w:ind w:left="567" w:hanging="567"/>
        <w:rPr>
          <w:sz w:val="24"/>
          <w:szCs w:val="22"/>
          <w:lang w:val="da-DK"/>
        </w:rPr>
      </w:pPr>
      <w:r w:rsidRPr="007A2F28">
        <w:rPr>
          <w:rStyle w:val="FootnoteReference"/>
          <w:sz w:val="24"/>
          <w:szCs w:val="22"/>
        </w:rPr>
        <w:footnoteRef/>
      </w:r>
      <w:r w:rsidRPr="007A2F28">
        <w:rPr>
          <w:sz w:val="24"/>
          <w:szCs w:val="22"/>
          <w:lang w:val="da-DK"/>
        </w:rPr>
        <w:t xml:space="preserve"> </w:t>
      </w:r>
      <w:r w:rsidRPr="007A2F28">
        <w:rPr>
          <w:sz w:val="24"/>
          <w:szCs w:val="22"/>
          <w:lang w:val="da-DK"/>
        </w:rPr>
        <w:tab/>
        <w:t xml:space="preserve">Europa-Parlamentets og Rådets direktiv 2006/126/EF af 20. december 2006 om kørekort (EUT L 403 af 30.12.2006, s. 18, ELI: </w:t>
      </w:r>
      <w:hyperlink r:id="rId5" w:history="1">
        <w:r w:rsidR="007839B8" w:rsidRPr="007A2F28">
          <w:rPr>
            <w:rStyle w:val="Hyperlink"/>
            <w:sz w:val="24"/>
            <w:szCs w:val="22"/>
            <w:lang w:val="da-DK"/>
          </w:rPr>
          <w:t>http://data.europa.eu/eli/dir/2006/126/oj</w:t>
        </w:r>
      </w:hyperlink>
      <w:r w:rsidRPr="007A2F28">
        <w:rPr>
          <w:sz w:val="24"/>
          <w:szCs w:val="22"/>
          <w:lang w:val="da-DK"/>
        </w:rPr>
        <w:t>).</w:t>
      </w:r>
    </w:p>
  </w:footnote>
  <w:footnote w:id="7">
    <w:p w14:paraId="3F7E03D6" w14:textId="52FF8BCF" w:rsidR="00B24B67" w:rsidRPr="007839B8" w:rsidRDefault="00B24B67" w:rsidP="004456F2">
      <w:pPr>
        <w:pStyle w:val="FootnoteText"/>
        <w:ind w:left="567" w:hanging="567"/>
        <w:rPr>
          <w:sz w:val="24"/>
        </w:rPr>
      </w:pPr>
      <w:r w:rsidRPr="004456F2">
        <w:rPr>
          <w:rStyle w:val="FootnoteReference"/>
          <w:sz w:val="24"/>
          <w:lang w:val="da-DK"/>
        </w:rPr>
        <w:footnoteRef/>
      </w:r>
      <w:r w:rsidR="004456F2" w:rsidRPr="007839B8">
        <w:rPr>
          <w:sz w:val="24"/>
        </w:rPr>
        <w:t xml:space="preserve"> </w:t>
      </w:r>
      <w:r w:rsidR="004456F2" w:rsidRPr="007839B8">
        <w:rPr>
          <w:sz w:val="24"/>
        </w:rPr>
        <w:tab/>
      </w:r>
      <w:r w:rsidRPr="007839B8">
        <w:rPr>
          <w:sz w:val="24"/>
        </w:rPr>
        <w:t xml:space="preserve">EUT L, 2024/1260, 2.5.2024, </w:t>
      </w:r>
      <w:proofErr w:type="gramStart"/>
      <w:r w:rsidRPr="007839B8">
        <w:rPr>
          <w:sz w:val="24"/>
        </w:rPr>
        <w:t>ELI:</w:t>
      </w:r>
      <w:proofErr w:type="gramEnd"/>
      <w:r w:rsidRPr="007839B8">
        <w:rPr>
          <w:sz w:val="24"/>
        </w:rPr>
        <w:t> </w:t>
      </w:r>
      <w:hyperlink r:id="rId6" w:tgtFrame="_blank" w:tooltip="Giver adgang til dokumentet via dets ELI-URI." w:history="1">
        <w:r w:rsidRPr="007839B8">
          <w:rPr>
            <w:rStyle w:val="Hyperlink"/>
            <w:sz w:val="24"/>
          </w:rPr>
          <w:t>http://data.europa.eu/eli/dir/2024/1260/oj</w:t>
        </w:r>
      </w:hyperlink>
      <w:r w:rsidRPr="007839B8">
        <w:rPr>
          <w:sz w:val="24"/>
        </w:rPr>
        <w:t>.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593437275">
    <w:abstractNumId w:val="9"/>
  </w:num>
  <w:num w:numId="2" w16cid:durableId="207684723">
    <w:abstractNumId w:val="9"/>
  </w:num>
  <w:num w:numId="3" w16cid:durableId="1181701751">
    <w:abstractNumId w:val="7"/>
  </w:num>
  <w:num w:numId="4" w16cid:durableId="1098595464">
    <w:abstractNumId w:val="7"/>
  </w:num>
  <w:num w:numId="5" w16cid:durableId="1890263251">
    <w:abstractNumId w:val="6"/>
  </w:num>
  <w:num w:numId="6" w16cid:durableId="1281229925">
    <w:abstractNumId w:val="6"/>
  </w:num>
  <w:num w:numId="7" w16cid:durableId="939601159">
    <w:abstractNumId w:val="5"/>
  </w:num>
  <w:num w:numId="8" w16cid:durableId="1455516883">
    <w:abstractNumId w:val="5"/>
  </w:num>
  <w:num w:numId="9" w16cid:durableId="90124521">
    <w:abstractNumId w:val="4"/>
  </w:num>
  <w:num w:numId="10" w16cid:durableId="1948073060">
    <w:abstractNumId w:val="4"/>
  </w:num>
  <w:num w:numId="11" w16cid:durableId="1730613530">
    <w:abstractNumId w:val="8"/>
  </w:num>
  <w:num w:numId="12" w16cid:durableId="2133136293">
    <w:abstractNumId w:val="8"/>
  </w:num>
  <w:num w:numId="13" w16cid:durableId="1454128898">
    <w:abstractNumId w:val="3"/>
  </w:num>
  <w:num w:numId="14" w16cid:durableId="1785032701">
    <w:abstractNumId w:val="3"/>
  </w:num>
  <w:num w:numId="15" w16cid:durableId="881481778">
    <w:abstractNumId w:val="2"/>
  </w:num>
  <w:num w:numId="16" w16cid:durableId="2077386863">
    <w:abstractNumId w:val="2"/>
  </w:num>
  <w:num w:numId="17" w16cid:durableId="1428500991">
    <w:abstractNumId w:val="1"/>
  </w:num>
  <w:num w:numId="18" w16cid:durableId="815486632">
    <w:abstractNumId w:val="1"/>
  </w:num>
  <w:num w:numId="19" w16cid:durableId="1254126489">
    <w:abstractNumId w:val="0"/>
  </w:num>
  <w:num w:numId="20" w16cid:durableId="1512799425">
    <w:abstractNumId w:val="0"/>
  </w:num>
  <w:num w:numId="21" w16cid:durableId="398283194">
    <w:abstractNumId w:val="9"/>
  </w:num>
  <w:num w:numId="22" w16cid:durableId="961498777">
    <w:abstractNumId w:val="7"/>
  </w:num>
  <w:num w:numId="23" w16cid:durableId="7752659">
    <w:abstractNumId w:val="6"/>
  </w:num>
  <w:num w:numId="24" w16cid:durableId="2050916175">
    <w:abstractNumId w:val="5"/>
  </w:num>
  <w:num w:numId="25" w16cid:durableId="869220974">
    <w:abstractNumId w:val="4"/>
  </w:num>
  <w:num w:numId="26" w16cid:durableId="332687586">
    <w:abstractNumId w:val="8"/>
  </w:num>
  <w:num w:numId="27" w16cid:durableId="191185211">
    <w:abstractNumId w:val="3"/>
  </w:num>
  <w:num w:numId="28" w16cid:durableId="512233420">
    <w:abstractNumId w:val="2"/>
  </w:num>
  <w:num w:numId="29" w16cid:durableId="1933735082">
    <w:abstractNumId w:val="1"/>
  </w:num>
  <w:num w:numId="30" w16cid:durableId="122844391">
    <w:abstractNumId w:val="0"/>
  </w:num>
  <w:num w:numId="31" w16cid:durableId="500891930">
    <w:abstractNumId w:val="9"/>
  </w:num>
  <w:num w:numId="32" w16cid:durableId="29378302">
    <w:abstractNumId w:val="7"/>
  </w:num>
  <w:num w:numId="33" w16cid:durableId="256523486">
    <w:abstractNumId w:val="6"/>
  </w:num>
  <w:num w:numId="34" w16cid:durableId="830293190">
    <w:abstractNumId w:val="5"/>
  </w:num>
  <w:num w:numId="35" w16cid:durableId="84960326">
    <w:abstractNumId w:val="4"/>
  </w:num>
  <w:num w:numId="36" w16cid:durableId="94520373">
    <w:abstractNumId w:val="8"/>
  </w:num>
  <w:num w:numId="37" w16cid:durableId="1134177438">
    <w:abstractNumId w:val="3"/>
  </w:num>
  <w:num w:numId="38" w16cid:durableId="1104350963">
    <w:abstractNumId w:val="2"/>
  </w:num>
  <w:num w:numId="39" w16cid:durableId="461923071">
    <w:abstractNumId w:val="1"/>
  </w:num>
  <w:num w:numId="40" w16cid:durableId="1105003152">
    <w:abstractNumId w:val="0"/>
  </w:num>
  <w:num w:numId="41" w16cid:durableId="370149241">
    <w:abstractNumId w:val="10"/>
  </w:num>
  <w:num w:numId="42" w16cid:durableId="218371624">
    <w:abstractNumId w:val="10"/>
  </w:num>
  <w:num w:numId="43" w16cid:durableId="2031300348">
    <w:abstractNumId w:val="10"/>
  </w:num>
  <w:num w:numId="44" w16cid:durableId="52456058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057/2026"/>
    <w:docVar w:name="dvlangue" w:val="DA"/>
    <w:docVar w:name="dvnumam" w:val="0"/>
    <w:docVar w:name="dvpe" w:val="782.012"/>
    <w:docVar w:name="dvtitre" w:val="Europa-Parlamentets beslutning af 20. januar 2026 om mordet på Mehdi Kessaci: presserende behov for en ambitiøs europæisk indsats mod narkotikahandel2025/3020(RSP)"/>
  </w:docVars>
  <w:rsids>
    <w:rsidRoot w:val="00922CF5"/>
    <w:rsid w:val="00002272"/>
    <w:rsid w:val="00037591"/>
    <w:rsid w:val="00064002"/>
    <w:rsid w:val="000677B9"/>
    <w:rsid w:val="00076416"/>
    <w:rsid w:val="000831BA"/>
    <w:rsid w:val="000A42CC"/>
    <w:rsid w:val="000E7DD9"/>
    <w:rsid w:val="0010095E"/>
    <w:rsid w:val="00125B37"/>
    <w:rsid w:val="00187494"/>
    <w:rsid w:val="001F32AE"/>
    <w:rsid w:val="00242E2B"/>
    <w:rsid w:val="002767FF"/>
    <w:rsid w:val="002B18FE"/>
    <w:rsid w:val="002B5493"/>
    <w:rsid w:val="00343214"/>
    <w:rsid w:val="00361520"/>
    <w:rsid w:val="00361C00"/>
    <w:rsid w:val="00395FA1"/>
    <w:rsid w:val="003E15D4"/>
    <w:rsid w:val="00411CCE"/>
    <w:rsid w:val="0041666E"/>
    <w:rsid w:val="00421060"/>
    <w:rsid w:val="004456F2"/>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70E27"/>
    <w:rsid w:val="00680577"/>
    <w:rsid w:val="006933E2"/>
    <w:rsid w:val="006F74FA"/>
    <w:rsid w:val="00731ADD"/>
    <w:rsid w:val="00734777"/>
    <w:rsid w:val="00747932"/>
    <w:rsid w:val="00751A4A"/>
    <w:rsid w:val="00756632"/>
    <w:rsid w:val="00762C74"/>
    <w:rsid w:val="007839B8"/>
    <w:rsid w:val="00786EC0"/>
    <w:rsid w:val="007A2F28"/>
    <w:rsid w:val="007D1690"/>
    <w:rsid w:val="007E22AD"/>
    <w:rsid w:val="00817416"/>
    <w:rsid w:val="00842779"/>
    <w:rsid w:val="00865F67"/>
    <w:rsid w:val="00881A7B"/>
    <w:rsid w:val="008840E5"/>
    <w:rsid w:val="00887B3E"/>
    <w:rsid w:val="008C2AC6"/>
    <w:rsid w:val="00907046"/>
    <w:rsid w:val="00922CF5"/>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24B67"/>
    <w:rsid w:val="00B558F0"/>
    <w:rsid w:val="00B93267"/>
    <w:rsid w:val="00BD48FE"/>
    <w:rsid w:val="00BD7BD8"/>
    <w:rsid w:val="00BE6ADC"/>
    <w:rsid w:val="00C05BFE"/>
    <w:rsid w:val="00C23CD4"/>
    <w:rsid w:val="00C61C0C"/>
    <w:rsid w:val="00C941CB"/>
    <w:rsid w:val="00CC2357"/>
    <w:rsid w:val="00CF071A"/>
    <w:rsid w:val="00D058B8"/>
    <w:rsid w:val="00D56C11"/>
    <w:rsid w:val="00D765C7"/>
    <w:rsid w:val="00D80319"/>
    <w:rsid w:val="00D834A0"/>
    <w:rsid w:val="00D872DF"/>
    <w:rsid w:val="00D91E21"/>
    <w:rsid w:val="00D9483E"/>
    <w:rsid w:val="00DA7FCD"/>
    <w:rsid w:val="00E365E1"/>
    <w:rsid w:val="00E820A4"/>
    <w:rsid w:val="00E863AC"/>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7292443"/>
  <w15:chartTrackingRefBased/>
  <w15:docId w15:val="{7924D286-72FA-4FED-A6F6-CC0B326F42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B24B67"/>
    <w:pPr>
      <w:spacing w:before="480" w:after="240"/>
    </w:pPr>
  </w:style>
  <w:style w:type="paragraph" w:customStyle="1" w:styleId="NormalHanging12a">
    <w:name w:val="NormalHanging12a"/>
    <w:basedOn w:val="Normal"/>
    <w:rsid w:val="00B24B67"/>
    <w:pPr>
      <w:spacing w:after="240"/>
      <w:ind w:left="567" w:hanging="567"/>
    </w:pPr>
  </w:style>
  <w:style w:type="character" w:styleId="Hyperlink">
    <w:name w:val="Hyperlink"/>
    <w:basedOn w:val="DefaultParagraphFont"/>
    <w:uiPriority w:val="99"/>
    <w:unhideWhenUsed/>
    <w:rsid w:val="00B24B67"/>
    <w:rPr>
      <w:color w:val="0563C1" w:themeColor="hyperlink"/>
      <w:u w:val="single"/>
    </w:rPr>
  </w:style>
  <w:style w:type="paragraph" w:styleId="Revision">
    <w:name w:val="Revision"/>
    <w:hidden/>
    <w:uiPriority w:val="99"/>
    <w:semiHidden/>
    <w:rsid w:val="00670E27"/>
    <w:rPr>
      <w:sz w:val="24"/>
      <w:lang w:val="da-DK"/>
    </w:rPr>
  </w:style>
  <w:style w:type="character" w:styleId="UnresolvedMention">
    <w:name w:val="Unresolved Mention"/>
    <w:basedOn w:val="DefaultParagraphFont"/>
    <w:uiPriority w:val="99"/>
    <w:semiHidden/>
    <w:unhideWhenUsed/>
    <w:rsid w:val="007839B8"/>
    <w:rPr>
      <w:color w:val="605E5C"/>
      <w:shd w:val="clear" w:color="auto" w:fill="E1DFDD"/>
    </w:rPr>
  </w:style>
  <w:style w:type="character" w:styleId="CommentReference">
    <w:name w:val="annotation reference"/>
    <w:basedOn w:val="DefaultParagraphFont"/>
    <w:rsid w:val="007839B8"/>
    <w:rPr>
      <w:sz w:val="16"/>
      <w:szCs w:val="16"/>
    </w:rPr>
  </w:style>
  <w:style w:type="paragraph" w:styleId="CommentText">
    <w:name w:val="annotation text"/>
    <w:basedOn w:val="Normal"/>
    <w:link w:val="CommentTextChar"/>
    <w:rsid w:val="007839B8"/>
    <w:rPr>
      <w:sz w:val="20"/>
    </w:rPr>
  </w:style>
  <w:style w:type="character" w:customStyle="1" w:styleId="CommentTextChar">
    <w:name w:val="Comment Text Char"/>
    <w:basedOn w:val="DefaultParagraphFont"/>
    <w:link w:val="CommentText"/>
    <w:rsid w:val="007839B8"/>
    <w:rPr>
      <w:lang w:val="da-DK"/>
    </w:rPr>
  </w:style>
  <w:style w:type="paragraph" w:styleId="CommentSubject">
    <w:name w:val="annotation subject"/>
    <w:basedOn w:val="CommentText"/>
    <w:next w:val="CommentText"/>
    <w:link w:val="CommentSubjectChar"/>
    <w:rsid w:val="007839B8"/>
    <w:rPr>
      <w:b/>
      <w:bCs/>
    </w:rPr>
  </w:style>
  <w:style w:type="character" w:customStyle="1" w:styleId="CommentSubjectChar">
    <w:name w:val="Comment Subject Char"/>
    <w:basedOn w:val="CommentTextChar"/>
    <w:link w:val="CommentSubject"/>
    <w:rsid w:val="007839B8"/>
    <w:rPr>
      <w:b/>
      <w:bCs/>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dir/2024/1640/oj" TargetMode="External"/><Relationship Id="rId2" Type="http://schemas.openxmlformats.org/officeDocument/2006/relationships/hyperlink" Target="http://data.europa.eu/eli/reg/2024/1624/oj" TargetMode="External"/><Relationship Id="rId1" Type="http://schemas.openxmlformats.org/officeDocument/2006/relationships/hyperlink" Target="http://data.europa.eu/eli/dir/2012/29/oj" TargetMode="External"/><Relationship Id="rId6" Type="http://schemas.openxmlformats.org/officeDocument/2006/relationships/hyperlink" Target="http://data.europa.eu/eli/dir/2024/1260/oj" TargetMode="External"/><Relationship Id="rId5" Type="http://schemas.openxmlformats.org/officeDocument/2006/relationships/hyperlink" Target="http://data.europa.eu/eli/dir/2006/126/oj" TargetMode="External"/><Relationship Id="rId4" Type="http://schemas.openxmlformats.org/officeDocument/2006/relationships/hyperlink" Target="http://data.europa.eu/eli/dir/2024/171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3712</Words>
  <Characters>23276</Characters>
  <Application>Microsoft Office Word</Application>
  <DocSecurity>0</DocSecurity>
  <Lines>193</Lines>
  <Paragraphs>53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26935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NIELSEN Anja</dc:creator>
  <cp:keywords/>
  <cp:lastModifiedBy>NIELSEN Anja</cp:lastModifiedBy>
  <cp:revision>2</cp:revision>
  <cp:lastPrinted>2004-11-19T15:42:00Z</cp:lastPrinted>
  <dcterms:created xsi:type="dcterms:W3CDTF">2026-01-20T15:37:00Z</dcterms:created>
  <dcterms:modified xsi:type="dcterms:W3CDTF">2026-01-20T15:37:00Z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P10_TA(2026)0007_</vt:lpwstr>
  </property>
  <property fmtid="{D5CDD505-2E9C-101B-9397-08002B2CF9AE}" pid="4" name="&lt;Type&gt;">
    <vt:lpwstr>RR</vt:lpwstr>
  </property>
</Properties>
</file>