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622E" w14:paraId="24B7FAAC" w14:textId="77777777" w:rsidTr="0010095E">
        <w:trPr>
          <w:trHeight w:hRule="exact" w:val="1418"/>
        </w:trPr>
        <w:tc>
          <w:tcPr>
            <w:tcW w:w="6804" w:type="dxa"/>
            <w:shd w:val="clear" w:color="auto" w:fill="auto"/>
            <w:vAlign w:val="center"/>
          </w:tcPr>
          <w:p w14:paraId="414E3D1B" w14:textId="77777777" w:rsidR="00751A4A" w:rsidRPr="00D4622E" w:rsidRDefault="00936D2F" w:rsidP="0010095E">
            <w:pPr>
              <w:pStyle w:val="EPName"/>
            </w:pPr>
            <w:r w:rsidRPr="00D4622E">
              <w:t>Euroopan parlamentti</w:t>
            </w:r>
          </w:p>
          <w:p w14:paraId="718B014F" w14:textId="77777777" w:rsidR="00751A4A" w:rsidRPr="00D4622E" w:rsidRDefault="005F1B17" w:rsidP="005F1B17">
            <w:pPr>
              <w:pStyle w:val="EPTerm"/>
              <w:rPr>
                <w:rStyle w:val="HideTWBExt"/>
                <w:noProof w:val="0"/>
                <w:vanish w:val="0"/>
                <w:color w:val="auto"/>
              </w:rPr>
            </w:pPr>
            <w:r w:rsidRPr="00D4622E">
              <w:t>2024</w:t>
            </w:r>
            <w:r w:rsidR="00817416" w:rsidRPr="00D4622E">
              <w:t>-202</w:t>
            </w:r>
            <w:r w:rsidRPr="00D4622E">
              <w:t>9</w:t>
            </w:r>
          </w:p>
        </w:tc>
        <w:tc>
          <w:tcPr>
            <w:tcW w:w="2268" w:type="dxa"/>
            <w:shd w:val="clear" w:color="auto" w:fill="auto"/>
          </w:tcPr>
          <w:p w14:paraId="7CBE1EFE" w14:textId="77777777" w:rsidR="00751A4A" w:rsidRPr="00D4622E" w:rsidRDefault="00187494" w:rsidP="0010095E">
            <w:pPr>
              <w:pStyle w:val="EPLogo"/>
            </w:pPr>
            <w:r w:rsidRPr="00D4622E">
              <w:rPr>
                <w:noProof/>
                <w:lang w:eastAsia="ja-JP"/>
              </w:rPr>
              <w:drawing>
                <wp:inline distT="0" distB="0" distL="0" distR="0" wp14:anchorId="5C993789" wp14:editId="7CF476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1870D3" w14:textId="77777777" w:rsidR="00D058B8" w:rsidRPr="00D4622E" w:rsidRDefault="00D058B8" w:rsidP="004C5D52">
      <w:pPr>
        <w:pStyle w:val="LineTop"/>
      </w:pPr>
    </w:p>
    <w:p w14:paraId="61AD2E69" w14:textId="77777777" w:rsidR="00680577" w:rsidRPr="00D4622E" w:rsidRDefault="00936D2F" w:rsidP="00680577">
      <w:pPr>
        <w:pStyle w:val="EPBodyTA1"/>
      </w:pPr>
      <w:r w:rsidRPr="00D4622E">
        <w:t>HYVÄKSYTYT TEKSTIT</w:t>
      </w:r>
    </w:p>
    <w:p w14:paraId="4BDA513A" w14:textId="77777777" w:rsidR="00D058B8" w:rsidRPr="00D4622E" w:rsidRDefault="00D058B8" w:rsidP="00D058B8">
      <w:pPr>
        <w:pStyle w:val="LineBottom"/>
      </w:pPr>
    </w:p>
    <w:p w14:paraId="116B0B2B" w14:textId="06935177" w:rsidR="00936D2F" w:rsidRPr="00D4622E" w:rsidRDefault="00936D2F" w:rsidP="00936D2F">
      <w:pPr>
        <w:pStyle w:val="ATHeading1"/>
      </w:pPr>
      <w:bookmarkStart w:id="0" w:name="TANumber"/>
      <w:r w:rsidRPr="00D4622E">
        <w:t>P10_TA(2026)000</w:t>
      </w:r>
      <w:bookmarkEnd w:id="0"/>
      <w:r w:rsidR="00552C1D">
        <w:t>7</w:t>
      </w:r>
    </w:p>
    <w:p w14:paraId="52983614" w14:textId="02BD4FE6" w:rsidR="00936D2F" w:rsidRPr="00D4622E" w:rsidRDefault="0045191E" w:rsidP="0045191E">
      <w:pPr>
        <w:pStyle w:val="ATHeading2"/>
      </w:pPr>
      <w:bookmarkStart w:id="1" w:name="title"/>
      <w:proofErr w:type="spellStart"/>
      <w:r w:rsidRPr="00D4622E">
        <w:rPr>
          <w:bCs/>
        </w:rPr>
        <w:t>Mehdi</w:t>
      </w:r>
      <w:proofErr w:type="spellEnd"/>
      <w:r w:rsidRPr="00D4622E">
        <w:rPr>
          <w:bCs/>
        </w:rPr>
        <w:t xml:space="preserve"> </w:t>
      </w:r>
      <w:proofErr w:type="spellStart"/>
      <w:r w:rsidRPr="00D4622E">
        <w:rPr>
          <w:bCs/>
        </w:rPr>
        <w:t>Kessacin</w:t>
      </w:r>
      <w:proofErr w:type="spellEnd"/>
      <w:r w:rsidRPr="00D4622E">
        <w:rPr>
          <w:bCs/>
        </w:rPr>
        <w:t xml:space="preserve"> murha ja kiireellinen tarve kunnianhimoisille eurooppalaisille toimille huumausainekaupan torjumiseksi</w:t>
      </w:r>
      <w:bookmarkEnd w:id="1"/>
    </w:p>
    <w:p w14:paraId="345F85B7" w14:textId="77777777" w:rsidR="00936D2F" w:rsidRPr="00D4622E" w:rsidRDefault="00936D2F" w:rsidP="00936D2F">
      <w:pPr>
        <w:rPr>
          <w:i/>
          <w:vanish/>
        </w:rPr>
      </w:pPr>
      <w:r w:rsidRPr="00D4622E">
        <w:rPr>
          <w:i/>
        </w:rPr>
        <w:fldChar w:fldCharType="begin"/>
      </w:r>
      <w:r w:rsidRPr="00D4622E">
        <w:rPr>
          <w:i/>
        </w:rPr>
        <w:instrText xml:space="preserve"> TC"(</w:instrText>
      </w:r>
      <w:bookmarkStart w:id="2" w:name="DocNumber"/>
      <w:r w:rsidRPr="00D4622E">
        <w:rPr>
          <w:i/>
        </w:rPr>
        <w:instrText>B10-0057/2026</w:instrText>
      </w:r>
      <w:bookmarkEnd w:id="2"/>
      <w:r w:rsidRPr="00D4622E">
        <w:rPr>
          <w:i/>
        </w:rPr>
        <w:instrText xml:space="preserve">)"\l3 \n&gt; \* MERGEFORMAT </w:instrText>
      </w:r>
      <w:r w:rsidRPr="00D4622E">
        <w:rPr>
          <w:i/>
        </w:rPr>
        <w:fldChar w:fldCharType="end"/>
      </w:r>
    </w:p>
    <w:p w14:paraId="4F999F43" w14:textId="77777777" w:rsidR="00936D2F" w:rsidRPr="00D4622E" w:rsidRDefault="00936D2F" w:rsidP="00936D2F">
      <w:pPr>
        <w:rPr>
          <w:vanish/>
        </w:rPr>
      </w:pPr>
      <w:bookmarkStart w:id="3" w:name="PE"/>
      <w:r w:rsidRPr="00D4622E">
        <w:rPr>
          <w:vanish/>
        </w:rPr>
        <w:t>PE782.012</w:t>
      </w:r>
      <w:bookmarkEnd w:id="3"/>
    </w:p>
    <w:p w14:paraId="537FA8C0" w14:textId="77777777" w:rsidR="00936D2F" w:rsidRPr="00D4622E" w:rsidRDefault="00936D2F" w:rsidP="00936D2F">
      <w:pPr>
        <w:pStyle w:val="ATHeading3"/>
      </w:pPr>
      <w:bookmarkStart w:id="4" w:name="Sujet"/>
      <w:r w:rsidRPr="00D4622E">
        <w:t xml:space="preserve">Euroopan parlamentin päätöslauselma 20. tammikuuta 2026 </w:t>
      </w:r>
      <w:proofErr w:type="spellStart"/>
      <w:r w:rsidRPr="00D4622E">
        <w:t>Mehdi</w:t>
      </w:r>
      <w:proofErr w:type="spellEnd"/>
      <w:r w:rsidRPr="00D4622E">
        <w:t xml:space="preserve"> </w:t>
      </w:r>
      <w:proofErr w:type="spellStart"/>
      <w:r w:rsidRPr="00D4622E">
        <w:t>Kessacin</w:t>
      </w:r>
      <w:proofErr w:type="spellEnd"/>
      <w:r w:rsidRPr="00D4622E">
        <w:t xml:space="preserve"> murhasta ja kiireellisestä tarpeesta kunnianhimoisille eurooppalaisille toimille huumausainekaupan torjumiseksi</w:t>
      </w:r>
      <w:bookmarkEnd w:id="4"/>
      <w:r w:rsidRPr="00D4622E">
        <w:t xml:space="preserve"> </w:t>
      </w:r>
      <w:bookmarkStart w:id="5" w:name="References"/>
      <w:r w:rsidRPr="00D4622E">
        <w:t>(2025/3020(RSP))</w:t>
      </w:r>
      <w:bookmarkEnd w:id="5"/>
    </w:p>
    <w:p w14:paraId="2857C92C" w14:textId="77777777" w:rsidR="00070A02" w:rsidRPr="00D4622E" w:rsidRDefault="00070A02" w:rsidP="0045191E">
      <w:pPr>
        <w:pStyle w:val="EPComma"/>
        <w:widowControl/>
      </w:pPr>
      <w:bookmarkStart w:id="6" w:name="TextBodyBegin"/>
      <w:bookmarkEnd w:id="6"/>
      <w:r w:rsidRPr="00D4622E">
        <w:rPr>
          <w:i/>
          <w:iCs/>
        </w:rPr>
        <w:t>Euroopan parlamentti</w:t>
      </w:r>
      <w:r w:rsidRPr="00D4622E">
        <w:t>, joka</w:t>
      </w:r>
    </w:p>
    <w:p w14:paraId="4ACD630B" w14:textId="77777777" w:rsidR="00070A02" w:rsidRPr="00D4622E" w:rsidRDefault="00070A02" w:rsidP="0045191E">
      <w:pPr>
        <w:pStyle w:val="NormalHanging12a"/>
        <w:widowControl/>
      </w:pPr>
      <w:r w:rsidRPr="00D4622E">
        <w:t>–</w:t>
      </w:r>
      <w:r w:rsidRPr="00D4622E">
        <w:tab/>
        <w:t>ottaa huomioon Euroopan unionista tehdyn sopimuksen (SEU) ja Euroopan unionin toiminnasta tehdyn sopimuksen (SEUT) ja erityisesti niiden määräykset, jotka koskevat vapauden, turvallisuuden ja oikeuden aluetta,</w:t>
      </w:r>
    </w:p>
    <w:p w14:paraId="445D7077" w14:textId="77777777" w:rsidR="00070A02" w:rsidRPr="00D4622E" w:rsidRDefault="00070A02" w:rsidP="0045191E">
      <w:pPr>
        <w:pStyle w:val="NormalHanging12a"/>
        <w:widowControl/>
        <w:rPr>
          <w:szCs w:val="24"/>
        </w:rPr>
      </w:pPr>
      <w:r w:rsidRPr="00D4622E">
        <w:t>–</w:t>
      </w:r>
      <w:r w:rsidRPr="00D4622E">
        <w:tab/>
        <w:t>ottaa huomioon Euroopan unionin perusoikeuskirjan ja erityisesti sen artiklat, jotka koskevat ihmisarvoa, oikeutta elämään, sananvapautta, uhrien oikeuksia ja henkilötietojen suojaa,</w:t>
      </w:r>
    </w:p>
    <w:p w14:paraId="4FB06C68" w14:textId="77777777" w:rsidR="00070A02" w:rsidRPr="00D4622E" w:rsidRDefault="00070A02" w:rsidP="0045191E">
      <w:pPr>
        <w:pStyle w:val="NormalHanging12a"/>
        <w:widowControl/>
      </w:pPr>
      <w:r w:rsidRPr="00D4622E">
        <w:t>–</w:t>
      </w:r>
      <w:r w:rsidRPr="00D4622E">
        <w:tab/>
        <w:t>ottaa huomioon Euroopan unionin huumausainestrategiat ja niiden uusimman version, joka julkaistiin yhdessä huumausainekaupan torjuntaa koskevan EU:n toimintasuunnitelman 2026–2030 kanssa,</w:t>
      </w:r>
    </w:p>
    <w:p w14:paraId="3E3BB031" w14:textId="77777777" w:rsidR="00070A02" w:rsidRPr="00D4622E" w:rsidRDefault="00070A02" w:rsidP="0045191E">
      <w:pPr>
        <w:pStyle w:val="NormalHanging12a"/>
        <w:widowControl/>
      </w:pPr>
      <w:r w:rsidRPr="00D4622E">
        <w:t>–</w:t>
      </w:r>
      <w:r w:rsidRPr="00D4622E">
        <w:tab/>
        <w:t>ottaa huomioon vuonna 1997 huumausaineita koskevia EU:n toimia koordinoimaan perustetun neuvoston horisontaalisen huumausainetyöryhmän työn,</w:t>
      </w:r>
    </w:p>
    <w:p w14:paraId="12E31C8C" w14:textId="77777777" w:rsidR="00070A02" w:rsidRPr="00D4622E" w:rsidRDefault="00070A02" w:rsidP="0045191E">
      <w:pPr>
        <w:pStyle w:val="NormalHanging12a"/>
        <w:widowControl/>
      </w:pPr>
      <w:r w:rsidRPr="00D4622E">
        <w:t>–</w:t>
      </w:r>
      <w:r w:rsidRPr="00D4622E">
        <w:tab/>
        <w:t>ottaa huomioon Euroopan unionin huumeviraston raportit ja analyysit, erityisesti Euroopan huumeraportin 2025,</w:t>
      </w:r>
    </w:p>
    <w:p w14:paraId="2DCAEB0C" w14:textId="77777777" w:rsidR="00070A02" w:rsidRPr="00D4622E" w:rsidRDefault="00070A02" w:rsidP="0045191E">
      <w:pPr>
        <w:pStyle w:val="NormalHanging12a"/>
        <w:widowControl/>
      </w:pPr>
      <w:r w:rsidRPr="00D4622E">
        <w:t>–</w:t>
      </w:r>
      <w:r w:rsidRPr="00D4622E">
        <w:tab/>
        <w:t>ottaa huomioon, että on perustettu Euroopan huumetorjuntaliittouma, joka kokoaa yhteen yli 40 maata ja jonka tavoitteena on vahvistaa kansainvälistä yhteistyötä huumausainekaupan torjumiseksi,</w:t>
      </w:r>
    </w:p>
    <w:p w14:paraId="5CA7EA13" w14:textId="77777777" w:rsidR="00070A02" w:rsidRPr="00D4622E" w:rsidRDefault="00070A02" w:rsidP="0045191E">
      <w:pPr>
        <w:pStyle w:val="NormalHanging12a"/>
        <w:widowControl/>
      </w:pPr>
      <w:r w:rsidRPr="00D4622E">
        <w:t>–</w:t>
      </w:r>
      <w:r w:rsidRPr="00D4622E">
        <w:tab/>
        <w:t>ottaa huomioon Euroopan neuvoston Pompidou-ryhmän ehkäisevän päihdetyön huumausaineiden alalla,</w:t>
      </w:r>
    </w:p>
    <w:p w14:paraId="30CBB604" w14:textId="77777777" w:rsidR="00070A02" w:rsidRPr="00D4622E" w:rsidRDefault="00070A02" w:rsidP="0045191E">
      <w:pPr>
        <w:pStyle w:val="NormalHanging12a"/>
        <w:widowControl/>
      </w:pPr>
      <w:r w:rsidRPr="00D4622E">
        <w:t>–</w:t>
      </w:r>
      <w:r w:rsidRPr="00D4622E">
        <w:tab/>
        <w:t>ottaa huomioon vuonna 1988 tehdyn Yhdistyneiden kansakuntien yleissopimuksen huumausaineiden ja psykotrooppisten aineiden laitonta kauppaa vastaan sekä Yhdistyneiden kansakuntien huumeiden ja rikollisuuden torjunnasta vastaavan toimiston (UNODC) työn,</w:t>
      </w:r>
    </w:p>
    <w:p w14:paraId="12128C80" w14:textId="77777777" w:rsidR="00070A02" w:rsidRPr="00D4622E" w:rsidRDefault="00070A02" w:rsidP="0045191E">
      <w:pPr>
        <w:pStyle w:val="NormalHanging12a"/>
        <w:widowControl/>
      </w:pPr>
      <w:r w:rsidRPr="00D4622E">
        <w:lastRenderedPageBreak/>
        <w:t>–</w:t>
      </w:r>
      <w:r w:rsidRPr="00D4622E">
        <w:tab/>
        <w:t>ottaa huomioon Palermossa vuonna 2000 allekirjoitetun kansainvälisen järjestäytyneen rikollisuuden vastaisen Yhdistyneiden kansakuntien yleissopimuksen ja sen pöytäkirjat sekä korruption vastaisen Yhdistyneiden kansakuntien yleissopimuksen,</w:t>
      </w:r>
    </w:p>
    <w:p w14:paraId="6CA4C431" w14:textId="77777777" w:rsidR="00070A02" w:rsidRPr="00D4622E" w:rsidRDefault="00070A02" w:rsidP="0045191E">
      <w:pPr>
        <w:pStyle w:val="NormalHanging12a"/>
        <w:widowControl/>
      </w:pPr>
      <w:r w:rsidRPr="00D4622E">
        <w:t>–</w:t>
      </w:r>
      <w:r w:rsidRPr="00D4622E">
        <w:tab/>
        <w:t>ottaa huomioon eri toimenpiteet, joita eurooppalaiset ja kansainväliset elimet ovat toteuttaneet ehkäistäkseen ja torjuakseen rahanpesua ja järjestäytynyttä rikollisuutta,</w:t>
      </w:r>
    </w:p>
    <w:p w14:paraId="080786C3" w14:textId="77777777" w:rsidR="00070A02" w:rsidRPr="00D4622E" w:rsidRDefault="00070A02" w:rsidP="0045191E">
      <w:pPr>
        <w:pStyle w:val="NormalHanging12a"/>
        <w:widowControl/>
      </w:pPr>
      <w:r w:rsidRPr="00D4622E">
        <w:t>–</w:t>
      </w:r>
      <w:r w:rsidRPr="00D4622E">
        <w:tab/>
        <w:t>ottaa huomioon rikoksen uhrin oikeuksia, tukea ja suojelua koskevista vähimmäisvaatimuksista 25. lokakuuta 2012 annetun Euroopan parlamentin ja neuvoston direktiivin 2012/29/EU</w:t>
      </w:r>
      <w:r w:rsidRPr="00D4622E">
        <w:rPr>
          <w:rStyle w:val="FootnoteReference"/>
          <w:rFonts w:eastAsia="Arial"/>
        </w:rPr>
        <w:footnoteReference w:id="1"/>
      </w:r>
      <w:r w:rsidRPr="00D4622E">
        <w:t>,</w:t>
      </w:r>
    </w:p>
    <w:p w14:paraId="23C99D2A" w14:textId="77777777" w:rsidR="00070A02" w:rsidRPr="00D4622E" w:rsidRDefault="00070A02" w:rsidP="0045191E">
      <w:pPr>
        <w:pStyle w:val="NormalHanging12a"/>
        <w:widowControl/>
      </w:pPr>
      <w:r w:rsidRPr="00D4622E">
        <w:t>–</w:t>
      </w:r>
      <w:r w:rsidRPr="00D4622E">
        <w:tab/>
        <w:t>ottaa huomioon Yhdistyneiden kansakuntien yleiskokouksen 20. marraskuuta 1989 hyväksymän yleissopimuksen lapsen oikeuksista,</w:t>
      </w:r>
    </w:p>
    <w:p w14:paraId="089F2230" w14:textId="77777777" w:rsidR="00070A02" w:rsidRPr="00D4622E" w:rsidRDefault="00070A02" w:rsidP="0045191E">
      <w:pPr>
        <w:pStyle w:val="NormalHanging12a"/>
        <w:widowControl/>
      </w:pPr>
      <w:r w:rsidRPr="00D4622E">
        <w:t>–</w:t>
      </w:r>
      <w:r w:rsidRPr="00D4622E">
        <w:tab/>
        <w:t>ottaa huomioon 11. kesäkuuta 2013 antamansa päätöslauselman järjestäytyneestä rikollisuudesta, korruptiosta ja rahanpesusta</w:t>
      </w:r>
      <w:r w:rsidRPr="00D4622E">
        <w:rPr>
          <w:rStyle w:val="FootnoteReference"/>
          <w:rFonts w:eastAsia="Arial"/>
        </w:rPr>
        <w:footnoteReference w:id="2"/>
      </w:r>
      <w:r w:rsidRPr="00D4622E">
        <w:t>,</w:t>
      </w:r>
    </w:p>
    <w:p w14:paraId="5BEF3B51" w14:textId="77777777" w:rsidR="00070A02" w:rsidRPr="00D4622E" w:rsidRDefault="00070A02" w:rsidP="0045191E">
      <w:pPr>
        <w:pStyle w:val="NormalHanging12a"/>
        <w:widowControl/>
      </w:pPr>
      <w:r w:rsidRPr="00D4622E">
        <w:t>–</w:t>
      </w:r>
      <w:r w:rsidRPr="00D4622E">
        <w:tab/>
        <w:t xml:space="preserve">ottaa huomioon unionin elinten, erityisesti Euroopan unionin huumeviraston, Europolin ja </w:t>
      </w:r>
      <w:proofErr w:type="spellStart"/>
      <w:r w:rsidRPr="00D4622E">
        <w:t>Eurojustin</w:t>
      </w:r>
      <w:proofErr w:type="spellEnd"/>
      <w:r w:rsidRPr="00D4622E">
        <w:t>, osallistumisen huumausainekaupan torjuntaan,</w:t>
      </w:r>
    </w:p>
    <w:p w14:paraId="03C36EE4" w14:textId="77777777" w:rsidR="00070A02" w:rsidRPr="00D4622E" w:rsidRDefault="00070A02" w:rsidP="0045191E">
      <w:pPr>
        <w:pStyle w:val="NormalHanging12a"/>
        <w:widowControl/>
      </w:pPr>
      <w:r w:rsidRPr="00D4622E">
        <w:t>–</w:t>
      </w:r>
      <w:r w:rsidRPr="00D4622E">
        <w:tab/>
        <w:t>ottaa huomioon rahanpesun ja terrorismin rahoituksen torjuntaa koskevan EU:n vuoden 2024 lainsäädäntöpaketin, mukaan lukien erityisesti asetus (EU) 2024/1624</w:t>
      </w:r>
      <w:r w:rsidRPr="00D4622E">
        <w:rPr>
          <w:rStyle w:val="FootnoteReference"/>
          <w:rFonts w:eastAsia="Arial"/>
        </w:rPr>
        <w:footnoteReference w:id="3"/>
      </w:r>
      <w:r w:rsidRPr="00D4622E">
        <w:t>, direktiivi (EU) 2024/1640</w:t>
      </w:r>
      <w:r w:rsidRPr="00D4622E">
        <w:rPr>
          <w:rStyle w:val="FootnoteReference"/>
          <w:rFonts w:eastAsia="Arial"/>
        </w:rPr>
        <w:footnoteReference w:id="4"/>
      </w:r>
      <w:r w:rsidRPr="00D4622E">
        <w:t xml:space="preserve"> ja rahanpesuntorjuntaviranomaisen (AMLA) perustaminen,</w:t>
      </w:r>
    </w:p>
    <w:p w14:paraId="7B81D9D8" w14:textId="77777777" w:rsidR="00070A02" w:rsidRPr="00D4622E" w:rsidRDefault="00070A02" w:rsidP="0045191E">
      <w:pPr>
        <w:pStyle w:val="NormalHanging12a"/>
        <w:widowControl/>
      </w:pPr>
      <w:r w:rsidRPr="00D4622E">
        <w:t>–</w:t>
      </w:r>
      <w:r w:rsidRPr="00D4622E">
        <w:tab/>
        <w:t>ottaa huomioon ihmiskaupan ehkäisemisestä ja torjumisesta sekä ihmiskaupan uhrien suojelemisesta annetun direktiivin 2011/36/EU muuttamisesta 13. kesäkuuta 2024 annetun Euroopan parlamentin ja neuvoston direktiivin (EU) 2024/1712</w:t>
      </w:r>
      <w:r w:rsidRPr="00D4622E">
        <w:rPr>
          <w:rStyle w:val="FootnoteReference"/>
          <w:rFonts w:eastAsia="Arial"/>
        </w:rPr>
        <w:footnoteReference w:id="5"/>
      </w:r>
      <w:r w:rsidRPr="00D4622E">
        <w:t>,</w:t>
      </w:r>
    </w:p>
    <w:p w14:paraId="3F8F3C70" w14:textId="77777777" w:rsidR="00070A02" w:rsidRPr="00D4622E" w:rsidRDefault="00070A02" w:rsidP="0045191E">
      <w:pPr>
        <w:pStyle w:val="NormalHanging12a"/>
        <w:widowControl/>
      </w:pPr>
      <w:r w:rsidRPr="00D4622E">
        <w:t>–</w:t>
      </w:r>
      <w:r w:rsidRPr="00D4622E">
        <w:tab/>
        <w:t>ottaa huomioon huumausaineita käsittelevän kansalaisyhteiskunnan foorumin ja sen nuorisojärjestön työn,</w:t>
      </w:r>
    </w:p>
    <w:p w14:paraId="750E7006" w14:textId="77777777" w:rsidR="00070A02" w:rsidRPr="00D4622E" w:rsidRDefault="00070A02" w:rsidP="0045191E">
      <w:pPr>
        <w:pStyle w:val="NormalHanging12a"/>
        <w:widowControl/>
      </w:pPr>
      <w:r w:rsidRPr="00D4622E">
        <w:t>–</w:t>
      </w:r>
      <w:r w:rsidRPr="00D4622E">
        <w:tab/>
        <w:t>ottaa huomioon syrjäisimpien alueiden erityisen kriittisen tilanteen,</w:t>
      </w:r>
    </w:p>
    <w:p w14:paraId="45EC8021" w14:textId="77777777" w:rsidR="00070A02" w:rsidRPr="00D4622E" w:rsidRDefault="00070A02" w:rsidP="0045191E">
      <w:pPr>
        <w:pStyle w:val="NormalHanging12a"/>
        <w:widowControl/>
      </w:pPr>
      <w:r w:rsidRPr="00D4622E">
        <w:t>–</w:t>
      </w:r>
      <w:r w:rsidRPr="00D4622E">
        <w:tab/>
        <w:t xml:space="preserve">ottaa huomioon huumausaineiden vastaisen aktivistin </w:t>
      </w:r>
      <w:proofErr w:type="spellStart"/>
      <w:r w:rsidRPr="00D4622E">
        <w:t>Amine</w:t>
      </w:r>
      <w:proofErr w:type="spellEnd"/>
      <w:r w:rsidRPr="00D4622E">
        <w:t xml:space="preserve"> </w:t>
      </w:r>
      <w:proofErr w:type="spellStart"/>
      <w:r w:rsidRPr="00D4622E">
        <w:t>Kessacin</w:t>
      </w:r>
      <w:proofErr w:type="spellEnd"/>
      <w:r w:rsidRPr="00D4622E">
        <w:t xml:space="preserve"> kirjan ”Marseille, </w:t>
      </w:r>
      <w:proofErr w:type="spellStart"/>
      <w:r w:rsidRPr="00D4622E">
        <w:t>essuie</w:t>
      </w:r>
      <w:proofErr w:type="spellEnd"/>
      <w:r w:rsidRPr="00D4622E">
        <w:t xml:space="preserve"> </w:t>
      </w:r>
      <w:proofErr w:type="spellStart"/>
      <w:r w:rsidRPr="00D4622E">
        <w:t>tes</w:t>
      </w:r>
      <w:proofErr w:type="spellEnd"/>
      <w:r w:rsidRPr="00D4622E">
        <w:t xml:space="preserve"> </w:t>
      </w:r>
      <w:proofErr w:type="spellStart"/>
      <w:r w:rsidRPr="00D4622E">
        <w:t>larmes</w:t>
      </w:r>
      <w:proofErr w:type="spellEnd"/>
      <w:r w:rsidRPr="00D4622E">
        <w:t>” ja hänen puheensa, joissa hän on vaatinut huumausainekaupan vastaisia toimia ja kehottanut käynnistämään kansanliikkeen,</w:t>
      </w:r>
    </w:p>
    <w:p w14:paraId="1CFC45D6" w14:textId="77777777" w:rsidR="00070A02" w:rsidRPr="00D4622E" w:rsidRDefault="00070A02" w:rsidP="0045191E">
      <w:pPr>
        <w:pStyle w:val="NormalHanging12a"/>
        <w:widowControl/>
      </w:pPr>
      <w:r w:rsidRPr="00D4622E">
        <w:t>–</w:t>
      </w:r>
      <w:r w:rsidRPr="00D4622E">
        <w:tab/>
        <w:t>ottaa huomioon työjärjestyksen 136 artiklan 2 kohdan,</w:t>
      </w:r>
    </w:p>
    <w:p w14:paraId="150FE009" w14:textId="77777777" w:rsidR="00070A02" w:rsidRPr="00D4622E" w:rsidRDefault="00070A02" w:rsidP="0045191E">
      <w:pPr>
        <w:pStyle w:val="NormalHanging12a"/>
        <w:widowControl/>
      </w:pPr>
      <w:r w:rsidRPr="00D4622E">
        <w:t>A.</w:t>
      </w:r>
      <w:r w:rsidRPr="00D4622E">
        <w:tab/>
        <w:t xml:space="preserve">ottaa huomioon, että 20-vuotias Ranskan kansalainen </w:t>
      </w:r>
      <w:proofErr w:type="spellStart"/>
      <w:r w:rsidRPr="00D4622E">
        <w:t>Mehdi</w:t>
      </w:r>
      <w:proofErr w:type="spellEnd"/>
      <w:r w:rsidRPr="00D4622E">
        <w:t xml:space="preserve"> </w:t>
      </w:r>
      <w:proofErr w:type="spellStart"/>
      <w:r w:rsidRPr="00D4622E">
        <w:t>Kessaci</w:t>
      </w:r>
      <w:proofErr w:type="spellEnd"/>
      <w:r w:rsidRPr="00D4622E">
        <w:t>, joka ei ollut poliisille entuudestaan tuttu muuten kuin siksi, että hän oli hakenut rauhanturvaajaksi, murhattiin Marseillen kadulla 13. marraskuuta 2025 keskellä kirkasta päivää huumausainekauppaan liittyvän väkivallan yhteydessä, ja toteaa tämän olevan osoitus rikollisverkostojen lisääntyvästä raakuudesta ja tällaisen väkivallan suorista seurauksista perheille ja paikallisyhteisöille;</w:t>
      </w:r>
    </w:p>
    <w:p w14:paraId="1D128314" w14:textId="77777777" w:rsidR="00070A02" w:rsidRPr="00D4622E" w:rsidRDefault="00070A02" w:rsidP="0045191E">
      <w:pPr>
        <w:pStyle w:val="NormalHanging12a"/>
        <w:widowControl/>
      </w:pPr>
      <w:r w:rsidRPr="00D4622E">
        <w:lastRenderedPageBreak/>
        <w:t>B.</w:t>
      </w:r>
      <w:r w:rsidRPr="00D4622E">
        <w:tab/>
        <w:t xml:space="preserve">ottaa huomioon, että </w:t>
      </w:r>
      <w:proofErr w:type="spellStart"/>
      <w:r w:rsidRPr="00D4622E">
        <w:t>Mehdi</w:t>
      </w:r>
      <w:proofErr w:type="spellEnd"/>
      <w:r w:rsidRPr="00D4622E">
        <w:t xml:space="preserve"> </w:t>
      </w:r>
      <w:proofErr w:type="spellStart"/>
      <w:r w:rsidRPr="00D4622E">
        <w:t>Kessaci</w:t>
      </w:r>
      <w:proofErr w:type="spellEnd"/>
      <w:r w:rsidRPr="00D4622E">
        <w:t xml:space="preserve"> oli huumausainekaupan vastaisen aktivistin kirjailija </w:t>
      </w:r>
      <w:proofErr w:type="spellStart"/>
      <w:r w:rsidRPr="00D4622E">
        <w:t>Amine</w:t>
      </w:r>
      <w:proofErr w:type="spellEnd"/>
      <w:r w:rsidRPr="00D4622E">
        <w:t xml:space="preserve"> </w:t>
      </w:r>
      <w:proofErr w:type="spellStart"/>
      <w:r w:rsidRPr="00D4622E">
        <w:t>Kessacin</w:t>
      </w:r>
      <w:proofErr w:type="spellEnd"/>
      <w:r w:rsidRPr="00D4622E">
        <w:t xml:space="preserve"> veli, joka tunnetaan järjestäytyneen rikollisuuden vastaisesta kansalaisaktivismistaan; toteaa, että ei ole epäilystäkään siitä, että </w:t>
      </w:r>
      <w:proofErr w:type="spellStart"/>
      <w:r w:rsidRPr="00D4622E">
        <w:t>Mehdi</w:t>
      </w:r>
      <w:proofErr w:type="spellEnd"/>
      <w:r w:rsidRPr="00D4622E">
        <w:t xml:space="preserve"> </w:t>
      </w:r>
      <w:proofErr w:type="spellStart"/>
      <w:r w:rsidRPr="00D4622E">
        <w:t>Kessaci</w:t>
      </w:r>
      <w:proofErr w:type="spellEnd"/>
      <w:r w:rsidRPr="00D4622E">
        <w:t xml:space="preserve"> murhattiin tämän sukulaissuhteen vuoksi; katsoo, että murha on suora hyökkäys sananvapautta vastaan ja muistuttaa epäilyttävästi järjestäytyneiden mafiaverkostojen käyttämiä pelottelumenetelmiä; ottaa huomioon, että rikos sai aikaan kansanliikkeen, joka kokosi yhteen 10 000 ihmistä eri puolilta maata tukemaan </w:t>
      </w:r>
      <w:proofErr w:type="spellStart"/>
      <w:r w:rsidRPr="00D4622E">
        <w:t>Amine</w:t>
      </w:r>
      <w:proofErr w:type="spellEnd"/>
      <w:r w:rsidRPr="00D4622E">
        <w:t xml:space="preserve"> </w:t>
      </w:r>
      <w:proofErr w:type="spellStart"/>
      <w:r w:rsidRPr="00D4622E">
        <w:t>Kessacia</w:t>
      </w:r>
      <w:proofErr w:type="spellEnd"/>
      <w:r w:rsidRPr="00D4622E">
        <w:t xml:space="preserve"> ja hänen perhettään sekä puolustamaan demokratiaa, sananvapautta ja oikeusvaltioperiaatetta huumausainekauppaa vastaan;</w:t>
      </w:r>
    </w:p>
    <w:p w14:paraId="6A3B4684" w14:textId="77777777" w:rsidR="00070A02" w:rsidRPr="00D4622E" w:rsidRDefault="00070A02" w:rsidP="0045191E">
      <w:pPr>
        <w:pStyle w:val="NormalHanging12a"/>
        <w:widowControl/>
      </w:pPr>
      <w:r w:rsidRPr="00D4622E">
        <w:t>C.</w:t>
      </w:r>
      <w:r w:rsidRPr="00D4622E">
        <w:tab/>
        <w:t>toteaa, että murha on osa huumekauppaan liittyneiden väkivaltaisuuksien sarjaa Marseillessa, ja ottaa huomioon, että murhauhreja oli 24 vuonna 2024 ja vuonna 2023 sai surmansa 49 uhria, joista yhä useampi oli alaikäisiä ja viattomia sivullisia; ottaa huomioon, että huumekauppaan liittyvän väkivallan vitsaus koskettaa monia Euroopan kaupunkeja ja uhkaa sosiaalista yhteenkuuluvuutta, kansalaisten terveyttä ja turvallisuutta sekä oikeusvaltioperiaatetta; ottaa huomioon, että tilanne syrjäisimmillä alueilla on erityisen kriittinen ja että pelkästään Guadeloupella ja Martiniquella kirjattiin lähes 90 huumausainekauppaan liittyvää murhaa vuonna 2025;</w:t>
      </w:r>
    </w:p>
    <w:p w14:paraId="7F0D3541" w14:textId="284F4DD0" w:rsidR="00070A02" w:rsidRPr="00D4622E" w:rsidRDefault="0053697E" w:rsidP="0045191E">
      <w:pPr>
        <w:pStyle w:val="NormalHanging12a"/>
        <w:widowControl/>
      </w:pPr>
      <w:r w:rsidRPr="00D4622E">
        <w:t>D</w:t>
      </w:r>
      <w:r w:rsidR="00070A02" w:rsidRPr="00D4622E">
        <w:t>.</w:t>
      </w:r>
      <w:r w:rsidR="00070A02" w:rsidRPr="00D4622E">
        <w:tab/>
        <w:t>ottaa huomioon, että huumekauppa on yksi vakavimmista uhkista Euroopan unionin sisäiselle turvallisuudelle, sillä se ruokkii järjestäytynyttä rikollisuutta, väkivaltaa ja korruptiota, ja panee merkille, että Europolin mukaan lähes 50 prosenttia Euroopan vaarallisimmista rikollisverkostoista on mukana huumekaupassa ja että näistä yli kolmannes harjoittaa yksinomaan huumekauppaa;</w:t>
      </w:r>
    </w:p>
    <w:p w14:paraId="38C0EFC1" w14:textId="085B70E3" w:rsidR="00070A02" w:rsidRPr="00D4622E" w:rsidRDefault="0053697E" w:rsidP="0045191E">
      <w:pPr>
        <w:pStyle w:val="NormalHanging12a"/>
        <w:widowControl/>
      </w:pPr>
      <w:r w:rsidRPr="00D4622E">
        <w:t>E</w:t>
      </w:r>
      <w:r w:rsidR="00070A02" w:rsidRPr="00D4622E">
        <w:t>.</w:t>
      </w:r>
      <w:r w:rsidR="00070A02" w:rsidRPr="00D4622E">
        <w:tab/>
        <w:t>panee merkille, että huumekauppaan liittyvä väkivalta on voimistunut Euroopassa viime vuosina ja järjestäytyneet rikollisryhmät käyttävät yhä useammin ampuma-aseita ja että keskimäärin 28 prosenttia ampuma-aseiden takavarikoista Euroopassa liittyy huumekauppaan, ja toteaa, että tämä osoittaa huumausainekaupan ja yleiseen turvallisuuteen kohdistuvien vakavien uhkien välillä olevan suoran yhteyden;</w:t>
      </w:r>
    </w:p>
    <w:p w14:paraId="5CBAA3BE" w14:textId="458AF0A2" w:rsidR="00070A02" w:rsidRPr="00D4622E" w:rsidRDefault="0053697E" w:rsidP="0045191E">
      <w:pPr>
        <w:pStyle w:val="NormalHanging12a"/>
        <w:widowControl/>
      </w:pPr>
      <w:r w:rsidRPr="00D4622E">
        <w:t>F</w:t>
      </w:r>
      <w:r w:rsidR="00070A02" w:rsidRPr="00D4622E">
        <w:t>.</w:t>
      </w:r>
      <w:r w:rsidR="00070A02" w:rsidRPr="00D4622E">
        <w:tab/>
        <w:t>ottaa huomioon, että huumausaineiden tuotanto, kauppa ja kulutus lisääntyvät nopeasti ja ovat saavuttaneet ennennäkemättömän tason EU:ssa; ottaa huomioon, että Euroopan unionin huumeviraston tietojen mukaan vuonna 2023 unionissa takavarikoitiin 752 tonnia kannabista ja 419 tonnia kokaiinia ja että 2,7 miljoonaa 15–34-vuotiasta nuorta aikuista ilmoitti käyttäneensä näitä huumausaineita kuluneen vuoden aikana; ottaa huomioon, että EU:ssa hävitetään vuosittain lähes 500 synteettisiä huumausaineita valmistavaa laboratoriota ja että vuonna 2023 huumausaineisiin liittyviä kuolemantapauksia oli lähes 7 500; toteaa, että tämä kehitys kuvastaa laajalle levinnyttä ilmiötä, joka koskettaa kaikkia alueita, sukupolvia ja yhteiskuntaryhmiä;</w:t>
      </w:r>
    </w:p>
    <w:p w14:paraId="7F2887B0" w14:textId="062799D3" w:rsidR="00070A02" w:rsidRPr="00D4622E" w:rsidRDefault="0053697E" w:rsidP="0045191E">
      <w:pPr>
        <w:pStyle w:val="NormalHanging12a"/>
        <w:widowControl/>
      </w:pPr>
      <w:r w:rsidRPr="00D4622E">
        <w:t>G</w:t>
      </w:r>
      <w:r w:rsidR="00070A02" w:rsidRPr="00D4622E">
        <w:t>.</w:t>
      </w:r>
      <w:r w:rsidR="00070A02" w:rsidRPr="00D4622E">
        <w:tab/>
        <w:t>ottaa huomioon, että Euroopan satamat ovat laittomien huumausaineiden merkittäviä strategisia maahantulopaikkoja ja että noin 70 prosenttia tullin suorittamista huumausaineiden takavarikoista tehdään satamissa, ja panee merkille, että rikollisverkostot hyödyntävät satamainfrastruktuurin logistisia ja inhimillisiä haavoittuvuustekijöitä;</w:t>
      </w:r>
    </w:p>
    <w:p w14:paraId="50EA58B5" w14:textId="02383989" w:rsidR="00070A02" w:rsidRPr="00D4622E" w:rsidRDefault="0053697E" w:rsidP="0045191E">
      <w:pPr>
        <w:pStyle w:val="NormalHanging12a"/>
        <w:widowControl/>
      </w:pPr>
      <w:r w:rsidRPr="00D4622E">
        <w:t>H</w:t>
      </w:r>
      <w:r w:rsidR="00070A02" w:rsidRPr="00D4622E">
        <w:t>.</w:t>
      </w:r>
      <w:r w:rsidR="00070A02" w:rsidRPr="00D4622E">
        <w:tab/>
        <w:t>ottaa huomioon, että kalastus- ja satama-alalla työskentelevät ammattilaiset, kuten kalastajat ja ahtaajat, joutuvat huumausainekauppaa harjoittavien verkostojen kohteiksi ja että verkostot käyttävät hyväksi niiden työn luonnetta saadakseen tuotua huumausaineita Euroopan unioniin;</w:t>
      </w:r>
    </w:p>
    <w:p w14:paraId="4959F5A4" w14:textId="4F0C4F57" w:rsidR="00070A02" w:rsidRDefault="0053697E" w:rsidP="0045191E">
      <w:pPr>
        <w:pStyle w:val="NormalHanging12a"/>
        <w:widowControl/>
      </w:pPr>
      <w:r w:rsidRPr="00D4622E">
        <w:lastRenderedPageBreak/>
        <w:t>I</w:t>
      </w:r>
      <w:r w:rsidR="00070A02" w:rsidRPr="00D4622E">
        <w:t>.</w:t>
      </w:r>
      <w:r w:rsidR="00070A02" w:rsidRPr="00D4622E">
        <w:tab/>
        <w:t>ottaa huomioon, että huumeiden käytön valtava lisääntyminen vaikuttaa suoraan huumekauppaan ja tuottaa suunnattomia voittoja kauppiaille, joiden saama taloudellinen asema voi vaarantaa demokratian; ottaa huomioon, että kampanjatilejä ja poliittista rahoitusta käsittelevä kansallinen toimikunta Ranskassa on varoittanut huumekauppaa harjoittavien verkostojen vaikutuksesta tuleviin paikallisvaaleihin;</w:t>
      </w:r>
    </w:p>
    <w:p w14:paraId="1B315EE9" w14:textId="0F6B5618" w:rsidR="00070A02" w:rsidRDefault="008A367F" w:rsidP="0045191E">
      <w:pPr>
        <w:pStyle w:val="NormalHanging12a"/>
        <w:widowControl/>
      </w:pPr>
      <w:r>
        <w:t>J</w:t>
      </w:r>
      <w:r w:rsidR="00070A02" w:rsidRPr="00D4622E">
        <w:t>.</w:t>
      </w:r>
      <w:r w:rsidR="00070A02" w:rsidRPr="00D4622E">
        <w:tab/>
        <w:t>ottaa huomioon, että huumekauppa on yksi järjestäytyneen rikollisuuden tuottoisimmista toiminnoista ja sen osuus on noin viidesosa koko maailman rikoshyödystä, ja panee merkille, että laittomien huumausaineiden, myös Etelä-Amerikasta peräisin olevan kokaiinin, saatavuus on lisääntynyt Euroopan unionissa ennennäkemättömällä tavalla;</w:t>
      </w:r>
    </w:p>
    <w:p w14:paraId="5D2F474D" w14:textId="20FAFCEB" w:rsidR="008A367F" w:rsidRPr="00D4622E" w:rsidRDefault="008A367F" w:rsidP="008A367F">
      <w:pPr>
        <w:pStyle w:val="NormalHanging12a"/>
        <w:widowControl/>
      </w:pPr>
      <w:r>
        <w:rPr>
          <w:bCs/>
          <w:iCs/>
        </w:rPr>
        <w:t>K</w:t>
      </w:r>
      <w:r w:rsidRPr="00672497">
        <w:rPr>
          <w:bCs/>
          <w:iCs/>
        </w:rPr>
        <w:t>.</w:t>
      </w:r>
      <w:r w:rsidRPr="00672497">
        <w:rPr>
          <w:bCs/>
          <w:iCs/>
        </w:rPr>
        <w:tab/>
        <w:t xml:space="preserve">ottaa huomioon, että huumekauppaverkostot voivat pyrkiä painostamaan paikallisia vaaleilla valittuja edustajia ja äänestäjiä tai vaikuttamaan heihin sopimattomasti erityisesti kuntatasolla, mikä vaarantaa demokraattisten </w:t>
      </w:r>
      <w:r w:rsidRPr="000B52ED">
        <w:rPr>
          <w:bCs/>
          <w:iCs/>
        </w:rPr>
        <w:t>prosessien eheyden;</w:t>
      </w:r>
    </w:p>
    <w:p w14:paraId="5012CB50" w14:textId="4F3B6B27" w:rsidR="00070A02" w:rsidRPr="00D4622E" w:rsidRDefault="007C5F3A" w:rsidP="0045191E">
      <w:pPr>
        <w:pStyle w:val="NormalHanging12a"/>
        <w:widowControl/>
      </w:pPr>
      <w:r>
        <w:t>L</w:t>
      </w:r>
      <w:r w:rsidR="00070A02" w:rsidRPr="00D4622E">
        <w:t>.</w:t>
      </w:r>
      <w:r w:rsidR="00070A02" w:rsidRPr="00D4622E">
        <w:tab/>
        <w:t>ottaa huomioon, että huumausainekauppiaiden saama taloudellinen asema uhkaa demokratiaa rahanpesun, korruption ja lailliseen talouteen soluttautumisen kautta ja siksi, että se antaa rikollisverkostoille mahdollisuuden saada jalansijaa ja laajentaa alueellista vaikutusvaltaa, myös Euroopan unionin alueella;</w:t>
      </w:r>
    </w:p>
    <w:p w14:paraId="7C0E9E84" w14:textId="358A9401" w:rsidR="00070A02" w:rsidRDefault="007C5F3A" w:rsidP="0045191E">
      <w:pPr>
        <w:pStyle w:val="NormalHanging12a"/>
        <w:widowControl/>
      </w:pPr>
      <w:r>
        <w:t>M</w:t>
      </w:r>
      <w:r w:rsidR="00070A02" w:rsidRPr="00D4622E">
        <w:t>.</w:t>
      </w:r>
      <w:r w:rsidR="00070A02" w:rsidRPr="00D4622E">
        <w:tab/>
        <w:t>toteaa, että rahanpesun, veroparatiisien ja rikollisjärjestöjen lailliseen talouteen soluttautumisen torjunta on näin ollen keskeisessä asemassa pyrittäessä pysyvästi heikentämään huumausainekauppaa harjoittavia verkostoja;</w:t>
      </w:r>
    </w:p>
    <w:p w14:paraId="1BFD9E41" w14:textId="43BE28C0" w:rsidR="007C5F3A" w:rsidRPr="00D4622E" w:rsidRDefault="007C5F3A" w:rsidP="0045191E">
      <w:pPr>
        <w:pStyle w:val="NormalHanging12a"/>
        <w:widowControl/>
      </w:pPr>
      <w:r>
        <w:rPr>
          <w:bCs/>
          <w:iCs/>
        </w:rPr>
        <w:t>N.</w:t>
      </w:r>
      <w:r>
        <w:rPr>
          <w:bCs/>
          <w:iCs/>
        </w:rPr>
        <w:tab/>
      </w:r>
      <w:r w:rsidRPr="00672497">
        <w:rPr>
          <w:bCs/>
          <w:iCs/>
        </w:rPr>
        <w:t>ottaa huomioon, että eurooppalaisessa demokratian kilvessä korostetaan, että järjestäytynyt rikollisuus ja korruptio ovat suora uhka oikeusvaltioperiaatteelle ja demokraattisille instituutioillemme;</w:t>
      </w:r>
    </w:p>
    <w:p w14:paraId="57E421B7" w14:textId="0F588AAB" w:rsidR="00070A02" w:rsidRPr="00D4622E" w:rsidRDefault="007C5F3A" w:rsidP="0045191E">
      <w:pPr>
        <w:pStyle w:val="NormalHanging12a"/>
        <w:widowControl/>
      </w:pPr>
      <w:r>
        <w:t>O</w:t>
      </w:r>
      <w:r w:rsidR="00070A02" w:rsidRPr="00D4622E">
        <w:t>.</w:t>
      </w:r>
      <w:r w:rsidR="00070A02" w:rsidRPr="00D4622E">
        <w:tab/>
        <w:t>ottaa huomioon, että digitaalisia välineitä ja sosiaalisia verkostoja käytetään yhä enemmän erityisesti alaikäisten värväämiseen väkivaltaan sekä väkivaltaisten tekojen koordinointiin ja toteuttamiseen, ja toteaa, että tämä edellyttää EU:lta koordinoituja toimia, joissa kunnioitetaan perusoikeuksia;</w:t>
      </w:r>
    </w:p>
    <w:p w14:paraId="65EE5BBE" w14:textId="52CC8448" w:rsidR="00070A02" w:rsidRPr="00D4622E" w:rsidRDefault="007C5F3A" w:rsidP="0045191E">
      <w:pPr>
        <w:pStyle w:val="NormalHanging12a"/>
        <w:widowControl/>
      </w:pPr>
      <w:r>
        <w:t>P</w:t>
      </w:r>
      <w:r w:rsidR="00070A02" w:rsidRPr="00D4622E">
        <w:t>.</w:t>
      </w:r>
      <w:r w:rsidR="00070A02" w:rsidRPr="00D4622E">
        <w:tab/>
        <w:t>ottaa huomioon rikollisjärjestöjen ja niiden käytäntöjen kehittymisen ja erityisesti digitalisaation käytön niiden strategioissa ja toteaa, että tästä syystä Euroopan unionin on kehitettävä tutkintaan liittyviä sekä oikeudellisia ja sosiaalisia rakenteita, joilla pyritään vastaamaan tähän ongelmaan;</w:t>
      </w:r>
    </w:p>
    <w:p w14:paraId="0442884E" w14:textId="0AFBA6E9" w:rsidR="00070A02" w:rsidRPr="00D4622E" w:rsidRDefault="007C5F3A" w:rsidP="0045191E">
      <w:pPr>
        <w:pStyle w:val="NormalHanging12a"/>
        <w:widowControl/>
      </w:pPr>
      <w:r>
        <w:t>Q</w:t>
      </w:r>
      <w:r w:rsidR="00070A02" w:rsidRPr="00D4622E">
        <w:t>.</w:t>
      </w:r>
      <w:r w:rsidR="00070A02" w:rsidRPr="00D4622E">
        <w:tab/>
        <w:t xml:space="preserve"> ottaa huomioon, että uusien psykoaktiivisten aineiden esiintyvyys kasvaa Euroopassa, mukaan lukien synteettiset kannabinoidit, </w:t>
      </w:r>
      <w:proofErr w:type="spellStart"/>
      <w:r w:rsidR="00070A02" w:rsidRPr="00D4622E">
        <w:t>katinonit</w:t>
      </w:r>
      <w:proofErr w:type="spellEnd"/>
      <w:r w:rsidR="00070A02" w:rsidRPr="00D4622E">
        <w:t xml:space="preserve"> ja voimakkaat synteettiset opioidit, joita usein valmistetaan tai myydään unionissa ja jotka jäävät osittain kansainvälisen ja kansallisen valvonnan ulkopuolelle; ottaa huomioon, että niillä jo pieninäkin annoksina oleva voimakas vaikutus yhdistettynä mahdollisuuteen tehdä vähäisiä muutoksia niiden kemiallisiin rakenteisiin lainsäädännön kiertämiseksi luovat nopeasti laajenevat ja erittäin tuottoisat markkinat huumausainekauppiaille ja aiheuttavat samalla huomattavia riskejä kansanterveydelle ja turvallisuudelle; katsoo, että uusien psykoaktiivisten aineiden aiheuttamaan muuttuvaan uhkaan puuttuminen edellyttää asianmukaisia varhaisvaroitusjärjestelmiä, tehostetuttuja havaitsemisvalmiuksia ja koordinoituja unionin toimia;</w:t>
      </w:r>
    </w:p>
    <w:p w14:paraId="0773CA9E" w14:textId="733EE992" w:rsidR="00070A02" w:rsidRPr="00D4622E" w:rsidRDefault="007C5F3A" w:rsidP="0045191E">
      <w:pPr>
        <w:pStyle w:val="NormalHanging12a"/>
        <w:widowControl/>
      </w:pPr>
      <w:r>
        <w:lastRenderedPageBreak/>
        <w:t>R</w:t>
      </w:r>
      <w:r w:rsidR="00070A02" w:rsidRPr="00D4622E">
        <w:t>.</w:t>
      </w:r>
      <w:r w:rsidR="00070A02" w:rsidRPr="00D4622E">
        <w:tab/>
        <w:t>ottaa huomioon, että huumausainekauppaa harjoittavien verkostojen kehittyminen ja vakiintuminen tapahtuvat usein olosuhteissa, joita leimaavat jatkuva sosiaalinen ja alueellinen eriarvoisuus, riittämätön pääsy työhön, julkisiin palveluihin ja koulutukseen sekä tunne yhteiskunnan hylkäämäksi joutumisesta erityisesti epäsuotuisassa asemassa olevilla kaupunkialueilla, ja toteaa, että nämä haavoittuvuudet luovat kasvualustan rikolliselle taloudelle ja toimivat rakenteellisina tekijöinä, joita huumausainekauppaa harjoittavat verkostot käyttävät hyväkseen pyrkiessään värväämään haavoittuvassa asemassa olevia, usein nuoria henkilöitä;</w:t>
      </w:r>
    </w:p>
    <w:p w14:paraId="0030BE4F" w14:textId="4F937754" w:rsidR="00070A02" w:rsidRPr="00D4622E" w:rsidRDefault="007C5F3A" w:rsidP="0045191E">
      <w:pPr>
        <w:pStyle w:val="NormalHanging12a"/>
        <w:widowControl/>
      </w:pPr>
      <w:r>
        <w:t>S</w:t>
      </w:r>
      <w:r w:rsidR="00070A02" w:rsidRPr="00D4622E">
        <w:t>.</w:t>
      </w:r>
      <w:r w:rsidR="00070A02" w:rsidRPr="00D4622E">
        <w:tab/>
        <w:t>ottaa huomioon, että EU:n koheesiopolitiikan rahoitusvälineet ovat perinteisesti auttaneet vähentämään alueellisia eroja, vahvistamaan sosiaalista yhteenkuuluvuutta ja tukemaan rakenteellisia investointeja vaikeuksissa olevilla kaupunkialueilla ja että komission monivuotiselle rahoituskehykselle 2028–2034 kaavailema suunta ja kaupunkeja koskevan EU:n uuden toimintaohjelman täytäntöönpano vaikuttavat ratkaisevasti unionin kykyyn estää kestävällä tavalla laitonta kauppaa juurtumasta tällaisille alueille;</w:t>
      </w:r>
    </w:p>
    <w:p w14:paraId="690184EF" w14:textId="6755C3EE" w:rsidR="00070A02" w:rsidRPr="00D4622E" w:rsidRDefault="007C5F3A" w:rsidP="0045191E">
      <w:pPr>
        <w:pStyle w:val="NormalHanging12a"/>
        <w:widowControl/>
      </w:pPr>
      <w:r>
        <w:t>T</w:t>
      </w:r>
      <w:r w:rsidR="00070A02" w:rsidRPr="00D4622E">
        <w:t>.</w:t>
      </w:r>
      <w:r w:rsidR="00070A02" w:rsidRPr="00D4622E">
        <w:tab/>
        <w:t xml:space="preserve">ottaa huomioon, että korruptio on rikollisverkostojen rahansaannin mahdollistaja, mikä puolestaan lisää korruptiota, ja että taloudellisen asemansa ansiosta rikollisverkostojen on mahdollista sekä tarjota palveluja asukkaille että lietsoa pelkoa yhä useammilla alueilla, mikä johtaa paikallisyhteisöjen lamaantumiseen ja heikentää niiden kykyä torjua huumausainekauppaa; toteaa, että </w:t>
      </w:r>
      <w:proofErr w:type="spellStart"/>
      <w:r w:rsidR="00070A02" w:rsidRPr="00D4622E">
        <w:t>Mehdi</w:t>
      </w:r>
      <w:proofErr w:type="spellEnd"/>
      <w:r w:rsidR="00070A02" w:rsidRPr="00D4622E">
        <w:t xml:space="preserve"> </w:t>
      </w:r>
      <w:proofErr w:type="spellStart"/>
      <w:r w:rsidR="00070A02" w:rsidRPr="00D4622E">
        <w:t>Kessacin</w:t>
      </w:r>
      <w:proofErr w:type="spellEnd"/>
      <w:r w:rsidR="00070A02" w:rsidRPr="00D4622E">
        <w:t xml:space="preserve"> murha on osa näitä pelottelustrategioita; katsoo, että varoitukset huumausainekaupan vaikutuksesta vaaleihin kuvastavat erityisen hyvin huumausainekaupasta perusoikeuksille, demokratialle ja oikeusvaltioperiaatteelle aiheutuvaa uhkaa;</w:t>
      </w:r>
    </w:p>
    <w:p w14:paraId="7A55B36B" w14:textId="604A694F" w:rsidR="00070A02" w:rsidRPr="00D4622E" w:rsidRDefault="007C5F3A" w:rsidP="0045191E">
      <w:pPr>
        <w:pStyle w:val="NormalHanging12a"/>
        <w:widowControl/>
      </w:pPr>
      <w:r>
        <w:t>U</w:t>
      </w:r>
      <w:r w:rsidR="00070A02" w:rsidRPr="00D4622E">
        <w:t>.</w:t>
      </w:r>
      <w:r w:rsidR="00070A02" w:rsidRPr="00D4622E">
        <w:tab/>
        <w:t>ottaa huomioon, että uhrien perheillä ja erityisesti rikollisverkostojen tappamien tai värväämien henkilöiden äideillä ja läheisillä on usein keskeinen rooli ennaltaehkäisyssä, tietoisuuden lisäämisessä ja huumausainekaupalle alttiiksi joutuneiden nuorten tukemisessa; toteaa, että huumausainekaupan uhrien perheet eivät kuitenkaan osallistu EU:n ja kansallisten huumausainepolitiikkojen laatimiseen eivätkä huumausaineita käsittelevän kansalaisyhteiskunnan foorumin toimintaan;</w:t>
      </w:r>
    </w:p>
    <w:p w14:paraId="44D0FBFE" w14:textId="21B6F276" w:rsidR="00070A02" w:rsidRPr="00D4622E" w:rsidRDefault="007C5F3A" w:rsidP="0045191E">
      <w:pPr>
        <w:pStyle w:val="NormalHanging12a"/>
        <w:widowControl/>
      </w:pPr>
      <w:r>
        <w:t>V</w:t>
      </w:r>
      <w:r w:rsidR="00070A02" w:rsidRPr="00D4622E">
        <w:t>.</w:t>
      </w:r>
      <w:r w:rsidR="00070A02" w:rsidRPr="00D4622E">
        <w:tab/>
        <w:t>panee merkille, että aiemmissa strategioissa on korostettu tarvetta löytää parempi tasapaino lainvalvontatoimien sekä ennaltaehkäisyä, riskien vähentämistä ja sosiaalista oikeudenmukaisuutta koskevien politiikkojen välille;</w:t>
      </w:r>
    </w:p>
    <w:p w14:paraId="20601D50" w14:textId="02806EE4" w:rsidR="00070A02" w:rsidRPr="00D4622E" w:rsidRDefault="007C5F3A" w:rsidP="0045191E">
      <w:pPr>
        <w:pStyle w:val="NormalHanging12a"/>
        <w:widowControl/>
      </w:pPr>
      <w:r>
        <w:t>W</w:t>
      </w:r>
      <w:r w:rsidR="00070A02" w:rsidRPr="00D4622E">
        <w:t>.</w:t>
      </w:r>
      <w:r w:rsidR="00070A02" w:rsidRPr="00D4622E">
        <w:tab/>
        <w:t>ottaa huomioon, että EU:n huumausainestrategian pääpilarit rakentuvat kansanterveydestä, ennaltaehkäisystä, oikeudellisesta ja poliisiyhteistyöstä sekä kolmansien maiden kanssa tehtävästä yhteistyöstä, ja katsoo, että strategiaa kannattaisi täydentää osa-alueella, joka koskee huumausainekaupan torjuntaan osallistuvien alueiden ja yhteisöjen sosiaalista häiriönsietokykyä;</w:t>
      </w:r>
    </w:p>
    <w:p w14:paraId="225137F8" w14:textId="142AC206" w:rsidR="00070A02" w:rsidRPr="00D4622E" w:rsidRDefault="007C5F3A" w:rsidP="0045191E">
      <w:pPr>
        <w:pStyle w:val="NormalHanging12a"/>
        <w:widowControl/>
      </w:pPr>
      <w:r>
        <w:t>X</w:t>
      </w:r>
      <w:r w:rsidR="00070A02" w:rsidRPr="00D4622E">
        <w:t>.</w:t>
      </w:r>
      <w:r w:rsidR="00070A02" w:rsidRPr="00D4622E">
        <w:tab/>
        <w:t>ottaa huomioon, että huumekauppa kaikkinensa on eurooppalainen ilmiö ja edellyttää yhtenäistä ja määrätietoista vastausta; katsoo, että EU:n toimielinten on osoitettava kykynsä ryhtyä toimiin, jotta ihmishenkiä ei menetetä enää yhtään enempää;</w:t>
      </w:r>
    </w:p>
    <w:p w14:paraId="20DCD786" w14:textId="77777777" w:rsidR="00070A02" w:rsidRPr="00D4622E" w:rsidRDefault="00070A02" w:rsidP="0045191E">
      <w:pPr>
        <w:pStyle w:val="NormalHanging12a"/>
        <w:widowControl/>
      </w:pPr>
      <w:r w:rsidRPr="00D4622E">
        <w:t>1.</w:t>
      </w:r>
      <w:r w:rsidRPr="00D4622E">
        <w:tab/>
        <w:t xml:space="preserve">tuomitsee erittäin jyrkästi </w:t>
      </w:r>
      <w:proofErr w:type="spellStart"/>
      <w:r w:rsidRPr="00D4622E">
        <w:t>Mehdi</w:t>
      </w:r>
      <w:proofErr w:type="spellEnd"/>
      <w:r w:rsidRPr="00D4622E">
        <w:t xml:space="preserve"> </w:t>
      </w:r>
      <w:proofErr w:type="spellStart"/>
      <w:r w:rsidRPr="00D4622E">
        <w:t>Kessacin</w:t>
      </w:r>
      <w:proofErr w:type="spellEnd"/>
      <w:r w:rsidRPr="00D4622E">
        <w:t xml:space="preserve"> murhan; ilmaisee syvän myötätuntonsa ja osanottonsa </w:t>
      </w:r>
      <w:proofErr w:type="spellStart"/>
      <w:r w:rsidRPr="00D4622E">
        <w:t>Kessacin</w:t>
      </w:r>
      <w:proofErr w:type="spellEnd"/>
      <w:r w:rsidRPr="00D4622E">
        <w:t xml:space="preserve"> vanhemmille ja perheelle, hänen sukulaisilleen ja heidän myötään kaikille huumausainekaupan suorille ja välillisille uhreille Euroopassa ja muualla maailmassa;</w:t>
      </w:r>
    </w:p>
    <w:p w14:paraId="5344EC85" w14:textId="77777777" w:rsidR="00070A02" w:rsidRPr="00D4622E" w:rsidRDefault="00070A02" w:rsidP="0045191E">
      <w:pPr>
        <w:pStyle w:val="NormalHanging12a"/>
        <w:widowControl/>
      </w:pPr>
      <w:r w:rsidRPr="00D4622E">
        <w:lastRenderedPageBreak/>
        <w:t>2.</w:t>
      </w:r>
      <w:r w:rsidRPr="00D4622E">
        <w:tab/>
        <w:t xml:space="preserve">antaa tunnustusta </w:t>
      </w:r>
      <w:proofErr w:type="spellStart"/>
      <w:r w:rsidRPr="00D4622E">
        <w:t>Amine</w:t>
      </w:r>
      <w:proofErr w:type="spellEnd"/>
      <w:r w:rsidRPr="00D4622E">
        <w:t xml:space="preserve"> </w:t>
      </w:r>
      <w:proofErr w:type="spellStart"/>
      <w:r w:rsidRPr="00D4622E">
        <w:t>Kessacin</w:t>
      </w:r>
      <w:proofErr w:type="spellEnd"/>
      <w:r w:rsidRPr="00D4622E">
        <w:t xml:space="preserve">, tämän perustaman </w:t>
      </w:r>
      <w:proofErr w:type="spellStart"/>
      <w:r w:rsidRPr="00D4622E">
        <w:t>Conscience</w:t>
      </w:r>
      <w:proofErr w:type="spellEnd"/>
      <w:r w:rsidRPr="00D4622E">
        <w:t xml:space="preserve">-yhdistyksen ja kaikkien niiden aktivistien sitoutumiselle, jotka työskentelevät huumausainekaupan torjumiseksi usein oman turvallisuutensa vaarantaen; arvostaa </w:t>
      </w:r>
      <w:proofErr w:type="spellStart"/>
      <w:r w:rsidRPr="00D4622E">
        <w:t>Amine</w:t>
      </w:r>
      <w:proofErr w:type="spellEnd"/>
      <w:r w:rsidRPr="00D4622E">
        <w:t xml:space="preserve"> </w:t>
      </w:r>
      <w:proofErr w:type="spellStart"/>
      <w:r w:rsidRPr="00D4622E">
        <w:t>Kessacin</w:t>
      </w:r>
      <w:proofErr w:type="spellEnd"/>
      <w:r w:rsidRPr="00D4622E">
        <w:t xml:space="preserve"> rohkeutta, sillä hän jatkaa taistelua huumekauppiaita vastaan huolimatta häneen kohdistetuista uhkauksista; toteaa, että </w:t>
      </w:r>
      <w:proofErr w:type="spellStart"/>
      <w:r w:rsidRPr="00D4622E">
        <w:t>Mehdi</w:t>
      </w:r>
      <w:proofErr w:type="spellEnd"/>
      <w:r w:rsidRPr="00D4622E">
        <w:t xml:space="preserve"> </w:t>
      </w:r>
      <w:proofErr w:type="spellStart"/>
      <w:r w:rsidRPr="00D4622E">
        <w:t>Kessacin</w:t>
      </w:r>
      <w:proofErr w:type="spellEnd"/>
      <w:r w:rsidRPr="00D4622E">
        <w:t xml:space="preserve"> murha on suora hyökkäys sananvapautta ja luomisvapautta sekä oikeusvaltiota vastaan;</w:t>
      </w:r>
    </w:p>
    <w:p w14:paraId="1632970A" w14:textId="77777777" w:rsidR="00070A02" w:rsidRPr="00D4622E" w:rsidRDefault="00070A02" w:rsidP="0045191E">
      <w:pPr>
        <w:pStyle w:val="NormalHanging12a"/>
        <w:widowControl/>
      </w:pPr>
      <w:r w:rsidRPr="00D4622E">
        <w:t>3.</w:t>
      </w:r>
      <w:r w:rsidRPr="00D4622E">
        <w:tab/>
        <w:t>muistuttaa, että ruohonjuuritason yhdistysten toimet edistävät nuorten suojelua, sosiaalista yhteenkuuluvuutta ja demokraattista elinvoimaisuutta mutta yhdistysten saama tunnustus, tuki ja suojelu jäävät usein vähäisiksi;</w:t>
      </w:r>
    </w:p>
    <w:p w14:paraId="2DD9239D" w14:textId="77777777" w:rsidR="00070A02" w:rsidRPr="00D4622E" w:rsidRDefault="00070A02" w:rsidP="0045191E">
      <w:pPr>
        <w:pStyle w:val="NormalHanging12a"/>
        <w:widowControl/>
      </w:pPr>
      <w:r w:rsidRPr="00D4622E">
        <w:t>4.</w:t>
      </w:r>
      <w:r w:rsidRPr="00D4622E">
        <w:tab/>
        <w:t>korostaa, että huumausainekaupan ja järjestäytyneen rikollisuuden torjunta on suuri haaste koko Euroopan unionille sekä turvallisuuden että kansanterveyden, sosiaalisen oikeudenmukaisuuden ja oikeusvaltion kunnioittamisen kannalta;</w:t>
      </w:r>
    </w:p>
    <w:p w14:paraId="7E3814B9" w14:textId="77777777" w:rsidR="00070A02" w:rsidRDefault="00070A02" w:rsidP="0045191E">
      <w:pPr>
        <w:pStyle w:val="NormalHanging12a"/>
        <w:widowControl/>
      </w:pPr>
      <w:r w:rsidRPr="00D4622E">
        <w:t>5.</w:t>
      </w:r>
      <w:r w:rsidRPr="00D4622E">
        <w:tab/>
        <w:t>panee tyytyväisenä merkille EU:n uuden huumausainestrategian ja sitä koskevan toimintasuunnitelman hyväksymisen ja toistaa tukevansa tasapainoista lähestymistapaa, joka perustuu kysynnän vähentämiseen, oikeudelliseen ja poliisiyhteistyöhön, kolmansien maiden kanssa tehtävään yhteistyöhön ja ennaltaehkäisyyn, myös verkossa; toteaa, että aiemmilla suunnitelmilla ei ole saatu kitkettyä huumausainekauppaa, ja muistuttaa, että tähän haasteeseen vastaaminen on kaikkien vastuulla;</w:t>
      </w:r>
    </w:p>
    <w:p w14:paraId="1C6DBE56" w14:textId="787CFD6A" w:rsidR="008C7C58" w:rsidRPr="00493D48" w:rsidRDefault="008C7C58" w:rsidP="00672497">
      <w:pPr>
        <w:pStyle w:val="NormalHanging12a"/>
        <w:widowControl/>
        <w:rPr>
          <w:bCs/>
          <w:i/>
          <w:iCs/>
        </w:rPr>
      </w:pPr>
      <w:r>
        <w:t>6.</w:t>
      </w:r>
      <w:r>
        <w:tab/>
      </w:r>
      <w:r w:rsidRPr="00672497">
        <w:rPr>
          <w:bCs/>
          <w:iCs/>
        </w:rPr>
        <w:t>palauttaa mieliin, että uudessa huumetorjuntastrategiassa jäsenvaltioita kehotetaan omaksumaan nollatoleranssipolitiikka huumausaineiden vaikutuksen alaisena ajamiseen ajokorteista annetun direktiivin 2006/126/EY</w:t>
      </w:r>
      <w:r w:rsidRPr="00672497">
        <w:rPr>
          <w:rStyle w:val="FootnoteReference"/>
          <w:bCs/>
          <w:iCs/>
        </w:rPr>
        <w:footnoteReference w:id="6"/>
      </w:r>
      <w:r w:rsidRPr="00672497">
        <w:rPr>
          <w:bCs/>
          <w:iCs/>
        </w:rPr>
        <w:t xml:space="preserve"> mukaisesti ja hyödyntämään tässä kaikilta osin käytössä olevia </w:t>
      </w:r>
      <w:proofErr w:type="spellStart"/>
      <w:r w:rsidRPr="00672497">
        <w:rPr>
          <w:bCs/>
          <w:iCs/>
        </w:rPr>
        <w:t>rajatylittäviä</w:t>
      </w:r>
      <w:proofErr w:type="spellEnd"/>
      <w:r w:rsidRPr="00672497">
        <w:rPr>
          <w:bCs/>
          <w:iCs/>
        </w:rPr>
        <w:t xml:space="preserve"> välineitä, joilla näiden sääntöjen noudattamista voidaan valvoa;</w:t>
      </w:r>
    </w:p>
    <w:p w14:paraId="4880037A" w14:textId="5D9432B4" w:rsidR="00070A02" w:rsidRPr="00D4622E" w:rsidRDefault="007C5F3A" w:rsidP="0045191E">
      <w:pPr>
        <w:pStyle w:val="NormalHanging12a"/>
        <w:widowControl/>
      </w:pPr>
      <w:r>
        <w:t>7</w:t>
      </w:r>
      <w:r w:rsidR="00070A02" w:rsidRPr="00D4622E">
        <w:t>.</w:t>
      </w:r>
      <w:r w:rsidR="00070A02" w:rsidRPr="00D4622E">
        <w:tab/>
        <w:t>tukee täysin EU:n huumausainestrategian kansanterveyttä ja ennaltaehkäisyä koskevaa pilaria, johon kuuluu ennaltaehkäisy, riskien vähentäminen, hoidon saatavuus, riippuvuuksien hoito ja yhteiskuntaan sopeuttaminen; huomauttaa, että huumausaineet vaikuttavat yhä enemmän koko yhteiskuntaan ja tekevät ihmisistä riippuvaisia ja että tarvitaan laajamittaisia toimia, jotta voidaan varmistaa eurooppalaisten mielenterveys;</w:t>
      </w:r>
    </w:p>
    <w:p w14:paraId="72124C57" w14:textId="39ACAA07" w:rsidR="00070A02" w:rsidRPr="00D4622E" w:rsidRDefault="007C5F3A" w:rsidP="0045191E">
      <w:pPr>
        <w:pStyle w:val="NormalHanging12a"/>
        <w:widowControl/>
      </w:pPr>
      <w:r>
        <w:t>8</w:t>
      </w:r>
      <w:r w:rsidR="00070A02" w:rsidRPr="00D4622E">
        <w:t>.</w:t>
      </w:r>
      <w:r w:rsidR="00070A02" w:rsidRPr="00D4622E">
        <w:tab/>
        <w:t>tukee komission ehdotusta turvallisuuden vahvistamisesta huumekaupan torjunnan yhteydessä, mukaan lukien vuoteen 2026 mennessä toteutettavaksi suunniteltu nykyisen huumausainekauppaa koskevan puitepäätöksen arviointi ja järjestäytynyttä rikollisuutta koskevien sääntöjen nykyaikaistaminen; tukee keskeisiä toimenpiteitä, kuten julkisen ja yksityisen sektorin yhteistyön vahvistamista, jotta salakuljetettavat huumausaineet voidaan havaita helpommin posti- ja pakettipalveluissa, sekä sellaisen uuden eurooppalaisen satamastrategian laatimista, jolla pyritään parantamaan satamien ja toimitusketjujen turvallisuutta ja häiriönsietokykyä huumekauppaa vastaan;</w:t>
      </w:r>
    </w:p>
    <w:p w14:paraId="6D843EBF" w14:textId="6EC6121A" w:rsidR="00A65F69" w:rsidRPr="00D4622E" w:rsidRDefault="007C5F3A" w:rsidP="0045191E">
      <w:pPr>
        <w:pStyle w:val="NormalHanging12a"/>
        <w:widowControl/>
      </w:pPr>
      <w:r>
        <w:t>9</w:t>
      </w:r>
      <w:r w:rsidR="00070A02" w:rsidRPr="00D4622E">
        <w:t>.</w:t>
      </w:r>
      <w:r w:rsidR="00070A02" w:rsidRPr="00D4622E">
        <w:tab/>
        <w:t xml:space="preserve">pitää myönteisenä, että lainvalvontaviranomaiset, asevoimat, tulliviranomaiset ja tuomarit ovat sitoutuneet huumausainekaupan torjuntaan kaikkialla Euroopan unionissa; tunnustaa niiden olennaisen panoksen yleisen turvallisuuden takaamisessa ja kehottaa </w:t>
      </w:r>
      <w:r w:rsidR="00070A02" w:rsidRPr="00D4622E">
        <w:lastRenderedPageBreak/>
        <w:t>lisäämään oikeasuhteisesti ja riittävästi poliisivoimien ja oikeusviranomaisten resursseja, jotta voidaan vastata tähän kasvavaan kansainväliseen uhkaan;</w:t>
      </w:r>
    </w:p>
    <w:p w14:paraId="1357973A" w14:textId="13E732B5" w:rsidR="00070A02" w:rsidRDefault="007C5F3A" w:rsidP="0045191E">
      <w:pPr>
        <w:pStyle w:val="NormalHanging12a"/>
        <w:widowControl/>
      </w:pPr>
      <w:r>
        <w:t>10</w:t>
      </w:r>
      <w:r w:rsidR="00070A02" w:rsidRPr="00D4622E">
        <w:t>.</w:t>
      </w:r>
      <w:r w:rsidR="00070A02" w:rsidRPr="00D4622E">
        <w:tab/>
      </w:r>
      <w:r w:rsidR="008C7C58" w:rsidRPr="00672497">
        <w:rPr>
          <w:bCs/>
          <w:iCs/>
        </w:rPr>
        <w:t xml:space="preserve">kehottaa lisäämään ulkorajavalvontaan osoitettuja henkilöresursseja sekä aineellisia ja teknologisia resursseja laittoman ase-, ihmis- ja huumausainekaupan torjumiseksi ja </w:t>
      </w:r>
      <w:r w:rsidR="008C7C58" w:rsidRPr="00A65F69">
        <w:rPr>
          <w:bCs/>
          <w:iCs/>
        </w:rPr>
        <w:t xml:space="preserve">kehottaa vahvistamaan yhteisiä </w:t>
      </w:r>
      <w:proofErr w:type="spellStart"/>
      <w:r w:rsidR="008C7C58" w:rsidRPr="00A65F69">
        <w:rPr>
          <w:bCs/>
          <w:iCs/>
        </w:rPr>
        <w:t>rajatylittäviä</w:t>
      </w:r>
      <w:proofErr w:type="spellEnd"/>
      <w:r w:rsidR="008C7C58" w:rsidRPr="00A65F69">
        <w:rPr>
          <w:bCs/>
          <w:iCs/>
        </w:rPr>
        <w:t xml:space="preserve"> poliisioperaatioita erityisesti Marseillen, Le </w:t>
      </w:r>
      <w:proofErr w:type="spellStart"/>
      <w:r w:rsidR="008C7C58" w:rsidRPr="00A65F69">
        <w:rPr>
          <w:bCs/>
          <w:iCs/>
        </w:rPr>
        <w:t>Havren</w:t>
      </w:r>
      <w:proofErr w:type="spellEnd"/>
      <w:r w:rsidR="008C7C58" w:rsidRPr="00A65F69">
        <w:rPr>
          <w:bCs/>
          <w:iCs/>
        </w:rPr>
        <w:t>, Antwerpenin, Rotterdamin ja Hampurin kaltaisissa keskeisissä logistisissa keskuksissa tiiviissä yhteistyössä</w:t>
      </w:r>
      <w:r w:rsidR="008C7C58" w:rsidRPr="00672497">
        <w:rPr>
          <w:bCs/>
          <w:iCs/>
        </w:rPr>
        <w:t xml:space="preserve"> Euroopan raja- ja merivartioviraston,</w:t>
      </w:r>
      <w:r w:rsidR="008C7C58" w:rsidRPr="00A65F69">
        <w:rPr>
          <w:bCs/>
          <w:iCs/>
        </w:rPr>
        <w:t xml:space="preserve"> Europolin, </w:t>
      </w:r>
      <w:proofErr w:type="spellStart"/>
      <w:r w:rsidR="008C7C58" w:rsidRPr="00A65F69">
        <w:rPr>
          <w:bCs/>
          <w:iCs/>
        </w:rPr>
        <w:t>Eurojustin</w:t>
      </w:r>
      <w:proofErr w:type="spellEnd"/>
      <w:r w:rsidR="008C7C58" w:rsidRPr="00A65F69">
        <w:rPr>
          <w:bCs/>
          <w:iCs/>
        </w:rPr>
        <w:t xml:space="preserve"> ja Euroopan unionin huumeviraston kanssa, jotta voidaan hajottaa ampumisten, murhien ja pelottelun takana olevat rikollisverkostot kaikkialla Euroopassa;</w:t>
      </w:r>
    </w:p>
    <w:p w14:paraId="2251550D" w14:textId="2791156F" w:rsidR="00070A02" w:rsidRPr="00D4622E" w:rsidRDefault="007C5F3A" w:rsidP="0045191E">
      <w:pPr>
        <w:pStyle w:val="NormalHanging12a"/>
        <w:widowControl/>
      </w:pPr>
      <w:r>
        <w:t>11</w:t>
      </w:r>
      <w:r w:rsidR="00070A02" w:rsidRPr="00D4622E">
        <w:t>.</w:t>
      </w:r>
      <w:r w:rsidR="00070A02" w:rsidRPr="00D4622E">
        <w:tab/>
        <w:t>korostaa tarvetta lujittaa yhteistyötä ja tietojenvaihtoa tulli-, lainvalvonta-, oikeus- ja hallintoviranomaisten välillä ja kehottaa komissiota luomaan tarvittavan kehyksen, joka tukee näiden toimien toteuttamista ja turvaa samalla perusoikeudet ja yksityisyyden suojelun;</w:t>
      </w:r>
    </w:p>
    <w:p w14:paraId="2538AA6B" w14:textId="03F00856" w:rsidR="00070A02" w:rsidRPr="00D4622E" w:rsidRDefault="007C5F3A" w:rsidP="0045191E">
      <w:pPr>
        <w:pStyle w:val="NormalHanging12a"/>
        <w:widowControl/>
      </w:pPr>
      <w:r>
        <w:t>12</w:t>
      </w:r>
      <w:r w:rsidR="00070A02" w:rsidRPr="00D4622E">
        <w:t>.</w:t>
      </w:r>
      <w:r w:rsidR="00070A02" w:rsidRPr="00D4622E">
        <w:tab/>
        <w:t>muistuttaa, että järjestäytyneen rikollisuuden torjunnassa on puututtava huumausainekaupan taloudellisiin ja rahoituksellisiin rakenteisiin muun muassa lujittamalla rikoksella saatujen varojen menetetyksi tuomitsemista koskevia järjestelmiä ja torjumalla veroparatiiseja; kehottaa EU:ta ja jäsenvaltioita hyödyntämään kaikilta osin ja tehokkaasti varojen takaisinhankinnasta ja menetetyksi tuomitsemisesta annettua uutta direktiiviä (EU) 2024/1260</w:t>
      </w:r>
      <w:r w:rsidR="00070A02" w:rsidRPr="00D4622E">
        <w:rPr>
          <w:rStyle w:val="FootnoteReference"/>
        </w:rPr>
        <w:footnoteReference w:id="7"/>
      </w:r>
      <w:r w:rsidR="00070A02" w:rsidRPr="00D4622E">
        <w:t xml:space="preserve"> ja ottamaan käyttöön tarvittavat toimenpiteet, jotka mahdollistavat menetetyksi tuomitun omaisuuden kohdentamisen sosiaalisiin tarkoituksiin, muun muassa antamalla menetetyksi tuomitun omaisuuden huumausainekaupan alueellisia vaikutuksia torjuville ruohonjuuritason järjestöille, kuten Italiassa, sekä viranomaisille, jotka ovat eniten alttiina huumausaineisiin liittyvälle väkivallalle, tai oikeus- ja tullitutkintayksiköille; kehottaa komissiota ja jäsenvaltioita varmistamaan, että menetetyksi tuomitun omaisuuden käyttöä yleisen edun mukaisiin tai sosiaalisiin tarkoituksiin koskevat toimenpiteet sisällytetään niiden kansallisiin varojen takaisin hankintaa koskeviin strategioihin;</w:t>
      </w:r>
    </w:p>
    <w:p w14:paraId="09EE846B" w14:textId="3B2EDB00" w:rsidR="00070A02" w:rsidRPr="00D4622E" w:rsidRDefault="007C5F3A" w:rsidP="0045191E">
      <w:pPr>
        <w:pStyle w:val="NormalHanging12a"/>
        <w:widowControl/>
      </w:pPr>
      <w:r>
        <w:t>13</w:t>
      </w:r>
      <w:r w:rsidR="00070A02" w:rsidRPr="00D4622E">
        <w:t>.</w:t>
      </w:r>
      <w:r w:rsidR="00070A02" w:rsidRPr="00D4622E">
        <w:tab/>
        <w:t>korostaa, että on tärkeää sisällyttää oikeudellista yhteistyötä ja avoimuutta koskevat vaatimukset unionin ulkosuhteisiin ja sopimuksiin sellaisten kolmansien maiden kanssa, joiden kautta huumausainekaupan reitit kulkevat; korostaa, että joidenkin näiden valtioiden kanssa tehdään tuloksekasta yhteistyötä, kun taas osa kieltäytyy tekemästä täyttä yhteistyötä EU:n viranomaisten kanssa;</w:t>
      </w:r>
    </w:p>
    <w:p w14:paraId="1E5AC388" w14:textId="0F9464A5" w:rsidR="00070A02" w:rsidRPr="00D4622E" w:rsidRDefault="007C5F3A" w:rsidP="0045191E">
      <w:pPr>
        <w:pStyle w:val="NormalHanging12a"/>
        <w:widowControl/>
      </w:pPr>
      <w:r>
        <w:t>14</w:t>
      </w:r>
      <w:r w:rsidR="00070A02" w:rsidRPr="00D4622E">
        <w:t>.</w:t>
      </w:r>
      <w:r w:rsidR="00070A02" w:rsidRPr="00D4622E">
        <w:tab/>
        <w:t xml:space="preserve">panee tyytyväisenä merkille, että </w:t>
      </w:r>
      <w:proofErr w:type="spellStart"/>
      <w:r w:rsidR="00070A02" w:rsidRPr="00D4622E">
        <w:t>Eurojust</w:t>
      </w:r>
      <w:proofErr w:type="spellEnd"/>
      <w:r w:rsidR="00070A02" w:rsidRPr="00D4622E">
        <w:t xml:space="preserve"> ja Europol ovat tehneet sopimukset Armenian, Bosnia ja Hertsegovinan ja Libanonin kanssa;</w:t>
      </w:r>
    </w:p>
    <w:p w14:paraId="347A6FB8" w14:textId="4AE5D905" w:rsidR="00AB1082" w:rsidRPr="00D4622E" w:rsidRDefault="007C5F3A" w:rsidP="008C7C58">
      <w:pPr>
        <w:pStyle w:val="NormalHanging12a"/>
        <w:widowControl/>
      </w:pPr>
      <w:r>
        <w:t>15</w:t>
      </w:r>
      <w:r w:rsidR="00070A02" w:rsidRPr="00D4622E">
        <w:t>.</w:t>
      </w:r>
      <w:r w:rsidR="00070A02" w:rsidRPr="00D4622E">
        <w:tab/>
        <w:t xml:space="preserve">korostaa, että on tärkeää tutkia perusteellisesti rikollisjärjestöjen käyttämiä menetelmiä ja niiden nopeaa kehitystä, jotta voidaan kehittää sopivimmat oikeudelliset menettelyt; kehottaa erityisesti ottamaan käyttöön järjestäytyneen rikollisuuden torjuntaa koskevan yhteisen toimintamallin, selvittämään todistajansuojelun käyttöönottoa, suojelemaan rikollisverkostojen toimintaan mukaan joutuneita alaikäisiä sekä liittämään huumekaupan torjunnan rahanpesua ja korruptiota, kiristystä, ihmiskauppaa, ympäristörikollisuutta ja asekauppaa koskeviin säännöksiin; kehottaa selvittämään, </w:t>
      </w:r>
      <w:r w:rsidR="00070A02" w:rsidRPr="00D4622E">
        <w:lastRenderedPageBreak/>
        <w:t>voitaisiinko Euroopan syyttäjänviraston roolia järjestäytyneen rikollisuuden torjunnassa vahvistaa;</w:t>
      </w:r>
    </w:p>
    <w:p w14:paraId="350B9BC3" w14:textId="6EC36ECE" w:rsidR="00070A02" w:rsidRPr="00D4622E" w:rsidRDefault="007C5F3A" w:rsidP="0045191E">
      <w:pPr>
        <w:pStyle w:val="NormalHanging12a"/>
        <w:widowControl/>
      </w:pPr>
      <w:r>
        <w:t>16</w:t>
      </w:r>
      <w:r w:rsidR="00070A02" w:rsidRPr="00D4622E">
        <w:t>.</w:t>
      </w:r>
      <w:r w:rsidR="00070A02" w:rsidRPr="00D4622E">
        <w:tab/>
        <w:t>sitoutuu seuraamaan huumausainekauppaa ja rajat ylittävän järjestäytyneen huumausainerikollisuuden torjuntaa tiiviimmin ja tarkemmin;</w:t>
      </w:r>
    </w:p>
    <w:p w14:paraId="19636940" w14:textId="5A7EB471" w:rsidR="00070A02" w:rsidRPr="00D4622E" w:rsidRDefault="007C5F3A" w:rsidP="0045191E">
      <w:pPr>
        <w:pStyle w:val="NormalHanging12a"/>
        <w:widowControl/>
      </w:pPr>
      <w:r>
        <w:t>17</w:t>
      </w:r>
      <w:r w:rsidR="00070A02" w:rsidRPr="00D4622E">
        <w:t>.</w:t>
      </w:r>
      <w:r w:rsidR="00070A02" w:rsidRPr="00D4622E">
        <w:tab/>
        <w:t>kehottaa osoittamaan enemmän henkilöresursseja lähipoliisitoimintaan ja erikoispoliisitoimintaan sekä huumausainekaupan torjuntaan erikoistuneisiin tuomioistuimiin, myös rahanpesun torjuntaan erikoistuneisiin tuomioistuimiin;</w:t>
      </w:r>
    </w:p>
    <w:p w14:paraId="15C974D3" w14:textId="49DD4A90" w:rsidR="00070A02" w:rsidRPr="00D4622E" w:rsidRDefault="007C5F3A" w:rsidP="0045191E">
      <w:pPr>
        <w:pStyle w:val="NormalHanging12a"/>
        <w:widowControl/>
      </w:pPr>
      <w:r>
        <w:t>18</w:t>
      </w:r>
      <w:r w:rsidR="00070A02" w:rsidRPr="00D4622E">
        <w:t>.</w:t>
      </w:r>
      <w:r w:rsidR="00070A02" w:rsidRPr="00D4622E">
        <w:tab/>
        <w:t>kannustaa Euroopan unionin elimiä, kansallisia viranomaisia ja jäsenvaltioita tekemään yhteistyötä poliisi-, oikeus- ja hallintoasioissa;</w:t>
      </w:r>
    </w:p>
    <w:p w14:paraId="6C937B72" w14:textId="49824549" w:rsidR="00070A02" w:rsidRPr="00D4622E" w:rsidRDefault="007C5F3A" w:rsidP="0045191E">
      <w:pPr>
        <w:pStyle w:val="NormalHanging12a"/>
        <w:widowControl/>
      </w:pPr>
      <w:r>
        <w:t>19</w:t>
      </w:r>
      <w:r w:rsidR="00070A02" w:rsidRPr="00D4622E">
        <w:t>.</w:t>
      </w:r>
      <w:r w:rsidR="00070A02" w:rsidRPr="00D4622E">
        <w:tab/>
        <w:t>kehottaa tekemään huumausainekaupan torjunnasta EU:n satamastrategian ja eurooppalaisen satama-allianssin yhden pilarin ja sisällyttämään siihen sekä merisatamat että jokisatamat ja ottamaan käyttöön satamahenkilöstöä koskevia koulutus-, ennaltaehkäisy- ja suojelutoimenpiteitä; kehottaa tarjoamaan satamatyöntekijöille ja kalastajille tukea ja apua, sillä nämä ovat huumekauppaverkostojen harjoittaman painostuksen, uhkailun ja kiristysyritysten kohteena; korostaa, että on tärkeää jakaa tiedustelutietoa huumausaineiden, huumausaineiden lähtöaineiden ja oleellisten kemikaalien takavarikoinneista sekä strategiseen infrastruktuuriin kohdennetun valvontateknologian käytöstä;</w:t>
      </w:r>
    </w:p>
    <w:p w14:paraId="70F3B87A" w14:textId="25A8EC98" w:rsidR="00070A02" w:rsidRDefault="007C5F3A" w:rsidP="0045191E">
      <w:pPr>
        <w:pStyle w:val="NormalHanging12a"/>
        <w:widowControl/>
      </w:pPr>
      <w:r>
        <w:t>20</w:t>
      </w:r>
      <w:r w:rsidR="00070A02" w:rsidRPr="00D4622E">
        <w:t>.</w:t>
      </w:r>
      <w:r w:rsidR="00070A02" w:rsidRPr="00D4622E">
        <w:tab/>
        <w:t>kehottaa asettamaan huumausainekaupan torjunnan etusijalle EU:n tulliviranomaisessa ja antamaan tulliviranomaisille samat välineet kuin satamahenkilöstölle;</w:t>
      </w:r>
    </w:p>
    <w:p w14:paraId="6DD6DA6E" w14:textId="66FBD7C1" w:rsidR="00A65F69" w:rsidRDefault="007C5F3A" w:rsidP="0045191E">
      <w:pPr>
        <w:pStyle w:val="NormalHanging12a"/>
        <w:widowControl/>
        <w:rPr>
          <w:bCs/>
          <w:iCs/>
        </w:rPr>
      </w:pPr>
      <w:r>
        <w:rPr>
          <w:bCs/>
          <w:iCs/>
        </w:rPr>
        <w:t>21</w:t>
      </w:r>
      <w:r w:rsidR="008C7C58" w:rsidRPr="00672497">
        <w:rPr>
          <w:bCs/>
          <w:iCs/>
        </w:rPr>
        <w:t>.</w:t>
      </w:r>
      <w:r w:rsidR="008C7C58" w:rsidRPr="00672497">
        <w:rPr>
          <w:bCs/>
          <w:iCs/>
        </w:rPr>
        <w:tab/>
        <w:t xml:space="preserve">korostaa, että tulevilla eurooppalaisilla aloitteilla, kuten eurooppalaisella satama-allianssilla, sekä Europolin, </w:t>
      </w:r>
      <w:proofErr w:type="spellStart"/>
      <w:r w:rsidR="008C7C58" w:rsidRPr="00672497">
        <w:rPr>
          <w:bCs/>
          <w:iCs/>
        </w:rPr>
        <w:t>Eurojustin</w:t>
      </w:r>
      <w:proofErr w:type="spellEnd"/>
      <w:r w:rsidR="008C7C58" w:rsidRPr="00672497">
        <w:rPr>
          <w:bCs/>
          <w:iCs/>
        </w:rPr>
        <w:t xml:space="preserve"> ja Euroopan syyttäjänviraston uudistuksilla olisi osaltaan vahvistettava Euroopan satamien eheyttä, avoimuutta ja häiriönsietokykyä muun muassa parantamalla etulinjan virkamiesten ja työntekijöiden suojelua pelottelulta ja korruptiolta;</w:t>
      </w:r>
    </w:p>
    <w:p w14:paraId="50F90818" w14:textId="6690EC44" w:rsidR="00070A02" w:rsidRPr="00D4622E" w:rsidRDefault="007C5F3A" w:rsidP="0045191E">
      <w:pPr>
        <w:pStyle w:val="NormalHanging12a"/>
        <w:widowControl/>
      </w:pPr>
      <w:r>
        <w:t>22</w:t>
      </w:r>
      <w:r w:rsidR="00070A02" w:rsidRPr="00D4622E">
        <w:t>.</w:t>
      </w:r>
      <w:r w:rsidR="00070A02" w:rsidRPr="00D4622E">
        <w:tab/>
        <w:t>painottaa, että ennaltaehkäisy, myös sosiaalisessa mediassa ja digitaalisilla alustoilla, on keskeisessä asemassa, ja kehottaa panemaan tehokkaasti täytäntöön voimassa olevat EU:n säännökset, erityisesti digipalvelusäädöksen, jotta voidaan estää verkossa tapahtuva värvääminen, väkivaltaan yllyttäminen ja rikollisen toiminnan järjestäminen ja kartoittaa tarvetta kehittää säännöksiä; kehottaa jäsenvaltioita panostamaan ennaltaehkäisyä koskevan toimintapolitiikkansa yhteydessä selkeään viestintään, joka auttaa huumeidenkäyttäjiä ymmärtämään, että he osallistuvat rikollisverkostojen väkivaltaiseen ja tuhoisaan toimintaan;</w:t>
      </w:r>
    </w:p>
    <w:p w14:paraId="7CB87095" w14:textId="4B2C947E" w:rsidR="00070A02" w:rsidRPr="00D4622E" w:rsidRDefault="007C5F3A" w:rsidP="0045191E">
      <w:pPr>
        <w:pStyle w:val="NormalHanging12a"/>
        <w:widowControl/>
      </w:pPr>
      <w:bookmarkStart w:id="7" w:name="_heading=h.wu2hczxpxd"/>
      <w:bookmarkEnd w:id="7"/>
      <w:r>
        <w:t>23</w:t>
      </w:r>
      <w:r w:rsidR="00070A02" w:rsidRPr="00D4622E">
        <w:t>.</w:t>
      </w:r>
      <w:r w:rsidR="00070A02" w:rsidRPr="00D4622E">
        <w:tab/>
        <w:t>korostaa, että huumausainepolitiikkaan on sisällytettävä kaikilta osin alaikäisten suojelu rikollisverkostojen värväykseltä digipalvelusäädöksen ja alaikäisten suojelusta verkossa annetun Euroopan parlamentin päätöslauselman (2025/2060</w:t>
      </w:r>
      <w:r w:rsidR="0024563A">
        <w:t xml:space="preserve"> </w:t>
      </w:r>
      <w:r w:rsidR="00070A02" w:rsidRPr="00D4622E">
        <w:t>(INI)) mukaisesti, esimerkiksi varmistamalla yhteistyö digitaalisten alustojen kanssa, kohdennettu ennaltaehkäisy ja varhainen havaitseminen;</w:t>
      </w:r>
    </w:p>
    <w:p w14:paraId="0CCD5914" w14:textId="053144E7" w:rsidR="00AB1082" w:rsidRPr="00D4622E" w:rsidRDefault="007C5F3A" w:rsidP="00AB1082">
      <w:pPr>
        <w:pStyle w:val="NormalHanging12a"/>
        <w:widowControl/>
      </w:pPr>
      <w:r>
        <w:t>24</w:t>
      </w:r>
      <w:r w:rsidR="00070A02" w:rsidRPr="00D4622E">
        <w:t>.</w:t>
      </w:r>
      <w:r w:rsidR="00070A02" w:rsidRPr="00D4622E">
        <w:tab/>
        <w:t xml:space="preserve">korostaa, että turvallisuuteen ja lainvalvontaan keskittyvän toimintamallin ohella on ratkaisevan tärkeää toteuttaa rakenteellisia toimia sellaisten sosiaalisten, taloudellisten ja alueellisten tekijöiden osalta, jotka edistävät tällaisen rikollisen toiminnan juurtumista erityisesti epäsuotuisassa asemassa oleville kaupunkialueille; korostaa tässä yhteydessä unionin talousarviovälineiden, kuten Euroopan aluekehitysrahaston (EAKR), </w:t>
      </w:r>
      <w:r w:rsidR="00070A02" w:rsidRPr="00D4622E">
        <w:lastRenderedPageBreak/>
        <w:t>koheesiorahaston ja Euroopan sosiaalirahasto plussan (ESR+), ratkaisevaa roolia tuettaessa pitkän aikavälin investointeja työllistymiseen, kaupunkiuudistuksiin, julkisiin lähipalveluihin, koulutukseen, ennaltaehkäisyyn ja sosiaaliseen yhteenkuuluvuuteen ja edistettäessä siten näiden alueiden häiriönsietokykyä laittomia talouksia vastaan ja yhteisöjen häiriönsietokykyä rikollisjärjestöjä vastaan;</w:t>
      </w:r>
    </w:p>
    <w:p w14:paraId="5DFDD601" w14:textId="4E2CFE80" w:rsidR="00070A02" w:rsidRPr="00D4622E" w:rsidRDefault="007C5F3A" w:rsidP="0045191E">
      <w:pPr>
        <w:pStyle w:val="NormalHanging12a"/>
        <w:widowControl/>
      </w:pPr>
      <w:r>
        <w:t>25</w:t>
      </w:r>
      <w:r w:rsidR="00070A02" w:rsidRPr="00D4622E">
        <w:t>.</w:t>
      </w:r>
      <w:r w:rsidR="00070A02" w:rsidRPr="00D4622E">
        <w:tab/>
        <w:t>ilmaisee kuitenkin vakavan huolensa komission monivuotiselle rahoituskehykselle 2028–2034 kaavailemasta suunnasta, erityisesti riskeistä, jotka liittyvät koheesiopolitiikan uudelleenkansallistamiseen, koheesiorahastojen yhdistämiseen muihin välineisiin ja rahoituksen keskittämiseen yksinomaan vähemmän kehittyneille alueille; varoittaa, että tämä kehitys saattaa johtaa haitalliseen kilpailuun painopisteiden ja alueiden välillä ja vähentää investointeja, joita tarvittaisiin välialueilla tai kehittyneemmillä alueilla sijaitsevilla ongelmallisilla kaupunkialueilla, vaikka näillä on usein akuutteja sosiaalisia haavoittuvuuksia ja ne ovat erittäin alttiita huumekaupalle;</w:t>
      </w:r>
    </w:p>
    <w:p w14:paraId="6E07D401" w14:textId="2F2C5143" w:rsidR="00070A02" w:rsidRPr="00D4622E" w:rsidRDefault="007C5F3A" w:rsidP="0045191E">
      <w:pPr>
        <w:pStyle w:val="NormalHanging12a"/>
        <w:widowControl/>
      </w:pPr>
      <w:r>
        <w:t>26</w:t>
      </w:r>
      <w:r w:rsidR="00070A02" w:rsidRPr="00D4622E">
        <w:t>.</w:t>
      </w:r>
      <w:r w:rsidR="00070A02" w:rsidRPr="00D4622E">
        <w:tab/>
        <w:t>korostaa, että komission äskettäin hyväksymä uusi kaupunkeja koskeva EU:n toimintaohjelma tuottaa konkreettisia tuloksia vain, jos se sisällytetään kaikilta osin tuleviin kansallisiin ja alueellisiin kumppanuussuunnitelmiin; kehottaa tässä yhteydessä sisällyttämään näihin suunnitelmiin erityisiä, tunnistettavissa olevia ja riittävillä resursseilla varustettuja toimenpiteitä, jotka koskevat julkisia investointeja työväen suosimiin asuinalueisiin, jotta vältetään niiden pysyvä syrjäytyminen ja estetään niiden joutuminen rikollisverkostojen käsiin; korostaa tarvetta varmistaa paikkalähtöinen, yhdennetty ja osallistava lähestymistapa yhteenkuuluvuuteen, mikä on välttämätöntä, jotta yhtäkään aluetta ei jätetä jälkeen ja jotta turvallisuutta, sosiaalista oikeudenmukaisuutta ja yhteenkuuluvuutta voidaan vahvistaa Euroopan unionissa kestävällä tavalla;</w:t>
      </w:r>
    </w:p>
    <w:p w14:paraId="3D5D1CEE" w14:textId="52364C3C" w:rsidR="00070A02" w:rsidRPr="00D4622E" w:rsidRDefault="007C5F3A" w:rsidP="0045191E">
      <w:pPr>
        <w:pStyle w:val="NormalHanging12a"/>
        <w:widowControl/>
      </w:pPr>
      <w:r>
        <w:t>27</w:t>
      </w:r>
      <w:r w:rsidR="00070A02" w:rsidRPr="00D4622E">
        <w:t>.</w:t>
      </w:r>
      <w:r w:rsidR="00070A02" w:rsidRPr="00D4622E">
        <w:tab/>
        <w:t>palauttaa mieliin, että Italian mafiantorjuntastrategian onnistuminen oli suurelta osin kansalaisyhteiskunnan mobilisoinnin ansiota; kehottaa siksi ottamaan kansalaisyhteiskunnan ja erityisesti ruohonjuuritason yhdistykset täysin mukaan järjestäytyneen rikollisuuden ja huumekaupan torjuntaan;</w:t>
      </w:r>
    </w:p>
    <w:p w14:paraId="382BA5F6" w14:textId="08176BEC" w:rsidR="00070A02" w:rsidRPr="00D4622E" w:rsidRDefault="007C5F3A" w:rsidP="0045191E">
      <w:pPr>
        <w:pStyle w:val="NormalHanging12a"/>
        <w:widowControl/>
      </w:pPr>
      <w:r>
        <w:t>28</w:t>
      </w:r>
      <w:r w:rsidR="00070A02" w:rsidRPr="00D4622E">
        <w:t>.</w:t>
      </w:r>
      <w:r w:rsidR="00070A02" w:rsidRPr="00D4622E">
        <w:tab/>
        <w:t>korostaa, että uhrien perheiden kokemukset ja näkemykset on asetettava EU:n huumausainepolitiikan kehittämisen, täytäntöönpanon ja arvioinnin keskiöön ja on tunnustettava niiden keskeinen rooli ennaltaehkäisyssä ja vaarassa olevien henkilöiden tukemisessa; kehottaa siksi ottamaan nämä täysin mukaan Euroopan unionin ja jäsenvaltioiden tuleviin toimiin huumekaupan torjumiseksi;</w:t>
      </w:r>
    </w:p>
    <w:p w14:paraId="7D8A9D7D" w14:textId="0593F336" w:rsidR="00070A02" w:rsidRPr="00D4622E" w:rsidRDefault="007C5F3A" w:rsidP="0045191E">
      <w:pPr>
        <w:pStyle w:val="NormalHanging12a"/>
        <w:widowControl/>
      </w:pPr>
      <w:r>
        <w:t>29</w:t>
      </w:r>
      <w:r w:rsidR="00070A02" w:rsidRPr="00D4622E">
        <w:t>.</w:t>
      </w:r>
      <w:r w:rsidR="00070A02" w:rsidRPr="00D4622E">
        <w:tab/>
        <w:t>kehottaa huumausainestrategian hallinnosta vastaavia elimiä, asiaan liittyviä sidosryhmäkomiteoita ja jäsenvaltioita ottamaan järjestelmällisesti mukaan uhrien ja asianomaisten perheiden edustajia;</w:t>
      </w:r>
    </w:p>
    <w:p w14:paraId="49C8BD6B" w14:textId="709E90E5" w:rsidR="00070A02" w:rsidRDefault="007C5F3A" w:rsidP="0045191E">
      <w:pPr>
        <w:pStyle w:val="NormalHanging12a"/>
        <w:widowControl/>
      </w:pPr>
      <w:r>
        <w:t>30</w:t>
      </w:r>
      <w:r w:rsidR="00070A02" w:rsidRPr="00D4622E">
        <w:t>.</w:t>
      </w:r>
      <w:r w:rsidR="00070A02" w:rsidRPr="00D4622E">
        <w:tab/>
        <w:t xml:space="preserve">ilmaisee tukensa kaikille toimijoille kentällä, mukaan lukien </w:t>
      </w:r>
      <w:r w:rsidR="008C7C58" w:rsidRPr="00672497">
        <w:rPr>
          <w:bCs/>
          <w:iCs/>
        </w:rPr>
        <w:t>lainvalvontaviranomaiset,</w:t>
      </w:r>
      <w:r w:rsidR="008C7C58" w:rsidRPr="00493D48">
        <w:rPr>
          <w:b/>
          <w:i/>
        </w:rPr>
        <w:t xml:space="preserve"> </w:t>
      </w:r>
      <w:r w:rsidR="00070A02" w:rsidRPr="00D4622E">
        <w:t>yhdistykset, opettajat ja kouluttajat, sosiaalityöntekijät ja paikallisviranomaiset; korostaa, että näille aloitteille on tärkeää antaa riittävästi EU:n rahoitustukea, ja toteaa, että tässä yhteydessä voitaisiin ottaa käyttöön sekä sosiaalisiin toimiin osoitetut varat että sisäistä turvallisuutta koskevan unionin tuen vahvistamista vuosiksi 2028–2034 koskevan asetusehdotuksen (COM(2025)0542) mukaiset varat;</w:t>
      </w:r>
    </w:p>
    <w:p w14:paraId="35179933" w14:textId="3667BD82" w:rsidR="00070A02" w:rsidRPr="00D4622E" w:rsidRDefault="007C5F3A" w:rsidP="0045191E">
      <w:pPr>
        <w:pStyle w:val="NormalHanging12a"/>
        <w:widowControl/>
      </w:pPr>
      <w:r>
        <w:t>31</w:t>
      </w:r>
      <w:r w:rsidR="00070A02" w:rsidRPr="00D4622E">
        <w:t>.</w:t>
      </w:r>
      <w:r w:rsidR="00070A02" w:rsidRPr="00D4622E">
        <w:tab/>
        <w:t>kehottaa komissiota ja jäsenvaltioita kehittämään uhrien ja todistajien suojelua koskevien parhaiden käytäntöjen EU:n tason koordinoinnin ottaen huomioon asianomaisten perheiden usein epävarman sosiaalisen ja taloudellisen tilanteen;</w:t>
      </w:r>
    </w:p>
    <w:p w14:paraId="655CFF82" w14:textId="44DE070F" w:rsidR="00070A02" w:rsidRPr="00D4622E" w:rsidRDefault="007C5F3A" w:rsidP="0045191E">
      <w:pPr>
        <w:pStyle w:val="NormalHanging12a"/>
        <w:widowControl/>
      </w:pPr>
      <w:r>
        <w:lastRenderedPageBreak/>
        <w:t>32</w:t>
      </w:r>
      <w:r w:rsidR="00070A02" w:rsidRPr="00D4622E">
        <w:t>.</w:t>
      </w:r>
      <w:r w:rsidR="00070A02" w:rsidRPr="00D4622E">
        <w:tab/>
        <w:t>kehottaa jäsenvaltioita varmistamaan huumausainekaupan vaikutusten kohteeksi joutuneiden perheiden uudelleensijoittamisen ja heidän työllistymisensä, jotta voidaan taata heidän turvallisuutensa, ja kehottaa komissiota sisällyttämään tämän ulottuvuuden asumista koskevaan suunnitelmaansa;</w:t>
      </w:r>
    </w:p>
    <w:p w14:paraId="3BC31118" w14:textId="14C19455" w:rsidR="00070A02" w:rsidRPr="00D4622E" w:rsidRDefault="007C5F3A" w:rsidP="0045191E">
      <w:pPr>
        <w:pStyle w:val="NormalHanging12a"/>
        <w:widowControl/>
      </w:pPr>
      <w:r>
        <w:t>33</w:t>
      </w:r>
      <w:r w:rsidR="00070A02" w:rsidRPr="00D4622E">
        <w:t>.</w:t>
      </w:r>
      <w:r w:rsidR="00070A02" w:rsidRPr="00D4622E">
        <w:tab/>
        <w:t xml:space="preserve">kehottaa jäsenvaltioita tukemaan niitä, jotka vastustavat julkisesti järjestäytynyttä rikollisuutta, kuten </w:t>
      </w:r>
      <w:proofErr w:type="spellStart"/>
      <w:r w:rsidR="00070A02" w:rsidRPr="00D4622E">
        <w:t>Amine</w:t>
      </w:r>
      <w:proofErr w:type="spellEnd"/>
      <w:r w:rsidR="00070A02" w:rsidRPr="00D4622E">
        <w:t xml:space="preserve"> </w:t>
      </w:r>
      <w:proofErr w:type="spellStart"/>
      <w:r w:rsidR="00070A02" w:rsidRPr="00D4622E">
        <w:t>Kessaci</w:t>
      </w:r>
      <w:proofErr w:type="spellEnd"/>
      <w:r w:rsidR="00070A02" w:rsidRPr="00D4622E">
        <w:t xml:space="preserve"> ja Roberto Saviano, ja tekemään siitä keskeisen osan oikeusvaltion ja sananvapauden puolustamisessa;</w:t>
      </w:r>
    </w:p>
    <w:p w14:paraId="1758DA12" w14:textId="67A70232" w:rsidR="00AB1082" w:rsidRPr="009D7C7B" w:rsidRDefault="007C5F3A" w:rsidP="007C5F3A">
      <w:pPr>
        <w:pStyle w:val="NormalHanging12a"/>
        <w:widowControl/>
      </w:pPr>
      <w:r>
        <w:t>34</w:t>
      </w:r>
      <w:r w:rsidR="00070A02" w:rsidRPr="00D4622E">
        <w:t>.</w:t>
      </w:r>
      <w:r w:rsidR="00070A02" w:rsidRPr="00D4622E">
        <w:tab/>
        <w:t>kehottaa puhemiestä välittämään tämän päätöslauselman neuvostolle, komissiolle, jäsenvaltioiden hallituksille ja parlamenteille sekä asianomaisille kansainvälisille instituutioille ja järjestöille.</w:t>
      </w:r>
    </w:p>
    <w:sectPr w:rsidR="00AB1082" w:rsidRPr="009D7C7B" w:rsidSect="009D7C7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91FD4" w14:textId="77777777" w:rsidR="00936D2F" w:rsidRPr="009D7C7B" w:rsidRDefault="00936D2F">
      <w:r w:rsidRPr="009D7C7B">
        <w:separator/>
      </w:r>
    </w:p>
  </w:endnote>
  <w:endnote w:type="continuationSeparator" w:id="0">
    <w:p w14:paraId="67A54757" w14:textId="77777777" w:rsidR="00936D2F" w:rsidRPr="009D7C7B" w:rsidRDefault="00936D2F">
      <w:r w:rsidRPr="009D7C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C4FEE" w14:textId="77777777" w:rsidR="00936D2F" w:rsidRPr="009D7C7B" w:rsidRDefault="00936D2F">
      <w:r w:rsidRPr="009D7C7B">
        <w:separator/>
      </w:r>
    </w:p>
  </w:footnote>
  <w:footnote w:type="continuationSeparator" w:id="0">
    <w:p w14:paraId="465DA783" w14:textId="77777777" w:rsidR="00936D2F" w:rsidRPr="009D7C7B" w:rsidRDefault="00936D2F">
      <w:r w:rsidRPr="009D7C7B">
        <w:continuationSeparator/>
      </w:r>
    </w:p>
  </w:footnote>
  <w:footnote w:id="1">
    <w:p w14:paraId="7C9B06B3" w14:textId="64281B83" w:rsidR="00070A02" w:rsidRPr="00AB1082" w:rsidRDefault="00070A02" w:rsidP="009D7C7B">
      <w:pPr>
        <w:pStyle w:val="FootnoteText"/>
        <w:ind w:left="567" w:hanging="567"/>
        <w:rPr>
          <w:sz w:val="24"/>
          <w:lang w:val="fr-BE"/>
        </w:rPr>
      </w:pPr>
      <w:r w:rsidRPr="009D7C7B">
        <w:rPr>
          <w:rStyle w:val="FootnoteReference"/>
          <w:sz w:val="24"/>
          <w:lang w:val="fi-FI"/>
        </w:rPr>
        <w:footnoteRef/>
      </w:r>
      <w:r w:rsidR="009D7C7B" w:rsidRPr="00AB1082">
        <w:rPr>
          <w:sz w:val="24"/>
          <w:lang w:val="fr-BE"/>
        </w:rPr>
        <w:t xml:space="preserve"> </w:t>
      </w:r>
      <w:r w:rsidR="009D7C7B" w:rsidRPr="00AB1082">
        <w:rPr>
          <w:sz w:val="24"/>
          <w:lang w:val="fr-BE"/>
        </w:rPr>
        <w:tab/>
      </w:r>
      <w:r w:rsidRPr="00AB1082">
        <w:rPr>
          <w:sz w:val="24"/>
          <w:lang w:val="fr-BE"/>
        </w:rPr>
        <w:t>EUVL L 315, 14.11.2012, s. 57, ELI: </w:t>
      </w:r>
      <w:hyperlink r:id="rId1" w:tooltip="Avaa asiakirjan ELI URI -osoitteen kautta." w:history="1">
        <w:r w:rsidRPr="00AB1082">
          <w:rPr>
            <w:rStyle w:val="Hyperlink"/>
            <w:sz w:val="24"/>
            <w:lang w:val="fr-BE"/>
          </w:rPr>
          <w:t>http://data.europa.eu/eli/dir/2012/29/oj</w:t>
        </w:r>
      </w:hyperlink>
      <w:r w:rsidRPr="00AB1082">
        <w:rPr>
          <w:sz w:val="24"/>
          <w:lang w:val="fr-BE"/>
        </w:rPr>
        <w:t>.</w:t>
      </w:r>
    </w:p>
  </w:footnote>
  <w:footnote w:id="2">
    <w:p w14:paraId="625CFFA8" w14:textId="2E94F8BE" w:rsidR="00070A02" w:rsidRPr="00AB1082" w:rsidRDefault="00070A02" w:rsidP="009D7C7B">
      <w:pPr>
        <w:pStyle w:val="FootnoteText"/>
        <w:ind w:left="567" w:hanging="567"/>
        <w:rPr>
          <w:sz w:val="24"/>
          <w:lang w:val="fr-BE"/>
        </w:rPr>
      </w:pPr>
      <w:r w:rsidRPr="009D7C7B">
        <w:rPr>
          <w:rStyle w:val="FootnoteReference"/>
          <w:sz w:val="24"/>
          <w:lang w:val="fi-FI"/>
        </w:rPr>
        <w:footnoteRef/>
      </w:r>
      <w:r w:rsidR="009D7C7B" w:rsidRPr="00AB1082">
        <w:rPr>
          <w:sz w:val="24"/>
          <w:lang w:val="fr-BE"/>
        </w:rPr>
        <w:t xml:space="preserve"> </w:t>
      </w:r>
      <w:r w:rsidR="009D7C7B" w:rsidRPr="00AB1082">
        <w:rPr>
          <w:sz w:val="24"/>
          <w:lang w:val="fr-BE"/>
        </w:rPr>
        <w:tab/>
      </w:r>
      <w:r w:rsidRPr="00AB1082">
        <w:rPr>
          <w:sz w:val="24"/>
          <w:lang w:val="fr-BE"/>
        </w:rPr>
        <w:t>EUVL C 65, 19.2.2016, s. 16.</w:t>
      </w:r>
    </w:p>
  </w:footnote>
  <w:footnote w:id="3">
    <w:p w14:paraId="24C8A8F9" w14:textId="3148F383" w:rsidR="00070A02" w:rsidRPr="00AB1082" w:rsidRDefault="00070A02" w:rsidP="009D7C7B">
      <w:pPr>
        <w:pStyle w:val="FootnoteText"/>
        <w:ind w:left="567" w:hanging="567"/>
        <w:rPr>
          <w:sz w:val="24"/>
          <w:lang w:val="fr-BE"/>
        </w:rPr>
      </w:pPr>
      <w:r w:rsidRPr="009D7C7B">
        <w:rPr>
          <w:rStyle w:val="FootnoteReference"/>
          <w:sz w:val="24"/>
          <w:lang w:val="fi-FI"/>
        </w:rPr>
        <w:footnoteRef/>
      </w:r>
      <w:r w:rsidR="009D7C7B" w:rsidRPr="00AB1082">
        <w:rPr>
          <w:sz w:val="24"/>
          <w:lang w:val="fr-BE"/>
        </w:rPr>
        <w:t xml:space="preserve"> </w:t>
      </w:r>
      <w:r w:rsidR="009D7C7B" w:rsidRPr="00AB1082">
        <w:rPr>
          <w:sz w:val="24"/>
          <w:lang w:val="fr-BE"/>
        </w:rPr>
        <w:tab/>
      </w:r>
      <w:r w:rsidRPr="00AB1082">
        <w:rPr>
          <w:sz w:val="24"/>
          <w:lang w:val="fr-BE"/>
        </w:rPr>
        <w:t>EUVL L, 2024/1624, 19.6.2024, ELI: </w:t>
      </w:r>
      <w:hyperlink r:id="rId2" w:tgtFrame="_blank" w:tooltip="Avaa asiakirjan ELI URI -osoitteen kautta." w:history="1">
        <w:r w:rsidRPr="00AB1082">
          <w:rPr>
            <w:rStyle w:val="Hyperlink"/>
            <w:sz w:val="24"/>
            <w:lang w:val="fr-BE"/>
          </w:rPr>
          <w:t>http://data.europa.eu/eli/reg/2024/1624/oj</w:t>
        </w:r>
      </w:hyperlink>
      <w:r w:rsidRPr="00AB1082">
        <w:rPr>
          <w:sz w:val="24"/>
          <w:lang w:val="fr-BE"/>
        </w:rPr>
        <w:t>.</w:t>
      </w:r>
    </w:p>
  </w:footnote>
  <w:footnote w:id="4">
    <w:p w14:paraId="4107233C" w14:textId="1EB2377C" w:rsidR="00070A02" w:rsidRPr="00AB1082" w:rsidRDefault="00070A02" w:rsidP="009D7C7B">
      <w:pPr>
        <w:pStyle w:val="FootnoteText"/>
        <w:ind w:left="567" w:hanging="567"/>
        <w:rPr>
          <w:sz w:val="24"/>
          <w:lang w:val="fr-BE"/>
        </w:rPr>
      </w:pPr>
      <w:r w:rsidRPr="009D7C7B">
        <w:rPr>
          <w:rStyle w:val="FootnoteReference"/>
          <w:sz w:val="24"/>
          <w:lang w:val="fi-FI"/>
        </w:rPr>
        <w:footnoteRef/>
      </w:r>
      <w:r w:rsidR="009D7C7B" w:rsidRPr="00AB1082">
        <w:rPr>
          <w:sz w:val="24"/>
          <w:lang w:val="fr-BE"/>
        </w:rPr>
        <w:t xml:space="preserve"> </w:t>
      </w:r>
      <w:r w:rsidR="009D7C7B" w:rsidRPr="00AB1082">
        <w:rPr>
          <w:sz w:val="24"/>
          <w:lang w:val="fr-BE"/>
        </w:rPr>
        <w:tab/>
      </w:r>
      <w:r w:rsidRPr="00AB1082">
        <w:rPr>
          <w:sz w:val="24"/>
          <w:lang w:val="fr-BE"/>
        </w:rPr>
        <w:t>EUVL L, 2024/1640, 19.6.2024, ELI: </w:t>
      </w:r>
      <w:hyperlink r:id="rId3" w:tgtFrame="_blank" w:tooltip="Avaa asiakirjan ELI URI -osoitteen kautta." w:history="1">
        <w:r w:rsidRPr="00AB1082">
          <w:rPr>
            <w:rStyle w:val="Hyperlink"/>
            <w:sz w:val="24"/>
            <w:lang w:val="fr-BE"/>
          </w:rPr>
          <w:t>http://data.europa.eu/eli/dir/2024/1640/oj</w:t>
        </w:r>
      </w:hyperlink>
      <w:r w:rsidRPr="00AB1082">
        <w:rPr>
          <w:sz w:val="24"/>
          <w:lang w:val="fr-BE"/>
        </w:rPr>
        <w:t>.</w:t>
      </w:r>
    </w:p>
  </w:footnote>
  <w:footnote w:id="5">
    <w:p w14:paraId="49DF9947" w14:textId="53EF0CB9" w:rsidR="00070A02" w:rsidRPr="00AB1082" w:rsidRDefault="00070A02" w:rsidP="009D7C7B">
      <w:pPr>
        <w:pStyle w:val="FootnoteText"/>
        <w:ind w:left="567" w:hanging="567"/>
        <w:rPr>
          <w:sz w:val="24"/>
          <w:lang w:val="fr-BE"/>
        </w:rPr>
      </w:pPr>
      <w:r w:rsidRPr="009D7C7B">
        <w:rPr>
          <w:rStyle w:val="FootnoteReference"/>
          <w:sz w:val="24"/>
          <w:lang w:val="fi-FI"/>
        </w:rPr>
        <w:footnoteRef/>
      </w:r>
      <w:r w:rsidR="009D7C7B" w:rsidRPr="00AB1082">
        <w:rPr>
          <w:sz w:val="24"/>
          <w:lang w:val="fr-BE"/>
        </w:rPr>
        <w:t xml:space="preserve"> </w:t>
      </w:r>
      <w:r w:rsidR="009D7C7B" w:rsidRPr="00AB1082">
        <w:rPr>
          <w:sz w:val="24"/>
          <w:lang w:val="fr-BE"/>
        </w:rPr>
        <w:tab/>
      </w:r>
      <w:r w:rsidRPr="00AB1082">
        <w:rPr>
          <w:sz w:val="24"/>
          <w:lang w:val="fr-BE"/>
        </w:rPr>
        <w:t>EUVL L, 2024/1712, 24.6.2024, ELI: </w:t>
      </w:r>
      <w:hyperlink r:id="rId4" w:tgtFrame="_blank" w:tooltip="Avaa asiakirjan ELI URI -osoitteen kautta." w:history="1">
        <w:r w:rsidRPr="00AB1082">
          <w:rPr>
            <w:rStyle w:val="Hyperlink"/>
            <w:sz w:val="24"/>
            <w:lang w:val="fr-BE"/>
          </w:rPr>
          <w:t>http://data.europa.eu/eli/dir/2024/1712/oj</w:t>
        </w:r>
      </w:hyperlink>
      <w:r w:rsidRPr="00AB1082">
        <w:rPr>
          <w:sz w:val="24"/>
          <w:lang w:val="fr-BE"/>
        </w:rPr>
        <w:t>.</w:t>
      </w:r>
    </w:p>
  </w:footnote>
  <w:footnote w:id="6">
    <w:p w14:paraId="6E12BD52" w14:textId="367973BE" w:rsidR="008C7C58" w:rsidRPr="00672497" w:rsidRDefault="008C7C58" w:rsidP="00672497">
      <w:pPr>
        <w:pStyle w:val="FootnoteText"/>
        <w:ind w:left="567" w:hanging="567"/>
        <w:rPr>
          <w:lang w:val="fi-FI"/>
        </w:rPr>
      </w:pPr>
      <w:r>
        <w:rPr>
          <w:rStyle w:val="FootnoteReference"/>
        </w:rPr>
        <w:footnoteRef/>
      </w:r>
      <w:r w:rsidRPr="00672497">
        <w:rPr>
          <w:lang w:val="fi-FI"/>
        </w:rPr>
        <w:t xml:space="preserve"> </w:t>
      </w:r>
      <w:r w:rsidRPr="00672497">
        <w:rPr>
          <w:lang w:val="fi-FI"/>
        </w:rPr>
        <w:tab/>
      </w:r>
      <w:r w:rsidRPr="00672497">
        <w:rPr>
          <w:bCs/>
          <w:iCs/>
          <w:sz w:val="24"/>
          <w:szCs w:val="24"/>
          <w:lang w:val="fi-FI"/>
        </w:rPr>
        <w:t xml:space="preserve">Euroopan parlamentin ja neuvoston direktiivi 2006/126/EY, annettu 20 päivänä joulukuuta 2006, ajokorteista (EUVL L 403, 30.12.2006, s. 18, ELI: </w:t>
      </w:r>
      <w:hyperlink r:id="rId5" w:history="1">
        <w:r w:rsidRPr="00672497">
          <w:rPr>
            <w:rStyle w:val="Hyperlink"/>
            <w:bCs/>
            <w:iCs/>
            <w:sz w:val="24"/>
            <w:szCs w:val="24"/>
            <w:lang w:val="fi-FI"/>
          </w:rPr>
          <w:t>http://data.europa.eu/eli/dir/2006/126/oj</w:t>
        </w:r>
      </w:hyperlink>
      <w:r w:rsidRPr="00672497">
        <w:rPr>
          <w:bCs/>
          <w:iCs/>
          <w:sz w:val="24"/>
          <w:szCs w:val="24"/>
          <w:lang w:val="fi-FI"/>
        </w:rPr>
        <w:t>).</w:t>
      </w:r>
    </w:p>
  </w:footnote>
  <w:footnote w:id="7">
    <w:p w14:paraId="22080286" w14:textId="589A0975" w:rsidR="00070A02" w:rsidRPr="00AB1082" w:rsidRDefault="00070A02" w:rsidP="009D7C7B">
      <w:pPr>
        <w:pStyle w:val="FootnoteText"/>
        <w:ind w:left="567" w:hanging="567"/>
        <w:rPr>
          <w:sz w:val="24"/>
          <w:lang w:val="fr-BE"/>
        </w:rPr>
      </w:pPr>
      <w:r w:rsidRPr="009D7C7B">
        <w:rPr>
          <w:rStyle w:val="FootnoteReference"/>
          <w:sz w:val="24"/>
          <w:lang w:val="fi-FI"/>
        </w:rPr>
        <w:footnoteRef/>
      </w:r>
      <w:r w:rsidR="009D7C7B" w:rsidRPr="00AB1082">
        <w:rPr>
          <w:sz w:val="24"/>
          <w:lang w:val="fr-BE"/>
        </w:rPr>
        <w:t xml:space="preserve"> </w:t>
      </w:r>
      <w:r w:rsidR="009D7C7B" w:rsidRPr="00AB1082">
        <w:rPr>
          <w:sz w:val="24"/>
          <w:lang w:val="fr-BE"/>
        </w:rPr>
        <w:tab/>
      </w:r>
      <w:r w:rsidRPr="00AB1082">
        <w:rPr>
          <w:sz w:val="24"/>
          <w:lang w:val="fr-BE"/>
        </w:rPr>
        <w:t>EUVL L, 2024/1260, 2.5.2024, ELI: </w:t>
      </w:r>
      <w:hyperlink r:id="rId6" w:tgtFrame="_blank" w:tooltip="Avaa asiakirjan ELI URI -osoitteen kautta." w:history="1">
        <w:r w:rsidRPr="00AB1082">
          <w:rPr>
            <w:rStyle w:val="Hyperlink"/>
            <w:sz w:val="24"/>
            <w:lang w:val="fr-BE"/>
          </w:rPr>
          <w:t>http://data.europa.eu/eli/dir/2024/1260/oj</w:t>
        </w:r>
      </w:hyperlink>
      <w:r w:rsidRPr="00AB1082">
        <w:rPr>
          <w:sz w:val="24"/>
          <w:lang w:val="fr-BE"/>
        </w:rPr>
        <w: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2551779">
    <w:abstractNumId w:val="9"/>
  </w:num>
  <w:num w:numId="2" w16cid:durableId="1825656906">
    <w:abstractNumId w:val="9"/>
  </w:num>
  <w:num w:numId="3" w16cid:durableId="2034069185">
    <w:abstractNumId w:val="7"/>
  </w:num>
  <w:num w:numId="4" w16cid:durableId="2077849510">
    <w:abstractNumId w:val="7"/>
  </w:num>
  <w:num w:numId="5" w16cid:durableId="1472014780">
    <w:abstractNumId w:val="6"/>
  </w:num>
  <w:num w:numId="6" w16cid:durableId="1237283404">
    <w:abstractNumId w:val="6"/>
  </w:num>
  <w:num w:numId="7" w16cid:durableId="777263659">
    <w:abstractNumId w:val="5"/>
  </w:num>
  <w:num w:numId="8" w16cid:durableId="1603418555">
    <w:abstractNumId w:val="5"/>
  </w:num>
  <w:num w:numId="9" w16cid:durableId="132066391">
    <w:abstractNumId w:val="4"/>
  </w:num>
  <w:num w:numId="10" w16cid:durableId="2112234528">
    <w:abstractNumId w:val="4"/>
  </w:num>
  <w:num w:numId="11" w16cid:durableId="796218977">
    <w:abstractNumId w:val="8"/>
  </w:num>
  <w:num w:numId="12" w16cid:durableId="826633014">
    <w:abstractNumId w:val="8"/>
  </w:num>
  <w:num w:numId="13" w16cid:durableId="687869228">
    <w:abstractNumId w:val="3"/>
  </w:num>
  <w:num w:numId="14" w16cid:durableId="1921401743">
    <w:abstractNumId w:val="3"/>
  </w:num>
  <w:num w:numId="15" w16cid:durableId="1167549308">
    <w:abstractNumId w:val="2"/>
  </w:num>
  <w:num w:numId="16" w16cid:durableId="953369517">
    <w:abstractNumId w:val="2"/>
  </w:num>
  <w:num w:numId="17" w16cid:durableId="1477602507">
    <w:abstractNumId w:val="1"/>
  </w:num>
  <w:num w:numId="18" w16cid:durableId="932736550">
    <w:abstractNumId w:val="1"/>
  </w:num>
  <w:num w:numId="19" w16cid:durableId="1651859873">
    <w:abstractNumId w:val="0"/>
  </w:num>
  <w:num w:numId="20" w16cid:durableId="1367177449">
    <w:abstractNumId w:val="0"/>
  </w:num>
  <w:num w:numId="21" w16cid:durableId="668951336">
    <w:abstractNumId w:val="9"/>
  </w:num>
  <w:num w:numId="22" w16cid:durableId="221016567">
    <w:abstractNumId w:val="7"/>
  </w:num>
  <w:num w:numId="23" w16cid:durableId="490293837">
    <w:abstractNumId w:val="6"/>
  </w:num>
  <w:num w:numId="24" w16cid:durableId="912817416">
    <w:abstractNumId w:val="5"/>
  </w:num>
  <w:num w:numId="25" w16cid:durableId="671103755">
    <w:abstractNumId w:val="4"/>
  </w:num>
  <w:num w:numId="26" w16cid:durableId="1721589687">
    <w:abstractNumId w:val="8"/>
  </w:num>
  <w:num w:numId="27" w16cid:durableId="696583836">
    <w:abstractNumId w:val="3"/>
  </w:num>
  <w:num w:numId="28" w16cid:durableId="415826181">
    <w:abstractNumId w:val="2"/>
  </w:num>
  <w:num w:numId="29" w16cid:durableId="1113793419">
    <w:abstractNumId w:val="1"/>
  </w:num>
  <w:num w:numId="30" w16cid:durableId="175190494">
    <w:abstractNumId w:val="0"/>
  </w:num>
  <w:num w:numId="31" w16cid:durableId="1151796089">
    <w:abstractNumId w:val="9"/>
  </w:num>
  <w:num w:numId="32" w16cid:durableId="163518288">
    <w:abstractNumId w:val="7"/>
  </w:num>
  <w:num w:numId="33" w16cid:durableId="1785266859">
    <w:abstractNumId w:val="6"/>
  </w:num>
  <w:num w:numId="34" w16cid:durableId="846333930">
    <w:abstractNumId w:val="5"/>
  </w:num>
  <w:num w:numId="35" w16cid:durableId="1027102483">
    <w:abstractNumId w:val="4"/>
  </w:num>
  <w:num w:numId="36" w16cid:durableId="1915435994">
    <w:abstractNumId w:val="8"/>
  </w:num>
  <w:num w:numId="37" w16cid:durableId="1018199365">
    <w:abstractNumId w:val="3"/>
  </w:num>
  <w:num w:numId="38" w16cid:durableId="32384117">
    <w:abstractNumId w:val="2"/>
  </w:num>
  <w:num w:numId="39" w16cid:durableId="1812481725">
    <w:abstractNumId w:val="1"/>
  </w:num>
  <w:num w:numId="40" w16cid:durableId="1281838190">
    <w:abstractNumId w:val="0"/>
  </w:num>
  <w:num w:numId="41" w16cid:durableId="2041472271">
    <w:abstractNumId w:val="10"/>
  </w:num>
  <w:num w:numId="42" w16cid:durableId="972716818">
    <w:abstractNumId w:val="10"/>
  </w:num>
  <w:num w:numId="43" w16cid:durableId="1328822288">
    <w:abstractNumId w:val="10"/>
  </w:num>
  <w:num w:numId="44" w16cid:durableId="7276487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57/2026"/>
    <w:docVar w:name="dvlangue" w:val="FI"/>
    <w:docVar w:name="dvnumam" w:val="0"/>
    <w:docVar w:name="dvpe" w:val="782.012"/>
    <w:docVar w:name="dvtitre" w:val="Euroopan parlamentin päätöslauselma 20. tammikuuta 2026 Mehdi Kessacin murhasta ja kiireellisestä tarpeesta kunnianhimoisille eurooppalaisille toimille huumausainekaupan torjumiseksi(2025/3020(RSP))"/>
  </w:docVars>
  <w:rsids>
    <w:rsidRoot w:val="00936D2F"/>
    <w:rsid w:val="00002272"/>
    <w:rsid w:val="00064002"/>
    <w:rsid w:val="000677B9"/>
    <w:rsid w:val="00070A02"/>
    <w:rsid w:val="000831BA"/>
    <w:rsid w:val="000A1DDF"/>
    <w:rsid w:val="000A42CC"/>
    <w:rsid w:val="000B52ED"/>
    <w:rsid w:val="000E7DD9"/>
    <w:rsid w:val="0010095E"/>
    <w:rsid w:val="00125B37"/>
    <w:rsid w:val="00187494"/>
    <w:rsid w:val="001F32AE"/>
    <w:rsid w:val="0024563A"/>
    <w:rsid w:val="002767FF"/>
    <w:rsid w:val="002B18FE"/>
    <w:rsid w:val="002B5493"/>
    <w:rsid w:val="00323CEE"/>
    <w:rsid w:val="00343214"/>
    <w:rsid w:val="00361C00"/>
    <w:rsid w:val="00395FA1"/>
    <w:rsid w:val="003E15D4"/>
    <w:rsid w:val="00411CCE"/>
    <w:rsid w:val="0041666E"/>
    <w:rsid w:val="00421060"/>
    <w:rsid w:val="0045191E"/>
    <w:rsid w:val="00471C19"/>
    <w:rsid w:val="004867E3"/>
    <w:rsid w:val="00494A28"/>
    <w:rsid w:val="004C0004"/>
    <w:rsid w:val="004C5D52"/>
    <w:rsid w:val="0050519A"/>
    <w:rsid w:val="005072A1"/>
    <w:rsid w:val="00514517"/>
    <w:rsid w:val="0053697E"/>
    <w:rsid w:val="00545827"/>
    <w:rsid w:val="00552C1D"/>
    <w:rsid w:val="00560270"/>
    <w:rsid w:val="005C2568"/>
    <w:rsid w:val="005F1B17"/>
    <w:rsid w:val="006037C0"/>
    <w:rsid w:val="006631B6"/>
    <w:rsid w:val="00672497"/>
    <w:rsid w:val="00680577"/>
    <w:rsid w:val="006F74FA"/>
    <w:rsid w:val="00731ADD"/>
    <w:rsid w:val="00734777"/>
    <w:rsid w:val="00747932"/>
    <w:rsid w:val="00751A4A"/>
    <w:rsid w:val="00756632"/>
    <w:rsid w:val="00762C74"/>
    <w:rsid w:val="00786EC0"/>
    <w:rsid w:val="007C5F3A"/>
    <w:rsid w:val="007D1690"/>
    <w:rsid w:val="007E22AD"/>
    <w:rsid w:val="00817416"/>
    <w:rsid w:val="00842779"/>
    <w:rsid w:val="00865F67"/>
    <w:rsid w:val="00881984"/>
    <w:rsid w:val="00881A7B"/>
    <w:rsid w:val="008840E5"/>
    <w:rsid w:val="00887B3E"/>
    <w:rsid w:val="008A367F"/>
    <w:rsid w:val="008C2AC6"/>
    <w:rsid w:val="008C7C58"/>
    <w:rsid w:val="00930C23"/>
    <w:rsid w:val="0093193B"/>
    <w:rsid w:val="00936D2F"/>
    <w:rsid w:val="009509D8"/>
    <w:rsid w:val="00950B64"/>
    <w:rsid w:val="00981893"/>
    <w:rsid w:val="009D7C7B"/>
    <w:rsid w:val="00A1687D"/>
    <w:rsid w:val="00A43E52"/>
    <w:rsid w:val="00A4678D"/>
    <w:rsid w:val="00A65F69"/>
    <w:rsid w:val="00A74AFD"/>
    <w:rsid w:val="00A778C7"/>
    <w:rsid w:val="00AB1082"/>
    <w:rsid w:val="00AB441E"/>
    <w:rsid w:val="00AB6293"/>
    <w:rsid w:val="00AE0928"/>
    <w:rsid w:val="00AF3B82"/>
    <w:rsid w:val="00B12E95"/>
    <w:rsid w:val="00B22876"/>
    <w:rsid w:val="00B558F0"/>
    <w:rsid w:val="00B67912"/>
    <w:rsid w:val="00BD48FE"/>
    <w:rsid w:val="00BD7BD8"/>
    <w:rsid w:val="00BE6ADC"/>
    <w:rsid w:val="00C05BFE"/>
    <w:rsid w:val="00C23CD4"/>
    <w:rsid w:val="00C61C0C"/>
    <w:rsid w:val="00C941CB"/>
    <w:rsid w:val="00CC2357"/>
    <w:rsid w:val="00CF071A"/>
    <w:rsid w:val="00D058B8"/>
    <w:rsid w:val="00D4622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4F94EF"/>
  <w15:chartTrackingRefBased/>
  <w15:docId w15:val="{6B854B87-4FC1-4553-8BB5-DB650E634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0A02"/>
    <w:pPr>
      <w:spacing w:before="480" w:after="240"/>
    </w:pPr>
  </w:style>
  <w:style w:type="paragraph" w:customStyle="1" w:styleId="NormalHanging12a">
    <w:name w:val="NormalHanging12a"/>
    <w:basedOn w:val="Normal"/>
    <w:rsid w:val="00070A02"/>
    <w:pPr>
      <w:spacing w:after="240"/>
      <w:ind w:left="567" w:hanging="567"/>
    </w:pPr>
  </w:style>
  <w:style w:type="character" w:styleId="Hyperlink">
    <w:name w:val="Hyperlink"/>
    <w:basedOn w:val="DefaultParagraphFont"/>
    <w:uiPriority w:val="99"/>
    <w:unhideWhenUsed/>
    <w:rsid w:val="00070A02"/>
    <w:rPr>
      <w:color w:val="0563C1" w:themeColor="hyperlink"/>
      <w:u w:val="single"/>
    </w:rPr>
  </w:style>
  <w:style w:type="paragraph" w:styleId="Footer">
    <w:name w:val="footer"/>
    <w:basedOn w:val="Normal"/>
    <w:link w:val="FooterChar"/>
    <w:rsid w:val="0045191E"/>
    <w:pPr>
      <w:tabs>
        <w:tab w:val="center" w:pos="4513"/>
        <w:tab w:val="right" w:pos="9026"/>
      </w:tabs>
    </w:pPr>
  </w:style>
  <w:style w:type="character" w:customStyle="1" w:styleId="FooterChar">
    <w:name w:val="Footer Char"/>
    <w:basedOn w:val="DefaultParagraphFont"/>
    <w:link w:val="Footer"/>
    <w:rsid w:val="0045191E"/>
    <w:rPr>
      <w:sz w:val="24"/>
      <w:lang w:val="fi-FI"/>
    </w:rPr>
  </w:style>
  <w:style w:type="paragraph" w:styleId="Revision">
    <w:name w:val="Revision"/>
    <w:hidden/>
    <w:uiPriority w:val="99"/>
    <w:semiHidden/>
    <w:rsid w:val="0053697E"/>
    <w:rPr>
      <w:sz w:val="24"/>
      <w:lang w:val="fi-FI"/>
    </w:rPr>
  </w:style>
  <w:style w:type="paragraph" w:customStyle="1" w:styleId="NormalBold12b">
    <w:name w:val="NormalBold12b"/>
    <w:basedOn w:val="Normal"/>
    <w:link w:val="NormalBold12bChar"/>
    <w:rsid w:val="00AB1082"/>
    <w:pPr>
      <w:spacing w:before="240"/>
    </w:pPr>
    <w:rPr>
      <w:b/>
    </w:rPr>
  </w:style>
  <w:style w:type="character" w:customStyle="1" w:styleId="NormalBold12bChar">
    <w:name w:val="NormalBold12b Char"/>
    <w:basedOn w:val="DefaultParagraphFont"/>
    <w:link w:val="NormalBold12b"/>
    <w:rsid w:val="00AB1082"/>
    <w:rPr>
      <w:b/>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40/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12/29/oj" TargetMode="External"/><Relationship Id="rId6" Type="http://schemas.openxmlformats.org/officeDocument/2006/relationships/hyperlink" Target="http://data.europa.eu/eli/dir/2024/1260/oj" TargetMode="External"/><Relationship Id="rId5" Type="http://schemas.openxmlformats.org/officeDocument/2006/relationships/hyperlink" Target="http://data.europa.eu/eli/dir/2006/12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2913</Words>
  <Characters>25398</Characters>
  <Application>Microsoft Office Word</Application>
  <DocSecurity>0</DocSecurity>
  <Lines>1336</Lines>
  <Paragraphs>857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2026-02-26T09:54:00Z</dcterms:created>
  <dcterms:modified xsi:type="dcterms:W3CDTF">2026-02-26T09:54:00Z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P10_TA(2026)0007_</vt:lpwstr>
  </property>
  <property fmtid="{D5CDD505-2E9C-101B-9397-08002B2CF9AE}" pid="4" name="&lt;Type&gt;">
    <vt:lpwstr>RR</vt:lpwstr>
  </property>
  <property fmtid="{D5CDD505-2E9C-101B-9397-08002B2CF9AE}" pid="5" name="&lt;Model&gt;">
    <vt:lpwstr/>
  </property>
</Properties>
</file>