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2BF2" w14:paraId="05D0B6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A8BE8B" w14:textId="77777777" w:rsidR="00751A4A" w:rsidRPr="00C32BF2" w:rsidRDefault="00794548" w:rsidP="0010095E">
            <w:pPr>
              <w:pStyle w:val="EPName"/>
            </w:pPr>
            <w:r w:rsidRPr="00C32BF2">
              <w:t>Europski parlament</w:t>
            </w:r>
          </w:p>
          <w:p w14:paraId="2FA2C0D9" w14:textId="77777777" w:rsidR="00751A4A" w:rsidRPr="00C32BF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2BF2">
              <w:t>2024</w:t>
            </w:r>
            <w:r w:rsidR="00817416" w:rsidRPr="00C32BF2">
              <w:t>-202</w:t>
            </w:r>
            <w:r w:rsidRPr="00C32BF2">
              <w:t>9</w:t>
            </w:r>
          </w:p>
        </w:tc>
        <w:tc>
          <w:tcPr>
            <w:tcW w:w="2268" w:type="dxa"/>
            <w:shd w:val="clear" w:color="auto" w:fill="auto"/>
          </w:tcPr>
          <w:p w14:paraId="11CD2352" w14:textId="77777777" w:rsidR="00751A4A" w:rsidRPr="00C32BF2" w:rsidRDefault="00187494" w:rsidP="0010095E">
            <w:pPr>
              <w:pStyle w:val="EPLogo"/>
            </w:pPr>
            <w:r w:rsidRPr="00C32BF2">
              <w:rPr>
                <w:noProof/>
                <w:lang w:eastAsia="ja-JP"/>
              </w:rPr>
              <w:drawing>
                <wp:inline distT="0" distB="0" distL="0" distR="0" wp14:anchorId="569D3895" wp14:editId="68909A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E84325" w14:textId="77777777" w:rsidR="00D058B8" w:rsidRPr="00C32BF2" w:rsidRDefault="00D058B8" w:rsidP="004C5D52">
      <w:pPr>
        <w:pStyle w:val="LineTop"/>
      </w:pPr>
    </w:p>
    <w:p w14:paraId="1364A189" w14:textId="77777777" w:rsidR="00680577" w:rsidRPr="00C32BF2" w:rsidRDefault="00794548" w:rsidP="00680577">
      <w:pPr>
        <w:pStyle w:val="EPBodyTA1"/>
      </w:pPr>
      <w:r w:rsidRPr="00C32BF2">
        <w:t>USVOJENI TEKSTOVI</w:t>
      </w:r>
    </w:p>
    <w:p w14:paraId="1695B600" w14:textId="77777777" w:rsidR="00D058B8" w:rsidRPr="00C32BF2" w:rsidRDefault="00D058B8" w:rsidP="00D058B8">
      <w:pPr>
        <w:pStyle w:val="LineBottom"/>
      </w:pPr>
    </w:p>
    <w:p w14:paraId="0873DE71" w14:textId="57ED7804" w:rsidR="00794548" w:rsidRPr="00C32BF2" w:rsidRDefault="00794548" w:rsidP="00794548">
      <w:pPr>
        <w:pStyle w:val="ATHeading1"/>
      </w:pPr>
      <w:bookmarkStart w:id="0" w:name="TANumber"/>
      <w:r w:rsidRPr="00C32BF2">
        <w:t>P10_TA(2026)000</w:t>
      </w:r>
      <w:bookmarkEnd w:id="0"/>
      <w:r w:rsidR="003167DF">
        <w:t>7</w:t>
      </w:r>
    </w:p>
    <w:p w14:paraId="6029509E" w14:textId="77777777" w:rsidR="00794548" w:rsidRPr="00C32BF2" w:rsidRDefault="00794548" w:rsidP="00794548">
      <w:pPr>
        <w:pStyle w:val="ATHeading2"/>
      </w:pPr>
      <w:bookmarkStart w:id="1" w:name="title"/>
      <w:r w:rsidRPr="00C32BF2">
        <w:t>Ubojstvo Mehdija Kessacija – hitna potreba za ambicioznim europskim djelovanjem protiv trgovine drogom</w:t>
      </w:r>
      <w:bookmarkEnd w:id="1"/>
    </w:p>
    <w:p w14:paraId="2C06A6C0" w14:textId="77777777" w:rsidR="00794548" w:rsidRPr="00C32BF2" w:rsidRDefault="00794548" w:rsidP="00794548">
      <w:pPr>
        <w:rPr>
          <w:i/>
          <w:vanish/>
        </w:rPr>
      </w:pPr>
      <w:r w:rsidRPr="00C32BF2">
        <w:rPr>
          <w:i/>
        </w:rPr>
        <w:fldChar w:fldCharType="begin"/>
      </w:r>
      <w:r w:rsidRPr="00C32BF2">
        <w:rPr>
          <w:i/>
        </w:rPr>
        <w:instrText xml:space="preserve"> TC"(</w:instrText>
      </w:r>
      <w:bookmarkStart w:id="2" w:name="DocNumber"/>
      <w:r w:rsidRPr="00C32BF2">
        <w:rPr>
          <w:i/>
        </w:rPr>
        <w:instrText>B10-0057/2026</w:instrText>
      </w:r>
      <w:bookmarkEnd w:id="2"/>
      <w:r w:rsidRPr="00C32BF2">
        <w:rPr>
          <w:i/>
        </w:rPr>
        <w:instrText xml:space="preserve">)"\l3 \n&gt; \* MERGEFORMAT </w:instrText>
      </w:r>
      <w:r w:rsidRPr="00C32BF2">
        <w:rPr>
          <w:i/>
        </w:rPr>
        <w:fldChar w:fldCharType="end"/>
      </w:r>
    </w:p>
    <w:p w14:paraId="1637D610" w14:textId="77777777" w:rsidR="00794548" w:rsidRPr="00C32BF2" w:rsidRDefault="00794548" w:rsidP="00794548">
      <w:pPr>
        <w:rPr>
          <w:vanish/>
        </w:rPr>
      </w:pPr>
      <w:bookmarkStart w:id="3" w:name="PE"/>
      <w:r w:rsidRPr="00C32BF2">
        <w:rPr>
          <w:vanish/>
        </w:rPr>
        <w:t>PE782.012</w:t>
      </w:r>
      <w:bookmarkEnd w:id="3"/>
    </w:p>
    <w:p w14:paraId="771BF422" w14:textId="34302285" w:rsidR="00794548" w:rsidRPr="00C32BF2" w:rsidRDefault="00794548" w:rsidP="00794548">
      <w:pPr>
        <w:pStyle w:val="ATHeading3"/>
      </w:pPr>
      <w:bookmarkStart w:id="4" w:name="Sujet"/>
      <w:r w:rsidRPr="00C32BF2">
        <w:t xml:space="preserve">Rezolucija Europskog parlamenta od </w:t>
      </w:r>
      <w:r w:rsidR="00B149C1">
        <w:t>20. siječnja</w:t>
      </w:r>
      <w:r w:rsidRPr="00C32BF2">
        <w:t xml:space="preserve"> 2026. o ubojstvu Mehdija Kessacija</w:t>
      </w:r>
      <w:r w:rsidR="004608A0">
        <w:t>:</w:t>
      </w:r>
      <w:r w:rsidRPr="00C32BF2">
        <w:t xml:space="preserve"> hitna potreba za ambicioznim europskim djelovanjem protiv trgovine drogom</w:t>
      </w:r>
      <w:bookmarkEnd w:id="4"/>
      <w:r w:rsidRPr="00C32BF2">
        <w:t xml:space="preserve"> </w:t>
      </w:r>
      <w:bookmarkStart w:id="5" w:name="References"/>
      <w:r w:rsidRPr="00C32BF2">
        <w:t>(2025/3020(RSP))</w:t>
      </w:r>
      <w:bookmarkEnd w:id="5"/>
    </w:p>
    <w:p w14:paraId="4CFDDA23" w14:textId="77777777" w:rsidR="00ED61D1" w:rsidRPr="00C32BF2" w:rsidRDefault="00ED61D1" w:rsidP="00ED61D1">
      <w:pPr>
        <w:pStyle w:val="EPComma"/>
      </w:pPr>
      <w:bookmarkStart w:id="6" w:name="TextBodyBegin"/>
      <w:bookmarkEnd w:id="6"/>
      <w:r w:rsidRPr="00C32BF2">
        <w:rPr>
          <w:i/>
          <w:iCs/>
        </w:rPr>
        <w:t>Europski parlament,</w:t>
      </w:r>
    </w:p>
    <w:p w14:paraId="41A63E31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Ugovor o Europskoj uniji (UEU) i Ugovor o funkcioniranju Europske unije (UFEU), a posebno njihove odredbe o području slobode, sigurnosti i pravde,</w:t>
      </w:r>
    </w:p>
    <w:p w14:paraId="21ACB099" w14:textId="77777777" w:rsidR="00ED61D1" w:rsidRPr="00C32BF2" w:rsidRDefault="00ED61D1" w:rsidP="00ED61D1">
      <w:pPr>
        <w:pStyle w:val="NormalHanging12a"/>
        <w:rPr>
          <w:szCs w:val="24"/>
        </w:rPr>
      </w:pPr>
      <w:r w:rsidRPr="00C32BF2">
        <w:t>–</w:t>
      </w:r>
      <w:r w:rsidRPr="00C32BF2">
        <w:tab/>
        <w:t>uzimajući u obzir Povelju Europske unije o temeljnim pravima, a posebno njezine članke o ljudskom dostojanstvu, pravu na život, slobodi izražavanja, pravima žrtava i zaštiti osobnih podataka,</w:t>
      </w:r>
    </w:p>
    <w:p w14:paraId="78FFAC67" w14:textId="6AB2051B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strategije Europske unije za borbu protiv droga i najnoviju verziju te strategije, objavljenu zajedno s akcijskim planom Europske unije za borbu protiv trgovine drogom za razdoblje 2026.</w:t>
      </w:r>
      <w:r w:rsidR="004608A0">
        <w:t>-</w:t>
      </w:r>
      <w:r w:rsidRPr="00C32BF2">
        <w:t>2030.,</w:t>
      </w:r>
    </w:p>
    <w:p w14:paraId="0385EEEC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rad Horizontalne radne skupine Vijeća za droge, osnovane 1997., koja je odgovorna za koordinaciju djelovanja Europske unije u području borbe protiv droga,</w:t>
      </w:r>
    </w:p>
    <w:p w14:paraId="442B7ED1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izvješća i analize Agencije Europske unije za droge (EUDA), a posebno Europsko izvješće o drogama za 2025.,</w:t>
      </w:r>
    </w:p>
    <w:p w14:paraId="53AD02C6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pokretanje Europske koalicije protiv droga, koja okuplja više od 40 zemalja i čiji je cilj jačanje međunarodne suradnje u borbi protiv trgovine drogom,</w:t>
      </w:r>
    </w:p>
    <w:p w14:paraId="2F504085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rad Skupine Pompidou Vijeća Europe na politikama u području droga i prevencije,</w:t>
      </w:r>
    </w:p>
    <w:p w14:paraId="34C7F8F2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Konvenciju Ujedinjenih naroda protiv nezakonite trgovine opojnim drogama i psihotropnim tvarima iz 1988. i djelovanje Ureda Ujedinjenih naroda za droge i kriminal (UNODC),</w:t>
      </w:r>
    </w:p>
    <w:p w14:paraId="76A63274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Konvenciju UN-a protiv transnacionalnog organiziranog kriminala, potpisanu u Palermu 2000., i njezine protokole te Konvenciju UN-a protiv korupcije,</w:t>
      </w:r>
    </w:p>
    <w:p w14:paraId="60EA8479" w14:textId="77777777" w:rsidR="00ED61D1" w:rsidRPr="00C32BF2" w:rsidRDefault="00ED61D1" w:rsidP="00ED61D1">
      <w:pPr>
        <w:pStyle w:val="NormalHanging12a"/>
      </w:pPr>
      <w:r w:rsidRPr="00C32BF2">
        <w:lastRenderedPageBreak/>
        <w:t>–</w:t>
      </w:r>
      <w:r w:rsidRPr="00C32BF2">
        <w:tab/>
        <w:t>uzimajući u obzir različite mjere koje su europska i međunarodna tijela poduzela radi sprečavanja pranja novca i financiranja organiziranog kriminala te borbe protiv njih,</w:t>
      </w:r>
    </w:p>
    <w:p w14:paraId="1FE90B5F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Direktivu 2012/29/EU Europskog parlamenta i Vijeća od 25. listopada 2012. o uspostavi minimalnih standarda za prava, potporu i zaštitu žrtava kaznenih djela</w:t>
      </w:r>
      <w:r w:rsidRPr="00C32BF2">
        <w:rPr>
          <w:rStyle w:val="FootnoteReference"/>
          <w:rFonts w:eastAsia="Arial"/>
        </w:rPr>
        <w:footnoteReference w:id="1"/>
      </w:r>
      <w:r w:rsidRPr="00C32BF2">
        <w:t>,</w:t>
      </w:r>
    </w:p>
    <w:p w14:paraId="4A660730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Međunarodnu konvenciju o pravima djeteta, koju je Opća skupština UN-a usvojila 20. studenoga 1989.,</w:t>
      </w:r>
    </w:p>
    <w:p w14:paraId="472EA7CF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Rezoluciju Europskog parlamenta od 11. lipnja 2013. o organiziranom kriminalu, korupciji i pranju novca</w:t>
      </w:r>
      <w:r w:rsidRPr="00C32BF2">
        <w:rPr>
          <w:rStyle w:val="FootnoteReference"/>
          <w:rFonts w:eastAsia="Arial"/>
        </w:rPr>
        <w:footnoteReference w:id="2"/>
      </w:r>
      <w:r w:rsidRPr="00C32BF2">
        <w:t>,</w:t>
      </w:r>
    </w:p>
    <w:p w14:paraId="63E89533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predanost europskih tijela borbi protiv trgovine drogom, posebno EUDA-e, Europola i Eurojusta,</w:t>
      </w:r>
    </w:p>
    <w:p w14:paraId="6CB0C008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zakonodavni paket Europske unije za sprečavanje pranja novca i borbu protiv financiranja terorizma iz 2024., uključujući u prvom redu Uredbu (EU) 2024/1624</w:t>
      </w:r>
      <w:r w:rsidRPr="00C32BF2">
        <w:rPr>
          <w:rStyle w:val="FootnoteReference"/>
          <w:rFonts w:eastAsia="Arial"/>
        </w:rPr>
        <w:footnoteReference w:id="3"/>
      </w:r>
      <w:r w:rsidRPr="00C32BF2">
        <w:t>, Direktivu (EU) 2024/1640</w:t>
      </w:r>
      <w:r w:rsidRPr="00C32BF2">
        <w:rPr>
          <w:rStyle w:val="FootnoteReference"/>
          <w:rFonts w:eastAsia="Arial"/>
        </w:rPr>
        <w:footnoteReference w:id="4"/>
      </w:r>
      <w:r w:rsidRPr="00C32BF2">
        <w:t xml:space="preserve"> i osnivanje Tijela za sprečavanje pranja novca (AMLA),</w:t>
      </w:r>
    </w:p>
    <w:p w14:paraId="53C3F26F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Direktivu (EU) 2024/1712 Europskog parlamenta i Vijeća od 13. lipnja 2024. o izmjeni Direktive 2011/36/EU o sprečavanju i suzbijanju trgovanja ljudima i zaštiti njegovih žrtava</w:t>
      </w:r>
      <w:r w:rsidRPr="00C32BF2">
        <w:rPr>
          <w:rStyle w:val="FootnoteReference"/>
          <w:rFonts w:eastAsia="Arial"/>
        </w:rPr>
        <w:footnoteReference w:id="5"/>
      </w:r>
      <w:r w:rsidRPr="00C32BF2">
        <w:t>,</w:t>
      </w:r>
    </w:p>
    <w:p w14:paraId="1F386C29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rad Foruma civilnog društva o drogama i njegova ogranka mladih,</w:t>
      </w:r>
    </w:p>
    <w:p w14:paraId="529A2095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osobito kritičnu situaciju u najudaljenijim regijama,</w:t>
      </w:r>
    </w:p>
    <w:p w14:paraId="7DE0DD1A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 xml:space="preserve">uzimajući u obzir knjigu koju je objavio aktivist u području borbe protiv droge Amine Kessaci naslovljenu </w:t>
      </w:r>
      <w:r w:rsidRPr="00C32BF2">
        <w:rPr>
          <w:i/>
          <w:iCs/>
        </w:rPr>
        <w:t>Marseille, essuie tes larmes</w:t>
      </w:r>
      <w:r w:rsidRPr="00C32BF2">
        <w:t xml:space="preserve"> (Marseille, obriši suze) i njegove pozive na borbu protiv trgovine drogom i građansku reakciju,</w:t>
      </w:r>
    </w:p>
    <w:p w14:paraId="368F1AA5" w14:textId="77777777" w:rsidR="00ED61D1" w:rsidRPr="00C32BF2" w:rsidRDefault="00ED61D1" w:rsidP="00ED61D1">
      <w:pPr>
        <w:pStyle w:val="NormalHanging12a"/>
      </w:pPr>
      <w:r w:rsidRPr="00C32BF2">
        <w:t>–</w:t>
      </w:r>
      <w:r w:rsidRPr="00C32BF2">
        <w:tab/>
        <w:t>uzimajući u obzir članak 136. stavak 2. Poslovnika,</w:t>
      </w:r>
    </w:p>
    <w:p w14:paraId="2AFDEA82" w14:textId="77777777" w:rsidR="00ED61D1" w:rsidRPr="00C32BF2" w:rsidRDefault="00ED61D1" w:rsidP="00ED61D1">
      <w:pPr>
        <w:pStyle w:val="NormalHanging12a"/>
      </w:pPr>
      <w:r w:rsidRPr="00C32BF2">
        <w:t>A.</w:t>
      </w:r>
      <w:r w:rsidRPr="00C32BF2">
        <w:tab/>
        <w:t xml:space="preserve">budući da je dvadesetogodišnji Mehdi Kessaci, francuski državljanin, policiji nepoznat osim po tome što se prijavio za mjesto policijskog službenika, ubijen 13. studenog 2025. u Marseilleu, usred bijela dana i nasred ulice, u kontekstu nasilja povezanog s trgovinom drogom, što upućuje na sve veću brutalnost kriminalnih mreža te na izravne posljedice takvog nasilja na obitelji i lokalne zajednice; </w:t>
      </w:r>
    </w:p>
    <w:p w14:paraId="6A1A4A67" w14:textId="77777777" w:rsidR="00ED61D1" w:rsidRPr="00C32BF2" w:rsidRDefault="00ED61D1" w:rsidP="00ED61D1">
      <w:pPr>
        <w:pStyle w:val="NormalHanging12a"/>
      </w:pPr>
      <w:r w:rsidRPr="00C32BF2">
        <w:t>B.</w:t>
      </w:r>
      <w:r w:rsidRPr="00C32BF2">
        <w:tab/>
        <w:t xml:space="preserve">budući da je Mehdi Kessaci bio brat Amina Kessacija, aktivista u području borbe protiv trgovine drogom, autora i ličnosti poznate po svojim naporima u mobilizaciji građana protiv organiziranog kriminala; budući da je njegovo ubojstvo sigurno bila posljedica navedene obiteljske veze; budući da to ubojstvo predstavlja izravan napad na slobodu izražavanja i da se sumnja da je dio metode zastrašivanja koja podsjeća na prakse organiziranih mafijaških mreža; budući da je taj zločin doveo do građanske reakcije na </w:t>
      </w:r>
      <w:r w:rsidRPr="00C32BF2">
        <w:lastRenderedPageBreak/>
        <w:t>nacionalnoj razini i da se diljem zemlje okupilo 10 000 ljudi kako bi poduprli Amina Kessacija i njegovu obitelj te stali u zaštitu demokracije, slobode izražavanja i vladavine prava;</w:t>
      </w:r>
    </w:p>
    <w:p w14:paraId="0DA52EB5" w14:textId="009B92CF" w:rsidR="00ED61D1" w:rsidRPr="00C32BF2" w:rsidRDefault="00ED61D1" w:rsidP="00ED61D1">
      <w:pPr>
        <w:pStyle w:val="NormalHanging12a"/>
      </w:pPr>
      <w:r w:rsidRPr="00C32BF2">
        <w:t>C.</w:t>
      </w:r>
      <w:r w:rsidRPr="00C32BF2">
        <w:tab/>
        <w:t xml:space="preserve">budući da je to ubojstvo dio niza slučajeva nasilja povezanih s drogama u Marseilleu, u kojima su 2024. usmrćene 24 osobe, a 2023. njih </w:t>
      </w:r>
      <w:r w:rsidR="0022424C">
        <w:t>4</w:t>
      </w:r>
      <w:r w:rsidRPr="00C32BF2">
        <w:t>9, i pri kojima udio stradalih maloljetnika i nedužnih osoba raste; budući da ta pošast pogađa brojne europske gradove i ugrožava socijalnu koheziju, zdravlje i sigurnost građana te vladavinu prava; budući da je stanje u najudaljenijim regijama osobito kritično, s gotovo 90 ubojstava povezanih s drogom zabilježenih samo na Guadeloupeu i Martiniqueu 2025.;</w:t>
      </w:r>
    </w:p>
    <w:p w14:paraId="14FD8EB4" w14:textId="5A7BA5D5" w:rsidR="00ED61D1" w:rsidRPr="00C32BF2" w:rsidRDefault="00B149C1" w:rsidP="00ED61D1">
      <w:pPr>
        <w:pStyle w:val="NormalHanging12a"/>
      </w:pPr>
      <w:r>
        <w:t>D</w:t>
      </w:r>
      <w:r w:rsidR="00ED61D1" w:rsidRPr="00C32BF2">
        <w:t>.</w:t>
      </w:r>
      <w:r w:rsidR="00ED61D1" w:rsidRPr="00C32BF2">
        <w:tab/>
        <w:t>budući da je trgovina drogom jedna od najtežih prijetnji unutarnjoj sigurnosti Europske unije jer potiče organizirani kriminal, nasilje i korupciju te s obzirom na to da je, prema podacima Europola, gotovo 50 % najopasnijih europskih kriminalnih mreža uključeno u trgovinu drogom, a da se više od trećine njih isključivo bavi tom vrstom trgovine;</w:t>
      </w:r>
    </w:p>
    <w:p w14:paraId="5B6C59EA" w14:textId="7A1D7632" w:rsidR="009C7636" w:rsidRPr="009C7636" w:rsidRDefault="00B149C1" w:rsidP="00ED61D1">
      <w:pPr>
        <w:pStyle w:val="NormalHanging12a"/>
        <w:rPr>
          <w:bCs/>
          <w:iCs/>
        </w:rPr>
      </w:pPr>
      <w:r>
        <w:t>E</w:t>
      </w:r>
      <w:r w:rsidR="00ED61D1" w:rsidRPr="00C32BF2">
        <w:t>.</w:t>
      </w:r>
      <w:r w:rsidR="00ED61D1" w:rsidRPr="00C32BF2">
        <w:tab/>
        <w:t>budući da se nasilje povezano s trgovinom drogama u Europi posljednjih godina intenziviralo, pri čemu zločinačka udruženja sve češće upotrebljavaju vatreno oružje, i s obzirom na to da je u prosjeku 28 % zapljena vatrenog oružja u Europi povezano s trgovinom drogom, što je dokaz izravne veze između trgovine drogom i ozbiljnih prijetnji javnoj sigurnosti;</w:t>
      </w:r>
    </w:p>
    <w:p w14:paraId="7B4F0D37" w14:textId="65BF5DDF" w:rsidR="00ED61D1" w:rsidRPr="00C32BF2" w:rsidRDefault="00B149C1" w:rsidP="00ED61D1">
      <w:pPr>
        <w:pStyle w:val="NormalHanging12a"/>
      </w:pPr>
      <w:r>
        <w:t>F</w:t>
      </w:r>
      <w:r w:rsidR="00ED61D1" w:rsidRPr="00C32BF2">
        <w:t>.</w:t>
      </w:r>
      <w:r w:rsidR="00ED61D1" w:rsidRPr="00C32BF2">
        <w:tab/>
        <w:t>budući da su proizvodnja i konzumacija droga te trgovina drogama u Europskoj uniji u naglom porastu te da su dosegle dosad nezabilježene razine; budući da su prema podacima EUDA-e 2023. u Uniji zaplijenjene 752 tone kanabisa i 419 tona kokaina, a da je 2,7 milijuna mladih odraslih osoba, u dobi od 15 do 34 godine, izjavilo je da je u protekloj godini konzumiralo te droge; budući da se svake godine u Uniji uništi gotovo 500 laboratorija za sintetičke droge, a da je broj smrtnih slučajeva povezanih s drogama 2023. dosegnuo gotovo 7500 osoba; budući da su ti trendovi odraz sve raširenije pojave, koja utječe na sva područja, generacije i društvene skupine;</w:t>
      </w:r>
    </w:p>
    <w:p w14:paraId="4224C962" w14:textId="77777777" w:rsidR="003167DF" w:rsidRDefault="00B149C1" w:rsidP="00ED61D1">
      <w:pPr>
        <w:pStyle w:val="NormalHanging12a"/>
      </w:pPr>
      <w:r>
        <w:t>G</w:t>
      </w:r>
      <w:r w:rsidR="00ED61D1" w:rsidRPr="00C32BF2">
        <w:t>.</w:t>
      </w:r>
      <w:r w:rsidR="00ED61D1" w:rsidRPr="00C32BF2">
        <w:tab/>
        <w:t>budući da su europske luke važne strateške točke ulaza nezakonitih droga, pri čemu se oko 70 % carinskih zapljena droge odvija unutar lučkih infrastruktura; budući da kriminalne mreže iskorištavaju ranjivosti tih platformi u području logistike i osoblja;</w:t>
      </w:r>
    </w:p>
    <w:p w14:paraId="76457EE0" w14:textId="2AF989B6" w:rsidR="00ED61D1" w:rsidRPr="00C32BF2" w:rsidRDefault="00B149C1" w:rsidP="00ED61D1">
      <w:pPr>
        <w:pStyle w:val="NormalHanging12a"/>
      </w:pPr>
      <w:r>
        <w:t>H</w:t>
      </w:r>
      <w:r w:rsidR="00ED61D1" w:rsidRPr="00C32BF2">
        <w:t>.</w:t>
      </w:r>
      <w:r w:rsidR="00ED61D1" w:rsidRPr="00C32BF2">
        <w:tab/>
        <w:t>budući da su zaposleni u sektoru ribarstva i u lukama, kao npr. ribari i lučki radnici, mete mreža za trgovinu drogom, koje iskorištavaju prirodu njihova posla za unos droga u Europsku uniju;</w:t>
      </w:r>
    </w:p>
    <w:p w14:paraId="632148AA" w14:textId="59D712D0" w:rsidR="00ED61D1" w:rsidRDefault="00B149C1" w:rsidP="00ED61D1">
      <w:pPr>
        <w:pStyle w:val="NormalHanging12a"/>
      </w:pPr>
      <w:r>
        <w:t>I</w:t>
      </w:r>
      <w:r w:rsidR="00ED61D1" w:rsidRPr="00C32BF2">
        <w:t>.</w:t>
      </w:r>
      <w:r w:rsidR="00ED61D1" w:rsidRPr="00C32BF2">
        <w:tab/>
        <w:t>budući da veliko povećanje u konzumaciji droga izravno utječe na trgovinu drogom jer stvara golemu dobit za trgovce drogom, koji tako stječu financijsku moć, koja bi mogla ugroziti demokraciju; budući da je Francuska nacionalna komisija za račune kampanja i političko financiranje upozorila na utjecaj mreža za trgovinu drogom na predstojeće lokalne izbore;</w:t>
      </w:r>
    </w:p>
    <w:p w14:paraId="0EED942D" w14:textId="52FD8A1B" w:rsidR="00ED61D1" w:rsidRDefault="00B149C1" w:rsidP="00ED61D1">
      <w:pPr>
        <w:pStyle w:val="NormalHanging12a"/>
      </w:pPr>
      <w:r>
        <w:t>J</w:t>
      </w:r>
      <w:r w:rsidR="00ED61D1" w:rsidRPr="00C32BF2">
        <w:t>.</w:t>
      </w:r>
      <w:r w:rsidR="00ED61D1" w:rsidRPr="00C32BF2">
        <w:tab/>
        <w:t>budući da je trgovina drogom jedna od najunosnijih aktivnosti organiziranog kriminala jer čini otprilike petinu prihoda od kriminala u svijetu; budući da se Europska unija suočava s dosad nezabilježenim povećanjem dostupnosti nezakonitih droga, u prvom redu kokaina iz Južne Amerike;</w:t>
      </w:r>
    </w:p>
    <w:p w14:paraId="0D73E283" w14:textId="1A997115" w:rsidR="004608A0" w:rsidRPr="00C32BF2" w:rsidRDefault="004608A0" w:rsidP="00ED61D1">
      <w:pPr>
        <w:pStyle w:val="NormalHanging12a"/>
      </w:pPr>
      <w:r>
        <w:rPr>
          <w:bCs/>
          <w:iCs/>
        </w:rPr>
        <w:t>K</w:t>
      </w:r>
      <w:r w:rsidRPr="004608A0">
        <w:rPr>
          <w:bCs/>
          <w:iCs/>
        </w:rPr>
        <w:t>.</w:t>
      </w:r>
      <w:r w:rsidRPr="004608A0">
        <w:rPr>
          <w:bCs/>
          <w:iCs/>
        </w:rPr>
        <w:tab/>
        <w:t xml:space="preserve">budući da mreže za trgovinu drogom mogu težiti vršenju pritiska ili prekomjernog utjecaja na demokratski izabrane predstavnike lokalne vlasti i birače, osobito na </w:t>
      </w:r>
      <w:r w:rsidRPr="004608A0">
        <w:rPr>
          <w:bCs/>
          <w:iCs/>
        </w:rPr>
        <w:lastRenderedPageBreak/>
        <w:t>općinskoj razini, čime se podriva integritet demokratskih procesa;</w:t>
      </w:r>
    </w:p>
    <w:p w14:paraId="4B5A43D6" w14:textId="05EE42F1" w:rsidR="00ED61D1" w:rsidRPr="00C32BF2" w:rsidRDefault="003167DF" w:rsidP="00ED61D1">
      <w:pPr>
        <w:pStyle w:val="NormalHanging12a"/>
      </w:pPr>
      <w:r>
        <w:t>L</w:t>
      </w:r>
      <w:r w:rsidR="00ED61D1" w:rsidRPr="00C32BF2">
        <w:t>.</w:t>
      </w:r>
      <w:r w:rsidR="00ED61D1" w:rsidRPr="00C32BF2">
        <w:tab/>
        <w:t>budući da financijska moć koju stječu trgovci drogom ugrožava demokraciju u vidu aktivnosti kao što su pranje novca, korupcija, infiltracija u zakonito gospodarstvo i kapacitet koji ona omogućuje kriminalnim mrežama za stjecanje i širenje njihove teritorijalne kontrole, među ostalim unutar Europske unije;</w:t>
      </w:r>
    </w:p>
    <w:p w14:paraId="60E93923" w14:textId="208ABCA4" w:rsidR="00ED61D1" w:rsidRDefault="003167DF" w:rsidP="00ED61D1">
      <w:pPr>
        <w:pStyle w:val="NormalHanging12a"/>
      </w:pPr>
      <w:r>
        <w:t>M</w:t>
      </w:r>
      <w:r w:rsidR="00ED61D1" w:rsidRPr="00C32BF2">
        <w:t>.</w:t>
      </w:r>
      <w:r w:rsidR="00ED61D1" w:rsidRPr="00C32BF2">
        <w:tab/>
        <w:t>budući da je borba protiv pranja novca, poreznih oaza i infiltracije zločinačkih udruženja u zakonito gospodarstvo stoga glavna poluga za trajno slabljenje mreža trgovine drogom;</w:t>
      </w:r>
    </w:p>
    <w:p w14:paraId="5CD49C38" w14:textId="324BBE0E" w:rsidR="003167DF" w:rsidRPr="00C32BF2" w:rsidRDefault="003167DF" w:rsidP="00ED61D1">
      <w:pPr>
        <w:pStyle w:val="NormalHanging12a"/>
      </w:pPr>
      <w:r>
        <w:rPr>
          <w:bCs/>
          <w:iCs/>
        </w:rPr>
        <w:t>N</w:t>
      </w:r>
      <w:r w:rsidRPr="003167DF">
        <w:rPr>
          <w:bCs/>
          <w:iCs/>
        </w:rPr>
        <w:t>.</w:t>
      </w:r>
      <w:r w:rsidRPr="003167DF">
        <w:rPr>
          <w:bCs/>
          <w:iCs/>
        </w:rPr>
        <w:tab/>
        <w:t>budući da se u Europskom štitu za zaštitu demokracije organizirani kriminal i korupcija ističu kao izravna prijetnja vladavini prava i našim demokratskim institucijama;</w:t>
      </w:r>
    </w:p>
    <w:p w14:paraId="6E41F018" w14:textId="0573B60D" w:rsidR="00ED61D1" w:rsidRPr="00C32BF2" w:rsidRDefault="00515393" w:rsidP="00ED61D1">
      <w:pPr>
        <w:pStyle w:val="NormalHanging12a"/>
      </w:pPr>
      <w:r>
        <w:t>O</w:t>
      </w:r>
      <w:r w:rsidR="00ED61D1" w:rsidRPr="00C32BF2">
        <w:t>.</w:t>
      </w:r>
      <w:r w:rsidR="00ED61D1" w:rsidRPr="00C32BF2">
        <w:tab/>
        <w:t>budući da se digitalni alati i društvene mreže sve više upotrebljavaju za regrutiranje te koordinaciju i počinjenje nasilnih djela, posebno onih usmjerenih na maloljetnike, što zahtijeva koordinirani europski odgovor kojim se u obzir uzimaju temeljna prava;</w:t>
      </w:r>
    </w:p>
    <w:p w14:paraId="72A4B6A3" w14:textId="431BB55D" w:rsidR="00ED61D1" w:rsidRPr="00C32BF2" w:rsidRDefault="00515393" w:rsidP="00ED61D1">
      <w:pPr>
        <w:pStyle w:val="NormalHanging12a"/>
      </w:pPr>
      <w:r>
        <w:t>P</w:t>
      </w:r>
      <w:r w:rsidR="00ED61D1" w:rsidRPr="00C32BF2">
        <w:t>.</w:t>
      </w:r>
      <w:r w:rsidR="00ED61D1" w:rsidRPr="00C32BF2">
        <w:tab/>
        <w:t>budući da se zločinačka udruženja i njihove prakse razvijaju, u prvom redu na temelju digitalizacije svojih strategija; budući da stoga postoji potreba za razvojem istražnih, pravosudnih i društvenih struktura u odgovoru Europske unije na tu pošast;</w:t>
      </w:r>
    </w:p>
    <w:p w14:paraId="33FF770A" w14:textId="190983CF" w:rsidR="00ED61D1" w:rsidRPr="00C32BF2" w:rsidRDefault="00515393" w:rsidP="00ED61D1">
      <w:pPr>
        <w:pStyle w:val="NormalHanging12a"/>
      </w:pPr>
      <w:r>
        <w:t>Q</w:t>
      </w:r>
      <w:r w:rsidR="00ED61D1" w:rsidRPr="00C32BF2">
        <w:t>.</w:t>
      </w:r>
      <w:r w:rsidR="00ED61D1" w:rsidRPr="00C32BF2">
        <w:tab/>
        <w:t>budući da su nove psihoaktivne tvari u Europi sve prisutnije, uključujući sintetičke kanabinoide, katinone i moćne sintetičke opioide, koji se često proizvode ili distribuiraju unutar Unije i djelomično ostaju izvan područja međunarodnih i nacionalnih kontrola; budući da njihova velika potentnost i male količine koje su potrebne, u kombinaciji s mogućnošću da se neznatno izmijeni njihova kemijska struktura kako bi se zaobišli pravni propisi, stvaraju brzorastuće i vrlo profitabilno tržište za trgovce drogama te istodobno predstavljaju velik rizik za javno zdravlje i sigurnost; budući da je važno raspolagati snažnim sustavima ranog upozoravanja, poboljšanom sposobnosti otkrivanja i koordiniranim odgovorima na razini Unije radi otklanjanja sve snažnije prijetnje koju predstavljaju nove psihoaktivne tvari;</w:t>
      </w:r>
    </w:p>
    <w:p w14:paraId="6A867CCB" w14:textId="1D125991" w:rsidR="00ED61D1" w:rsidRPr="00C32BF2" w:rsidRDefault="00515393" w:rsidP="00ED61D1">
      <w:pPr>
        <w:pStyle w:val="NormalHanging12a"/>
      </w:pPr>
      <w:r>
        <w:t>R</w:t>
      </w:r>
      <w:r w:rsidR="00ED61D1" w:rsidRPr="00C32BF2">
        <w:t>.</w:t>
      </w:r>
      <w:r w:rsidR="00ED61D1" w:rsidRPr="00C32BF2">
        <w:tab/>
        <w:t>budući da se razvoj i trajna implantacija mreža za trgovinu drogom često odvijaju u kontekstima obilježenima trajnim društvenim i teritorijalnim nejednakostima te nedostatnim pristupom zapošljavanju, javnim uslugama i obrazovnim mogućnostima kao i osjećajem zapostavljenosti od strane institucija, naročito u određenim gradskim četvrtima u nepovoljnom položaju; budući da te ranjivosti predstavljaju plodno tlo za kriminalno gospodarstvo i strukturne čimbenike koje mreže za trgovinu drogom iskorištavaju za regrutiranje ranjive, često mlade radne snage;</w:t>
      </w:r>
    </w:p>
    <w:p w14:paraId="446E607F" w14:textId="6402E072" w:rsidR="00ED61D1" w:rsidRPr="00C32BF2" w:rsidRDefault="00515393" w:rsidP="00ED61D1">
      <w:pPr>
        <w:pStyle w:val="NormalHanging12a"/>
      </w:pPr>
      <w:r>
        <w:t>S</w:t>
      </w:r>
      <w:r w:rsidR="00ED61D1" w:rsidRPr="00C32BF2">
        <w:t>.</w:t>
      </w:r>
      <w:r w:rsidR="00ED61D1" w:rsidRPr="00C32BF2">
        <w:tab/>
        <w:t>budući da je kohezijska politika Unije svojim financijskim instrumentima u prošlosti doprinosila smanjenju teritorijalnih nejednakosti, jačanju socijalne kohezije i podupiranju strukturnih ulaganja u urbanim područjima s poteškoćama; budući da će smjernice koje je Europska komisija predvidjela za višegodišnji financijski okvir za razdoblje od 2028. do 2034., kao i provedba novog programa Europske unije za gradove, imati ključan utjecaj na sposobnost Unije da na trajan način spriječi ukorjenjivanje nezakonite trgovine u tim područjima;</w:t>
      </w:r>
    </w:p>
    <w:p w14:paraId="5978BF6D" w14:textId="5D696E46" w:rsidR="00ED61D1" w:rsidRPr="00C32BF2" w:rsidRDefault="00515393" w:rsidP="00ED61D1">
      <w:pPr>
        <w:pStyle w:val="NormalHanging12a"/>
      </w:pPr>
      <w:r>
        <w:t>T</w:t>
      </w:r>
      <w:r w:rsidR="00ED61D1" w:rsidRPr="00C32BF2">
        <w:t>.</w:t>
      </w:r>
      <w:r w:rsidR="00ED61D1" w:rsidRPr="00C32BF2">
        <w:tab/>
        <w:t xml:space="preserve">budući da korupcija kriminalnim mrežama često olakšava stjecanje novca i da to, zauzvrat, korupciju može dodatno povećati te da im financijska moć omogućava ne samo pružanje usluga lokalnim stanovnicima već i sijanje straha u sve većem broju </w:t>
      </w:r>
      <w:r w:rsidR="00ED61D1" w:rsidRPr="00C32BF2">
        <w:lastRenderedPageBreak/>
        <w:t>područja, što dovodi do neke vrste umrtvljenosti lokalnih zajednica, koje postaju sve manje otporne na pošast trgovine drogom; budući da je ubojstvo Mehdija Kessacija plod tih strategija zastrašivanja; budući da su upozorenja o utjecaju trgovine drogom na izbore snažan indikator prijetnje koju ta trgovina predstavlja za temeljna prava, demokraciju i vladavinu prava;</w:t>
      </w:r>
    </w:p>
    <w:p w14:paraId="0854A9E5" w14:textId="30B84CBF" w:rsidR="00ED61D1" w:rsidRPr="00C32BF2" w:rsidRDefault="00515393" w:rsidP="00ED61D1">
      <w:pPr>
        <w:pStyle w:val="NormalHanging12a"/>
      </w:pPr>
      <w:r>
        <w:t>U</w:t>
      </w:r>
      <w:r w:rsidR="00ED61D1" w:rsidRPr="00C32BF2">
        <w:t>.</w:t>
      </w:r>
      <w:r w:rsidR="00ED61D1" w:rsidRPr="00C32BF2">
        <w:tab/>
        <w:t>budući da obitelji žrtava, a osobito majke i rodbina osoba koje su kriminalne mreže ubile ili regrutirale, često imaju ključnu ulogu u sprečavanju, podizanju razine osviještenosti i potpori kada je riječ o mladima kojima prijeti rizik od trgovine drogom; budući da, međutim, obitelji žrtava trgovine drogom nisu uključene u razvoj europskih i nacionalnih politika za borbu protiv droga ni u Forum civilnog društva o drogama;</w:t>
      </w:r>
    </w:p>
    <w:p w14:paraId="33065BE2" w14:textId="296502A5" w:rsidR="00ED61D1" w:rsidRPr="00C32BF2" w:rsidRDefault="00515393" w:rsidP="00ED61D1">
      <w:pPr>
        <w:pStyle w:val="NormalHanging12a"/>
      </w:pPr>
      <w:r>
        <w:t>V</w:t>
      </w:r>
      <w:r w:rsidR="00ED61D1" w:rsidRPr="00C32BF2">
        <w:t>.</w:t>
      </w:r>
      <w:r w:rsidR="00ED61D1" w:rsidRPr="00C32BF2">
        <w:tab/>
        <w:t>budući da je u prethodnim strategijama u fokus stavljen na potrebu za boljom ravnotežom represivnih odgovora i politika prevencije, smanjenja rizika i socijalne pravde;</w:t>
      </w:r>
    </w:p>
    <w:p w14:paraId="15FFAE97" w14:textId="232343D1" w:rsidR="00ED61D1" w:rsidRPr="00C32BF2" w:rsidRDefault="00515393" w:rsidP="00ED61D1">
      <w:pPr>
        <w:pStyle w:val="NormalHanging12a"/>
      </w:pPr>
      <w:r>
        <w:t>W</w:t>
      </w:r>
      <w:r w:rsidR="00ED61D1" w:rsidRPr="00C32BF2">
        <w:t>.</w:t>
      </w:r>
      <w:r w:rsidR="00ED61D1" w:rsidRPr="00C32BF2">
        <w:tab/>
        <w:t>budući da strategija Europske unije za suzbijanje droga počiva na ključnim stupovima koji kombiniraju javno zdravlje, prevenciju, pravosudnu i policijsku suradnju kao i suradnju s trećim zemljama te da bi bilo korisno da se ona dopuni komponentom posvećenom socijalnoj otpornosti područja i zajednica angažiranih u borbi protiv trgovine drogom;</w:t>
      </w:r>
    </w:p>
    <w:p w14:paraId="0CD9A742" w14:textId="1AED7488" w:rsidR="00ED61D1" w:rsidRPr="00C32BF2" w:rsidRDefault="00515393" w:rsidP="00ED61D1">
      <w:pPr>
        <w:pStyle w:val="NormalHanging12a"/>
      </w:pPr>
      <w:r>
        <w:t>X</w:t>
      </w:r>
      <w:r w:rsidR="00ED61D1" w:rsidRPr="00C32BF2">
        <w:t>.</w:t>
      </w:r>
      <w:r w:rsidR="00ED61D1" w:rsidRPr="00C32BF2">
        <w:tab/>
        <w:t>budući da je sve raširenija trgovina drogom europski fenomen koji zahtijeva ujedinjen i odlučan odgovor; budući da europske tijela moraju pokazati svoju sposobnost mobilizacije kako više ne bi dolazilo do gubitaka života;</w:t>
      </w:r>
    </w:p>
    <w:p w14:paraId="14F23EA2" w14:textId="77777777" w:rsidR="00ED61D1" w:rsidRPr="00C32BF2" w:rsidRDefault="00ED61D1" w:rsidP="00ED61D1">
      <w:pPr>
        <w:pStyle w:val="NormalHanging12a"/>
      </w:pPr>
      <w:r w:rsidRPr="00C32BF2">
        <w:t>1.</w:t>
      </w:r>
      <w:r w:rsidRPr="00C32BF2">
        <w:tab/>
        <w:t>najoštrije osuđuje ubojstvo Mehdija Kessacija; duboko suosjeća s njegovim roditeljima, obitelji i rodbinom te im izražava iskrenu sućut, a na taj način ujedno i svim izravnim i neizravnim žrtvama trgovine drogom u Europi i svijetu;</w:t>
      </w:r>
    </w:p>
    <w:p w14:paraId="2C599469" w14:textId="77777777" w:rsidR="00ED61D1" w:rsidRPr="00C32BF2" w:rsidRDefault="00ED61D1" w:rsidP="00ED61D1">
      <w:pPr>
        <w:pStyle w:val="NormalHanging12a"/>
      </w:pPr>
      <w:r w:rsidRPr="00C32BF2">
        <w:t>2.</w:t>
      </w:r>
      <w:r w:rsidRPr="00C32BF2">
        <w:tab/>
        <w:t>odaje počast angažmanu Amina Kessacija, udruzi Conscience i svim aktivisticama i aktivistima koji, često uz rizik za vlastitu sigurnost, rade na suzbijanju trgovine drogom; odaje počast Aminu Kessaciju, koji se unatoč prijetnjama i dalje suprotstavlja trgovcima drogom; uviđa da je ubojstvo Mehdija Kessica direktan napad na slobodu izražavanja i stvaranja te na vladavinu prava;</w:t>
      </w:r>
    </w:p>
    <w:p w14:paraId="039F4588" w14:textId="77777777" w:rsidR="00ED61D1" w:rsidRPr="00C32BF2" w:rsidRDefault="00ED61D1" w:rsidP="00ED61D1">
      <w:pPr>
        <w:pStyle w:val="NormalHanging12a"/>
      </w:pPr>
      <w:r w:rsidRPr="00C32BF2">
        <w:t>3.</w:t>
      </w:r>
      <w:r w:rsidRPr="00C32BF2">
        <w:tab/>
        <w:t>podsjeća na to da aktivnosti lokalnih udruženja doprinose zaštiti mladih, socijalnoj koheziji i demokratskoj vitalnosti te da su često slabo prepoznate, poduprte ili zaštićene;</w:t>
      </w:r>
    </w:p>
    <w:p w14:paraId="103B2D87" w14:textId="77777777" w:rsidR="00ED61D1" w:rsidRPr="00C32BF2" w:rsidRDefault="00ED61D1" w:rsidP="00ED61D1">
      <w:pPr>
        <w:pStyle w:val="NormalHanging12a"/>
      </w:pPr>
      <w:r w:rsidRPr="00C32BF2">
        <w:t>4.</w:t>
      </w:r>
      <w:r w:rsidRPr="00C32BF2">
        <w:tab/>
        <w:t>ističe da je borba protiv trgovine drogom i organiziranog kriminala velik izazov za Europsku uniju u cjelini, i u pogledu sigurnosti i javnog zdravlja, socijalne pravde i poštovanja vladavine prava;</w:t>
      </w:r>
    </w:p>
    <w:p w14:paraId="494E5395" w14:textId="77777777" w:rsidR="00ED61D1" w:rsidRDefault="00ED61D1" w:rsidP="00ED61D1">
      <w:pPr>
        <w:pStyle w:val="NormalHanging12a"/>
      </w:pPr>
      <w:r w:rsidRPr="00C32BF2">
        <w:t>5.</w:t>
      </w:r>
      <w:r w:rsidRPr="00C32BF2">
        <w:tab/>
        <w:t>pozdravlja donošenje nove strategije Europske unije za suzbijanje droga i njezina akcijskog plana te ponovno izražava potporu uravnoteženom pristupu koji se temelji na smanjenju potražnje, pravosudnoj i policijskoj suradnji, suradnji s trećim zemljama i prevenciji, među ostalim na internetu; podsjeća na to da prethodni planovi nisu bili dostatni za suzbijanje pošasti trgovine drogom, ali da svi snose odgovornost za suočavanje s tim izazovom;</w:t>
      </w:r>
    </w:p>
    <w:p w14:paraId="29C41DE4" w14:textId="4324FCD5" w:rsidR="002D41AD" w:rsidRPr="00C32BF2" w:rsidRDefault="00EA77AD" w:rsidP="00ED61D1">
      <w:pPr>
        <w:pStyle w:val="NormalHanging12a"/>
      </w:pPr>
      <w:r>
        <w:t>6</w:t>
      </w:r>
      <w:r w:rsidR="002D41AD" w:rsidRPr="002D41AD">
        <w:t>.</w:t>
      </w:r>
      <w:r w:rsidR="002D41AD" w:rsidRPr="002D41AD">
        <w:tab/>
        <w:t xml:space="preserve">podsjeća na to da se u novoj strategiji za borbu protiv droga države članice pozivaju da donesu politike nulte tolerancije na vožnju pod utjecajem droga, u skladu s Direktivom </w:t>
      </w:r>
      <w:r w:rsidR="002D41AD" w:rsidRPr="002D41AD">
        <w:lastRenderedPageBreak/>
        <w:t>2006/126/EZ</w:t>
      </w:r>
      <w:r w:rsidR="003167DF">
        <w:rPr>
          <w:rStyle w:val="FootnoteReference"/>
        </w:rPr>
        <w:footnoteReference w:id="6"/>
      </w:r>
      <w:r w:rsidR="002D41AD" w:rsidRPr="002D41AD">
        <w:t xml:space="preserve"> o vozačkim dozvolama, te da u punoj mjeri upotrebljavaju dostupne prekogranične alate kojima se jamči poštovanja tih pravila;</w:t>
      </w:r>
    </w:p>
    <w:p w14:paraId="5CE9562A" w14:textId="229C4373" w:rsidR="00ED61D1" w:rsidRPr="00C32BF2" w:rsidRDefault="00EA77AD" w:rsidP="00ED61D1">
      <w:pPr>
        <w:pStyle w:val="NormalHanging12a"/>
      </w:pPr>
      <w:r>
        <w:t>7</w:t>
      </w:r>
      <w:r w:rsidR="00ED61D1" w:rsidRPr="00C32BF2">
        <w:t>.</w:t>
      </w:r>
      <w:r w:rsidR="00ED61D1" w:rsidRPr="00C32BF2">
        <w:tab/>
        <w:t>u potpunosti podupire stup javnog zdravlja i prevencije strategije Unije za suzbijanje droga, uključujući ranu prevenciju, smanjenje rizika, pristup skrbi, liječenje ovisnosti i društvenu reintegraciju; ističe da droge sve više utječu na društvo u cjelini jer dovode do ovisnosti te poziva na široku mobilizaciju kako bi se osiguralo mentalno zdravlje Europljana;</w:t>
      </w:r>
    </w:p>
    <w:p w14:paraId="7E9B7DB1" w14:textId="5FD45589" w:rsidR="00ED61D1" w:rsidRPr="00C32BF2" w:rsidRDefault="00EA77AD" w:rsidP="00ED61D1">
      <w:pPr>
        <w:pStyle w:val="NormalHanging12a"/>
      </w:pPr>
      <w:r>
        <w:t>8</w:t>
      </w:r>
      <w:r w:rsidR="00ED61D1" w:rsidRPr="00C32BF2">
        <w:t>.</w:t>
      </w:r>
      <w:r w:rsidR="00ED61D1" w:rsidRPr="00C32BF2">
        <w:tab/>
        <w:t xml:space="preserve"> podupire prijedlog Komisije usmjeren na jačanje sigurnosti u borbi protiv trgovine drogom, uključujući planiranu evaluaciju postojeće Okvirne odluke o trgovini drogom do 2026. godine i ažuriranje pravila koja se odnose na organizirani kriminal; podupire ključne mjere, kao što su jačanje suradnje između javnog i privatnog sektora, kako bi se unaprijedilo otkrivanje droga koje se krijumčare u sklopu poštanskih usluga i usluga dostave paketa, kao i razvoj nove europske strategije za luke s ciljem povećanja sigurnosti te otpornosti luka i lanaca opskrbe na trgovinu drogom;</w:t>
      </w:r>
    </w:p>
    <w:p w14:paraId="2E31F9D8" w14:textId="6FE262E6" w:rsidR="00ED61D1" w:rsidRPr="00C32BF2" w:rsidRDefault="00EA77AD" w:rsidP="00ED61D1">
      <w:pPr>
        <w:pStyle w:val="NormalHanging12a"/>
      </w:pPr>
      <w:r>
        <w:t>9</w:t>
      </w:r>
      <w:r w:rsidR="00ED61D1" w:rsidRPr="00C32BF2">
        <w:t>.</w:t>
      </w:r>
      <w:r w:rsidR="00ED61D1" w:rsidRPr="00C32BF2">
        <w:tab/>
        <w:t>pozdravlja angažman tijela kaznenog progona, oružanih snaga, carinskih službi i sudaca mobiliziranih diljem Europske unije u borbi protiv trgovine drogom; prepoznaje njihov ključan doprinos zaštiti javne sigurnosti i poziva na razmjerno i odgovarajuće povećanje sredstava na raspolaganju policijskim snagama i pravosudnim tijelima za odgovaranje na tu sve snažniju transnacionalnu prijetnju;</w:t>
      </w:r>
    </w:p>
    <w:p w14:paraId="4E4AA7C3" w14:textId="5AF9149A" w:rsidR="00ED61D1" w:rsidRPr="00C32BF2" w:rsidRDefault="00EA77AD" w:rsidP="009C7636">
      <w:pPr>
        <w:pStyle w:val="NormalHanging12a"/>
      </w:pPr>
      <w:r>
        <w:t>10</w:t>
      </w:r>
      <w:r w:rsidR="00ED61D1" w:rsidRPr="00C32BF2">
        <w:t>.</w:t>
      </w:r>
      <w:r w:rsidR="00ED61D1" w:rsidRPr="00C32BF2">
        <w:tab/>
        <w:t xml:space="preserve">poziva na jačanje </w:t>
      </w:r>
      <w:r w:rsidR="009C7636">
        <w:t xml:space="preserve">ljudskih, materijalnih i tehnoloških resursa koji se dodjeljuju za nadzor vanjskih granica u borbi protiv trgovine oružjem, ljudima i drogom kao i na jačanje </w:t>
      </w:r>
      <w:r w:rsidR="00ED61D1" w:rsidRPr="00C32BF2">
        <w:t xml:space="preserve">zajedničkih prekograničnih operacija kaznenog progona, posebno u žarišnim točkama kao što su Marseille, Le Havre, Antwerpen, Rotterdam i Hamburg, u bliskoj suradnji s </w:t>
      </w:r>
      <w:r w:rsidR="009C7636" w:rsidRPr="009C7636">
        <w:t xml:space="preserve">Agencijom za europsku graničnu i obalnu stražu, </w:t>
      </w:r>
      <w:r w:rsidR="00ED61D1" w:rsidRPr="00C32BF2">
        <w:t>Europolom, Eurojustom i EUDA-om, kako bi se razbile kriminalne mreže koje stoje iza pucnjava, ubojstava i zastrašivanja diljem Europe;</w:t>
      </w:r>
    </w:p>
    <w:p w14:paraId="2112CAF2" w14:textId="20984C50" w:rsidR="00ED61D1" w:rsidRPr="00C32BF2" w:rsidRDefault="00EA77AD" w:rsidP="00ED61D1">
      <w:pPr>
        <w:pStyle w:val="NormalHanging12a"/>
      </w:pPr>
      <w:r>
        <w:t>11</w:t>
      </w:r>
      <w:r w:rsidR="00ED61D1" w:rsidRPr="00C32BF2">
        <w:t>.</w:t>
      </w:r>
      <w:r w:rsidR="00ED61D1" w:rsidRPr="00C32BF2">
        <w:tab/>
        <w:t>ističe potrebu za jačanjem suradnje i razmjene informacija među carinskim, policijskim, pravosudnim i upravnim tijelima te poziva Komisiju da zajamči okvir potreban za podupiranje tih napora, ali i da istodobno štiti temeljna prava i privatnost;</w:t>
      </w:r>
    </w:p>
    <w:p w14:paraId="690056FD" w14:textId="0DB44FEA" w:rsidR="00ED61D1" w:rsidRPr="00C32BF2" w:rsidRDefault="00EA77AD" w:rsidP="00ED61D1">
      <w:pPr>
        <w:pStyle w:val="NormalHanging12a"/>
      </w:pPr>
      <w:r>
        <w:t>12</w:t>
      </w:r>
      <w:r w:rsidR="00ED61D1" w:rsidRPr="00C32BF2">
        <w:t>.</w:t>
      </w:r>
      <w:r w:rsidR="00ED61D1" w:rsidRPr="00C32BF2">
        <w:tab/>
        <w:t>podsjeća na to da se borba protiv organiziranog kriminala mora obuhvaćati gospodarske i financijske strukture trgovine drogom, među ostalim u vidu jačanja mehanizama za oduzimanje imovine stečene kaznenim djelima i borbe protiv poreznih oaza; poziva Europsku uniju i države članice da u potpunosti i učinkovito primjenjuju novu Direktivu (EU) 2024/1260 o povratu i oduzimanju imovine</w:t>
      </w:r>
      <w:r w:rsidR="00ED61D1" w:rsidRPr="00C32BF2">
        <w:rPr>
          <w:rStyle w:val="FootnoteReference"/>
        </w:rPr>
        <w:footnoteReference w:id="7"/>
      </w:r>
      <w:r w:rsidR="00ED61D1" w:rsidRPr="00C32BF2">
        <w:t xml:space="preserve"> te da uvedu mjere potrebne kako bi se omogućila dodjela oduzete imovine u socijalne svrhe, u prvom redu u vidu dodjeljivanja oduzete imovine lokalnim organizacijama koje se bore protiv teritorijalne kontrole trgovine drogom, kao što je slučaj u Italiji, kao i tijelima koja su najizloženija nasilju povezanom s drogom ili pravosudnim i carinskim istražnim službama; poziva Komisiju i države članice da osiguraju da mjere koje se odnose na upotrebu oduzete imovine u javnom interesu ili u socijalne svrhe budu uključene u njihove nacionalne strategije </w:t>
      </w:r>
      <w:r w:rsidR="00ED61D1" w:rsidRPr="00C32BF2">
        <w:lastRenderedPageBreak/>
        <w:t>povrata imovine;</w:t>
      </w:r>
    </w:p>
    <w:p w14:paraId="4D162723" w14:textId="596A75FC" w:rsidR="00ED61D1" w:rsidRPr="00C32BF2" w:rsidRDefault="00EA77AD" w:rsidP="00ED61D1">
      <w:pPr>
        <w:pStyle w:val="NormalHanging12a"/>
      </w:pPr>
      <w:r>
        <w:t>13</w:t>
      </w:r>
      <w:r w:rsidR="00ED61D1" w:rsidRPr="00C32BF2">
        <w:t>.</w:t>
      </w:r>
      <w:r w:rsidR="00ED61D1" w:rsidRPr="00C32BF2">
        <w:tab/>
        <w:t>ističe da je važno da se zahtjevi u kontekstu pravosudne suradnje i transparentnosti integriraju u vanjske odnose i sporazume Unije s trećim zemljama kroz koje prolaze rute trgovine drogom; naglašava da je suradnja s nekima od tih država plodonosna, dok druge u potpunosti odbijaju surađivati s europskim tijelima;</w:t>
      </w:r>
    </w:p>
    <w:p w14:paraId="65E853E3" w14:textId="643D244E" w:rsidR="00ED61D1" w:rsidRPr="00C32BF2" w:rsidRDefault="00EA77AD" w:rsidP="00ED61D1">
      <w:pPr>
        <w:pStyle w:val="NormalHanging12a"/>
      </w:pPr>
      <w:r>
        <w:t>14</w:t>
      </w:r>
      <w:r w:rsidR="00ED61D1" w:rsidRPr="00C32BF2">
        <w:t>.</w:t>
      </w:r>
      <w:r w:rsidR="00ED61D1" w:rsidRPr="00C32BF2">
        <w:tab/>
        <w:t>pozdravlja uspješno sklapanje sporazuma između Eurojusta, Europola i Armenije, Bosne i Hercegovine i Libanona;</w:t>
      </w:r>
    </w:p>
    <w:p w14:paraId="1CE71411" w14:textId="18A6A36C" w:rsidR="00ED61D1" w:rsidRDefault="00EA77AD" w:rsidP="00ED61D1">
      <w:pPr>
        <w:pStyle w:val="NormalHanging12a"/>
      </w:pPr>
      <w:r>
        <w:t>15</w:t>
      </w:r>
      <w:r w:rsidR="00ED61D1" w:rsidRPr="00C32BF2">
        <w:t>.</w:t>
      </w:r>
      <w:r w:rsidR="00ED61D1" w:rsidRPr="00C32BF2">
        <w:tab/>
        <w:t>ističe da je važno temeljito proučiti metode koje su usvojila zločinačka udruženja i njihov brzi razvoj kako bi se razvili najprikladniji sudski postupci; u prvom redu poziva na zajednički pristup borbi protiv organiziranog kriminala, na razmatranje uvođenja statusa krunskog svjedoka, na zaštitu maloljetnika uključenih u kriminalne mreže, na povezivanje borbe protiv trgovine drogom s odredbama o pranju novca i korupciji, iznudi, trgovini ljudima, kaznenim djelima protiv okoliša i trgovini oružjem; poziva na razmatranje snažnije uloge EPPO-a u borbi protiv organiziranog kriminala;</w:t>
      </w:r>
    </w:p>
    <w:p w14:paraId="67F99987" w14:textId="4BD82CF7" w:rsidR="00ED61D1" w:rsidRPr="00C32BF2" w:rsidRDefault="00EA77AD" w:rsidP="00ED61D1">
      <w:pPr>
        <w:pStyle w:val="NormalHanging12a"/>
      </w:pPr>
      <w:r>
        <w:t>1</w:t>
      </w:r>
      <w:r w:rsidR="004608A0">
        <w:t>6</w:t>
      </w:r>
      <w:r w:rsidR="00ED61D1" w:rsidRPr="00C32BF2">
        <w:t>.</w:t>
      </w:r>
      <w:r w:rsidR="00ED61D1" w:rsidRPr="00C32BF2">
        <w:tab/>
        <w:t>obvezuje se da će pobrinuti za to da Parlament pomnije i temeljitije nadzire trgovinu drogom i borbu protiv organiziranog prekograničnog kriminala povezanog s drogom;</w:t>
      </w:r>
    </w:p>
    <w:p w14:paraId="6D83C993" w14:textId="3F41EB8D" w:rsidR="00ED61D1" w:rsidRPr="00C32BF2" w:rsidRDefault="00EA77AD" w:rsidP="00ED61D1">
      <w:pPr>
        <w:pStyle w:val="NormalHanging12a"/>
      </w:pPr>
      <w:r>
        <w:t>1</w:t>
      </w:r>
      <w:r w:rsidR="004608A0">
        <w:t>7</w:t>
      </w:r>
      <w:r w:rsidR="00ED61D1" w:rsidRPr="00C32BF2">
        <w:t>.</w:t>
      </w:r>
      <w:r w:rsidR="00ED61D1" w:rsidRPr="00C32BF2">
        <w:tab/>
        <w:t>poziva na veće ljudske resurse koji se dodjeljuju za policijske aktivnosti u zajednici i specijalizirane policijske aktivnosti kao i za sudove specijalizirane za borbu protiv trgovine drogama, uključujući sudove za sprečavanje pranja novca;</w:t>
      </w:r>
    </w:p>
    <w:p w14:paraId="73D8FE11" w14:textId="5EF668AC" w:rsidR="00ED61D1" w:rsidRPr="00C32BF2" w:rsidRDefault="00EA77AD" w:rsidP="00ED61D1">
      <w:pPr>
        <w:pStyle w:val="NormalHanging12a"/>
      </w:pPr>
      <w:r>
        <w:t>1</w:t>
      </w:r>
      <w:r w:rsidR="004608A0">
        <w:t>8</w:t>
      </w:r>
      <w:r w:rsidR="00ED61D1" w:rsidRPr="00C32BF2">
        <w:t>.</w:t>
      </w:r>
      <w:r w:rsidR="00ED61D1" w:rsidRPr="00C32BF2">
        <w:tab/>
        <w:t>potiče suradnju između tijela Europske unije, nacionalnih tijela i država članica u policijskim, pravosudnim i upravnim pitanjima;</w:t>
      </w:r>
    </w:p>
    <w:p w14:paraId="6697C124" w14:textId="1BB2BBEC" w:rsidR="00ED61D1" w:rsidRPr="00C32BF2" w:rsidRDefault="004608A0" w:rsidP="00ED61D1">
      <w:pPr>
        <w:pStyle w:val="NormalHanging12a"/>
      </w:pPr>
      <w:r>
        <w:t>19</w:t>
      </w:r>
      <w:r w:rsidR="00ED61D1" w:rsidRPr="00C32BF2">
        <w:t>.</w:t>
      </w:r>
      <w:r w:rsidR="00ED61D1" w:rsidRPr="00C32BF2">
        <w:tab/>
        <w:t>poziva na to da borba protiv trgovine drogom postane stup europske strategije za luke i Saveza luka, koji bi obuhvaćao i morske i riječne luke, te na to da se uvedu mjere osposobljavanja, prevencije i zaštite za lučko osoblje; poziva na pružanje potpore i pomoći lučkim radnicima i ribarima, koji se suočavaju s pritiscima, prijetnjama i pokušajima ucjene mreža za trgovinu drogom; naglašava važnost razmjene obavještajnih podataka o zapljenama droga, prekursora i osnovnih kemikalija kao i upotrebe tehnologija nadzora usmjerenih na stratešku infrastrukturu;</w:t>
      </w:r>
    </w:p>
    <w:p w14:paraId="66D982BA" w14:textId="4751BC1E" w:rsidR="00ED61D1" w:rsidRDefault="00EA77AD" w:rsidP="00ED61D1">
      <w:pPr>
        <w:pStyle w:val="NormalHanging12a"/>
      </w:pPr>
      <w:r>
        <w:t>2</w:t>
      </w:r>
      <w:r w:rsidR="004608A0">
        <w:t>0</w:t>
      </w:r>
      <w:r w:rsidR="00ED61D1" w:rsidRPr="00C32BF2">
        <w:t>.</w:t>
      </w:r>
      <w:r w:rsidR="00ED61D1" w:rsidRPr="00C32BF2">
        <w:tab/>
        <w:t>poziva na to da borba protiv trgovine drogom bude prioritet Carinskog tijela Unije i da se carinskim agencijama osiguraju isti alati kao i lučkom osoblju;</w:t>
      </w:r>
    </w:p>
    <w:p w14:paraId="369E21E1" w14:textId="0C6BE2F7" w:rsidR="003167DF" w:rsidRPr="00C32BF2" w:rsidRDefault="004608A0" w:rsidP="00ED61D1">
      <w:pPr>
        <w:pStyle w:val="NormalHanging12a"/>
      </w:pPr>
      <w:r>
        <w:t>21</w:t>
      </w:r>
      <w:r w:rsidR="003167DF" w:rsidRPr="003167DF">
        <w:t>.</w:t>
      </w:r>
      <w:r w:rsidR="003167DF" w:rsidRPr="003167DF">
        <w:tab/>
        <w:t>ističe da bi buduće europske inicijative, kao što je Europski savez luka, kao i reforme Europola, Eurojusta i Ureda europskog javnog tužitelja, trebale doprinijeti jačanju integriteta, transparentnosti i otpornosti europskih luka, među ostalim poboljšanjem zaštite službenika na terenu i radnika od rizika od zastrašivanja i korupcije;</w:t>
      </w:r>
    </w:p>
    <w:p w14:paraId="4179150D" w14:textId="25AA9574" w:rsidR="00ED61D1" w:rsidRPr="00C32BF2" w:rsidRDefault="00EA77AD" w:rsidP="00ED61D1">
      <w:pPr>
        <w:pStyle w:val="NormalHanging12a"/>
      </w:pPr>
      <w:r>
        <w:t>22</w:t>
      </w:r>
      <w:r w:rsidR="00ED61D1" w:rsidRPr="00C32BF2">
        <w:t>.</w:t>
      </w:r>
      <w:r w:rsidR="00ED61D1" w:rsidRPr="00C32BF2">
        <w:tab/>
        <w:t>ističe središnju ulogu prevencije, među ostalim na društvenim mrežama i digitalnim platformama, te poziva na učinkovitu provedbu postojećih pravila EU-a, posebno Akta o digitalnim uslugama, kako bi se spriječilo regrutiranje na internetu, poticanje na nasilje i organizacija kriminalnih aktivnosti te proučile potrebe za njihovom daljnjom nadogradnjom; poziva države članice da u svoje politike prevencije uključe jasnu komunikaciju na temelju koje bi potrošačima omogućila da razumiju da doprinose nasilnom djelovanju destruktivnih kriminalnih mreža;</w:t>
      </w:r>
    </w:p>
    <w:p w14:paraId="5D297ABF" w14:textId="76F64ADC" w:rsidR="00ED61D1" w:rsidRPr="00C32BF2" w:rsidRDefault="00EA77AD" w:rsidP="00ED61D1">
      <w:pPr>
        <w:pStyle w:val="NormalHanging12a"/>
      </w:pPr>
      <w:bookmarkStart w:id="7" w:name="_heading=h.wu2hczxpxd"/>
      <w:bookmarkEnd w:id="7"/>
      <w:r>
        <w:t>23</w:t>
      </w:r>
      <w:r w:rsidR="00ED61D1" w:rsidRPr="00C32BF2">
        <w:t>.</w:t>
      </w:r>
      <w:r w:rsidR="00ED61D1" w:rsidRPr="00C32BF2">
        <w:tab/>
        <w:t xml:space="preserve">ističe da, u skladu s Aktom o digitalnim uslugama i Rezolucijom Europskog parlamenta </w:t>
      </w:r>
      <w:r w:rsidR="00ED61D1" w:rsidRPr="00C32BF2">
        <w:lastRenderedPageBreak/>
        <w:t>o zaštiti maloljetnika na internetu (2025/2060(INI)), u politike borbe protiv droga treba u potpunosti integrirati zaštitu maloljetnika od regrutiranja u kriminalne mreže, među ostalim, suradnjom s digitalnim platformama, ciljanom prevencijom i ranim otkrivanjem;</w:t>
      </w:r>
    </w:p>
    <w:p w14:paraId="1B56E83A" w14:textId="1E560C93" w:rsidR="00ED61D1" w:rsidRPr="00C32BF2" w:rsidRDefault="00EA77AD" w:rsidP="00ED61D1">
      <w:pPr>
        <w:pStyle w:val="NormalHanging12a"/>
      </w:pPr>
      <w:r>
        <w:t>24</w:t>
      </w:r>
      <w:r w:rsidR="00ED61D1" w:rsidRPr="00C32BF2">
        <w:t>.</w:t>
      </w:r>
      <w:r w:rsidR="00ED61D1" w:rsidRPr="00C32BF2">
        <w:tab/>
        <w:t>ističe da je, uz pristup koji uključuje sigurnost i kazneni progon, od ključne važnosti strukturno djelovanje u pogledu socijalnih, gospodarskih i teritorijalnih čimbenika kojima se promiče trajno ukorjenjivanje tih kriminalnih aktivnosti, naročito o u gradskim četvrtima u nepovoljnom položaju; u tom pogledu naglašava ključnu ulogu proračunskih instrumenata Unije, uključujući Europski fond za regionalni razvoj (EFRR), Kohezijski fond i Europski socijalni fond plus (ESF+), u podupiranju dugoročnih ulaganja u pristup zapošljavanju, urbanu obnovu, javne usluge u zajednici, obrazovanje, prevenciju i socijalnu koheziju, čime bi se doprinijelo jačanju otpornosti tih područja na nezakonitu ekonomiju kao i sposobnosti zajednica da se odupru kriminalnim organizacijama;</w:t>
      </w:r>
    </w:p>
    <w:p w14:paraId="7017AFB1" w14:textId="662D31ED" w:rsidR="00ED61D1" w:rsidRPr="00C32BF2" w:rsidRDefault="00EA77AD" w:rsidP="00ED61D1">
      <w:pPr>
        <w:pStyle w:val="NormalHanging12a"/>
      </w:pPr>
      <w:r>
        <w:t>25</w:t>
      </w:r>
      <w:r w:rsidR="00ED61D1" w:rsidRPr="00C32BF2">
        <w:t>.</w:t>
      </w:r>
      <w:r w:rsidR="00ED61D1" w:rsidRPr="00C32BF2">
        <w:tab/>
        <w:t>međutim, izražava ozbiljnu zabrinutost zbog smjernica koje je Komisija predvidjela za višegodišnji financijski okvir za razdoblje od 2028. do 2034., u prvom redu zbog rizika od snažnije renacionalizacije kohezijske politike, spajanja kohezijskih fondova s drugim instrumentima i usmjeravanja financiranja isključivo na slabije razvijene regije; upozorava da bi takav razvoj događaja mogao dovesti do štetnog tržišnog natjecanja među prioritetima i područjima, na štetu ulaganja potrebnih u zapostavljenim urbanim područjima u tranzicijskim ili razvijenijim regijama, iako te četvrti često pate od akutnih socijalnih ranjivosti te su vrlo izložene trgovini drogama.</w:t>
      </w:r>
    </w:p>
    <w:p w14:paraId="57BC0319" w14:textId="6EE138B9" w:rsidR="00ED61D1" w:rsidRPr="00C32BF2" w:rsidRDefault="00EA77AD" w:rsidP="00ED61D1">
      <w:pPr>
        <w:pStyle w:val="NormalHanging12a"/>
      </w:pPr>
      <w:r>
        <w:t>26</w:t>
      </w:r>
      <w:r w:rsidR="00ED61D1" w:rsidRPr="00C32BF2">
        <w:t>.</w:t>
      </w:r>
      <w:r w:rsidR="00ED61D1" w:rsidRPr="00C32BF2">
        <w:tab/>
        <w:t>ističe da će novi program Europske unije za gradove, koji je Komisija nedavno usvojila, polučiti konkretne rezultate samo ako bude u potpunosti integriran u buduće nacionalne i regionalne partnerske programe; u tom kontekstu poziva da se u te planove uključe specifične i prepoznatljive mjere za javna ulaganja u radničke četvrti, kojima su usto dodijeljena odgovarajuća sredstva, kako bi se izbjegla trajna marginalizacija tih četvrti i njihovo zauzimanje od strane kriminalnih mreža; ističe potrebu za osiguravanjem lokaliziranog, integriranog i uključivog pristupa koheziji, koji je neophodan kako nijedno područje ne bi bilo zapostavljeno, ali i za trajno jačanje sigurnosti, socijalne pravde i kohezije u Europskoj uniji;</w:t>
      </w:r>
    </w:p>
    <w:p w14:paraId="62CFC234" w14:textId="5149F310" w:rsidR="00ED61D1" w:rsidRPr="00C32BF2" w:rsidRDefault="00EA77AD" w:rsidP="00ED61D1">
      <w:pPr>
        <w:pStyle w:val="NormalHanging12a"/>
      </w:pPr>
      <w:r>
        <w:t>27</w:t>
      </w:r>
      <w:r w:rsidR="00ED61D1" w:rsidRPr="00C32BF2">
        <w:t>.</w:t>
      </w:r>
      <w:r w:rsidR="00ED61D1" w:rsidRPr="00C32BF2">
        <w:tab/>
        <w:t>podsjeća na to da se uspjeh talijanske strategije za borbu protiv mafije u velikoj mjeri temeljio na mobilizaciji civilnog društva; stoga poziva na puno uključivanje civilnog društva, a posebno udruga na lokalnoj razini, u borbu protiv organiziranog kriminala i trgovine drogom;</w:t>
      </w:r>
    </w:p>
    <w:p w14:paraId="575A22D9" w14:textId="1CFE8F58" w:rsidR="00ED61D1" w:rsidRPr="00C32BF2" w:rsidRDefault="00EA77AD" w:rsidP="00ED61D1">
      <w:pPr>
        <w:pStyle w:val="NormalHanging12a"/>
      </w:pPr>
      <w:r>
        <w:t>28</w:t>
      </w:r>
      <w:r w:rsidR="00ED61D1" w:rsidRPr="00C32BF2">
        <w:t>.</w:t>
      </w:r>
      <w:r w:rsidR="00ED61D1" w:rsidRPr="00C32BF2">
        <w:tab/>
        <w:t>ističe da u središte oblikovanja, provedbe i evaluacije europskih politika za borbu protiv droga treba staviti iskustva i glas obitelji žrtava te prepoznati njihovu bitnu ulogu u prevenciji i u podupiranju osoba izloženih riziku; stoga poziva na njihovu punu integraciju u buduća djelovanja Europske unije i država članica u području borbe protiv trgovine drogom;</w:t>
      </w:r>
    </w:p>
    <w:p w14:paraId="37F7D67E" w14:textId="6CCDF756" w:rsidR="00ED61D1" w:rsidRPr="00C32BF2" w:rsidRDefault="00EA77AD" w:rsidP="00ED61D1">
      <w:pPr>
        <w:pStyle w:val="NormalHanging12a"/>
      </w:pPr>
      <w:r>
        <w:t>29</w:t>
      </w:r>
      <w:r w:rsidR="00ED61D1" w:rsidRPr="00C32BF2">
        <w:t>.</w:t>
      </w:r>
      <w:r w:rsidR="00ED61D1" w:rsidRPr="00C32BF2">
        <w:tab/>
        <w:t>poziva tijela za upravljanje strategijom za borbu protiv droga, povezane odbore dionika i države članice da na strukturiran način uključe predstavnike žrtava i njihovih obitelji;</w:t>
      </w:r>
    </w:p>
    <w:p w14:paraId="39EC7CAF" w14:textId="34968C50" w:rsidR="00ED61D1" w:rsidRPr="00C32BF2" w:rsidRDefault="00EA77AD" w:rsidP="00ED61D1">
      <w:pPr>
        <w:pStyle w:val="NormalHanging12a"/>
      </w:pPr>
      <w:r>
        <w:t>30</w:t>
      </w:r>
      <w:r w:rsidR="00ED61D1" w:rsidRPr="00C32BF2">
        <w:t>.</w:t>
      </w:r>
      <w:r w:rsidR="00ED61D1" w:rsidRPr="00C32BF2">
        <w:tab/>
        <w:t xml:space="preserve">izražava potporu svim akterima na terenu, uključujući </w:t>
      </w:r>
      <w:r w:rsidR="009C7636" w:rsidRPr="009C7636">
        <w:t>službenike kaznenog progona,</w:t>
      </w:r>
      <w:r w:rsidR="009C7636">
        <w:t xml:space="preserve"> </w:t>
      </w:r>
      <w:r w:rsidR="00ED61D1" w:rsidRPr="00C32BF2">
        <w:t xml:space="preserve">udruge, edukatore, socijalne radnike i lokalna tijela; ističe važnost adekvatne europske financijske potpore tim inicijativama te napominje da bi se u tom kontekstu mogla </w:t>
      </w:r>
      <w:r w:rsidR="00ED61D1" w:rsidRPr="00C32BF2">
        <w:lastRenderedPageBreak/>
        <w:t>mobilizirati i sredstva namijenjena socijalnom djelovanju i sredstva u okviru Prijedloga uredbe o uvođenju potpore Unije za unutarnju sigurnost za razdoblje 2028. – 2034. (COM(2025)0542);</w:t>
      </w:r>
    </w:p>
    <w:p w14:paraId="40782868" w14:textId="0E91AC76" w:rsidR="00ED61D1" w:rsidRPr="00C32BF2" w:rsidRDefault="00EA77AD" w:rsidP="00ED61D1">
      <w:pPr>
        <w:pStyle w:val="NormalHanging12a"/>
      </w:pPr>
      <w:r>
        <w:t>31</w:t>
      </w:r>
      <w:r w:rsidR="00ED61D1" w:rsidRPr="00C32BF2">
        <w:t>.</w:t>
      </w:r>
      <w:r w:rsidR="00ED61D1" w:rsidRPr="00C32BF2">
        <w:tab/>
        <w:t>poziva Komisiju i države članice da razviju europsku koordinaciju uspješnih praksi za zaštitu žrtava i svjedoka, uzimajući pritom u obzir često nesigurnu socijalnu i ekonomsku situaciju dotičnih obitelji;</w:t>
      </w:r>
    </w:p>
    <w:p w14:paraId="5CB2E7A9" w14:textId="0591E4B7" w:rsidR="00ED61D1" w:rsidRPr="00C32BF2" w:rsidRDefault="00EA77AD" w:rsidP="00ED61D1">
      <w:pPr>
        <w:pStyle w:val="NormalHanging12a"/>
      </w:pPr>
      <w:r>
        <w:t>32</w:t>
      </w:r>
      <w:r w:rsidR="00ED61D1" w:rsidRPr="00C32BF2">
        <w:t>.</w:t>
      </w:r>
      <w:r w:rsidR="00ED61D1" w:rsidRPr="00C32BF2">
        <w:tab/>
        <w:t>poziva države članice da osiguraju preseljenje obitelji žrtve trgovinom drogom te njihov pristup zapošljavanju kako bi se zajamčila njihova sigurnost; poziva Komisiju da tu dimenziju uključi u svoj plan stanovanja;</w:t>
      </w:r>
    </w:p>
    <w:p w14:paraId="566E1BFB" w14:textId="48FFFCA6" w:rsidR="00ED61D1" w:rsidRPr="00C32BF2" w:rsidRDefault="00EA77AD" w:rsidP="00ED61D1">
      <w:pPr>
        <w:pStyle w:val="NormalHanging12a"/>
      </w:pPr>
      <w:r>
        <w:t>33</w:t>
      </w:r>
      <w:r w:rsidR="00ED61D1" w:rsidRPr="00C32BF2">
        <w:t>.</w:t>
      </w:r>
      <w:r w:rsidR="00ED61D1" w:rsidRPr="00C32BF2">
        <w:tab/>
        <w:t>poziva države članice da podupru one koji dignu svoj glas protiv organiziranog kriminala, kao što su Amine Kessaci i Roberto Saviano, i da takvo postupanje postane temelj obrane vladavine prava i slobode izražavanja;</w:t>
      </w:r>
    </w:p>
    <w:p w14:paraId="59344100" w14:textId="1F8C40AD" w:rsidR="00C32BF2" w:rsidRPr="00C32BF2" w:rsidRDefault="00EA77AD" w:rsidP="00C32BF2">
      <w:pPr>
        <w:pStyle w:val="NormalHanging12a"/>
      </w:pPr>
      <w:r>
        <w:t>34</w:t>
      </w:r>
      <w:r w:rsidR="00ED61D1" w:rsidRPr="00C32BF2">
        <w:t>.</w:t>
      </w:r>
      <w:r w:rsidR="00ED61D1" w:rsidRPr="00C32BF2">
        <w:tab/>
        <w:t>nalaže svojoj predsjednici da ovu Rezoluciju proslijedi Vijeću, Komisiji, vladama i parlamentima država članica te relevantnim međunarodnim institucijama i organizacijama.</w:t>
      </w:r>
    </w:p>
    <w:p w14:paraId="49AFBDFB" w14:textId="7996552D" w:rsidR="00E365E1" w:rsidRPr="00C32BF2" w:rsidRDefault="00E365E1" w:rsidP="00794548"/>
    <w:sectPr w:rsidR="00E365E1" w:rsidRPr="00C32BF2" w:rsidSect="00C32BF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C77A" w14:textId="77777777" w:rsidR="00794548" w:rsidRPr="00C32BF2" w:rsidRDefault="00794548">
      <w:r w:rsidRPr="00C32BF2">
        <w:separator/>
      </w:r>
    </w:p>
  </w:endnote>
  <w:endnote w:type="continuationSeparator" w:id="0">
    <w:p w14:paraId="1FE46E68" w14:textId="77777777" w:rsidR="00794548" w:rsidRPr="00C32BF2" w:rsidRDefault="00794548">
      <w:r w:rsidRPr="00C32B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56DB" w14:textId="77777777" w:rsidR="00794548" w:rsidRPr="00C32BF2" w:rsidRDefault="00794548">
      <w:r w:rsidRPr="00C32BF2">
        <w:separator/>
      </w:r>
    </w:p>
  </w:footnote>
  <w:footnote w:type="continuationSeparator" w:id="0">
    <w:p w14:paraId="2A1D4A89" w14:textId="77777777" w:rsidR="00794548" w:rsidRPr="00C32BF2" w:rsidRDefault="00794548">
      <w:r w:rsidRPr="00C32BF2">
        <w:continuationSeparator/>
      </w:r>
    </w:p>
  </w:footnote>
  <w:footnote w:id="1">
    <w:p w14:paraId="779E3EE8" w14:textId="436D61CD" w:rsidR="00ED61D1" w:rsidRPr="00C32BF2" w:rsidRDefault="00ED61D1" w:rsidP="00C32BF2">
      <w:pPr>
        <w:pStyle w:val="FootnoteText"/>
        <w:ind w:left="567" w:hanging="567"/>
        <w:rPr>
          <w:sz w:val="24"/>
          <w:lang w:val="hr-HR"/>
        </w:rPr>
      </w:pPr>
      <w:r w:rsidRPr="00C32BF2">
        <w:rPr>
          <w:rStyle w:val="FootnoteReference"/>
          <w:sz w:val="24"/>
          <w:lang w:val="hr-HR"/>
        </w:rPr>
        <w:footnoteRef/>
      </w:r>
      <w:r w:rsidR="00C32BF2" w:rsidRPr="00C32BF2">
        <w:rPr>
          <w:sz w:val="24"/>
          <w:lang w:val="hr-HR"/>
        </w:rPr>
        <w:t xml:space="preserve"> </w:t>
      </w:r>
      <w:r w:rsidR="00C32BF2" w:rsidRPr="00C32BF2">
        <w:rPr>
          <w:sz w:val="24"/>
          <w:lang w:val="hr-HR"/>
        </w:rPr>
        <w:tab/>
      </w:r>
      <w:r w:rsidRPr="00C32BF2">
        <w:rPr>
          <w:sz w:val="24"/>
          <w:lang w:val="hr-HR"/>
        </w:rPr>
        <w:t>SL L 315, 14.1</w:t>
      </w:r>
      <w:r w:rsidR="0022424C">
        <w:rPr>
          <w:sz w:val="24"/>
          <w:lang w:val="hr-HR"/>
        </w:rPr>
        <w:t>1</w:t>
      </w:r>
      <w:r w:rsidRPr="00C32BF2">
        <w:rPr>
          <w:sz w:val="24"/>
          <w:lang w:val="hr-HR"/>
        </w:rPr>
        <w:t>.201</w:t>
      </w:r>
      <w:r w:rsidR="0022424C">
        <w:rPr>
          <w:sz w:val="24"/>
          <w:lang w:val="hr-HR"/>
        </w:rPr>
        <w:t>2</w:t>
      </w:r>
      <w:r w:rsidRPr="00C32BF2">
        <w:rPr>
          <w:sz w:val="24"/>
          <w:lang w:val="hr-HR"/>
        </w:rPr>
        <w:t>., str. 57., ELI: </w:t>
      </w:r>
      <w:hyperlink r:id="rId1" w:tooltip="Poveznica ELI URI za pristup dokumentu." w:history="1">
        <w:r w:rsidRPr="00C32BF2">
          <w:rPr>
            <w:rStyle w:val="Hyperlink"/>
            <w:sz w:val="24"/>
            <w:lang w:val="hr-HR"/>
          </w:rPr>
          <w:t>http://data.europa.eu/eli/dir/2012/29/oj</w:t>
        </w:r>
      </w:hyperlink>
      <w:r w:rsidRPr="00C32BF2">
        <w:rPr>
          <w:sz w:val="24"/>
          <w:lang w:val="hr-HR"/>
        </w:rPr>
        <w:t>.</w:t>
      </w:r>
    </w:p>
  </w:footnote>
  <w:footnote w:id="2">
    <w:p w14:paraId="0CE04C23" w14:textId="41DEFC61" w:rsidR="00ED61D1" w:rsidRPr="00C32BF2" w:rsidRDefault="00ED61D1" w:rsidP="00C32BF2">
      <w:pPr>
        <w:pStyle w:val="FootnoteText"/>
        <w:ind w:left="567" w:hanging="567"/>
        <w:rPr>
          <w:sz w:val="24"/>
          <w:lang w:val="hr-HR"/>
        </w:rPr>
      </w:pPr>
      <w:r w:rsidRPr="00C32BF2">
        <w:rPr>
          <w:rStyle w:val="FootnoteReference"/>
          <w:sz w:val="24"/>
          <w:lang w:val="hr-HR"/>
        </w:rPr>
        <w:footnoteRef/>
      </w:r>
      <w:r w:rsidR="00C32BF2" w:rsidRPr="00C32BF2">
        <w:rPr>
          <w:sz w:val="24"/>
          <w:lang w:val="hr-HR"/>
        </w:rPr>
        <w:t xml:space="preserve"> </w:t>
      </w:r>
      <w:r w:rsidR="00C32BF2" w:rsidRPr="00C32BF2">
        <w:rPr>
          <w:sz w:val="24"/>
          <w:lang w:val="hr-HR"/>
        </w:rPr>
        <w:tab/>
      </w:r>
      <w:r w:rsidRPr="00C32BF2">
        <w:rPr>
          <w:sz w:val="24"/>
          <w:lang w:val="hr-HR"/>
        </w:rPr>
        <w:t>SL C 65, 19.2.2016., str. 16.</w:t>
      </w:r>
    </w:p>
  </w:footnote>
  <w:footnote w:id="3">
    <w:p w14:paraId="13D585F4" w14:textId="6116C0F6" w:rsidR="00ED61D1" w:rsidRPr="00C32BF2" w:rsidRDefault="00ED61D1" w:rsidP="00C32BF2">
      <w:pPr>
        <w:pStyle w:val="FootnoteText"/>
        <w:ind w:left="567" w:hanging="567"/>
        <w:rPr>
          <w:sz w:val="24"/>
          <w:lang w:val="hr-HR"/>
        </w:rPr>
      </w:pPr>
      <w:r w:rsidRPr="00C32BF2">
        <w:rPr>
          <w:rStyle w:val="FootnoteReference"/>
          <w:sz w:val="24"/>
          <w:lang w:val="hr-HR"/>
        </w:rPr>
        <w:footnoteRef/>
      </w:r>
      <w:r w:rsidR="00C32BF2" w:rsidRPr="00C32BF2">
        <w:rPr>
          <w:sz w:val="24"/>
          <w:lang w:val="hr-HR"/>
        </w:rPr>
        <w:t xml:space="preserve"> </w:t>
      </w:r>
      <w:r w:rsidR="00C32BF2" w:rsidRPr="00C32BF2">
        <w:rPr>
          <w:sz w:val="24"/>
          <w:lang w:val="hr-HR"/>
        </w:rPr>
        <w:tab/>
      </w:r>
      <w:r w:rsidRPr="00C32BF2">
        <w:rPr>
          <w:sz w:val="24"/>
          <w:lang w:val="hr-HR"/>
        </w:rPr>
        <w:t>SL L, 2024/1624, 19.6.2024., ELI: </w:t>
      </w:r>
      <w:hyperlink r:id="rId2" w:tgtFrame="_blank" w:tooltip="Poveznica ELI URI za pristup dokumentu." w:history="1">
        <w:r w:rsidRPr="00C32BF2">
          <w:rPr>
            <w:rStyle w:val="Hyperlink"/>
            <w:sz w:val="24"/>
            <w:lang w:val="hr-HR"/>
          </w:rPr>
          <w:t>http://data.europa.eu/eli/reg/2024/1624/oj</w:t>
        </w:r>
      </w:hyperlink>
      <w:r w:rsidRPr="00C32BF2">
        <w:rPr>
          <w:sz w:val="24"/>
          <w:lang w:val="hr-HR"/>
        </w:rPr>
        <w:t>.</w:t>
      </w:r>
    </w:p>
  </w:footnote>
  <w:footnote w:id="4">
    <w:p w14:paraId="01808DB4" w14:textId="26E4BBA8" w:rsidR="00ED61D1" w:rsidRPr="00C32BF2" w:rsidRDefault="00ED61D1" w:rsidP="00C32BF2">
      <w:pPr>
        <w:pStyle w:val="FootnoteText"/>
        <w:ind w:left="567" w:hanging="567"/>
        <w:rPr>
          <w:sz w:val="24"/>
          <w:lang w:val="hr-HR"/>
        </w:rPr>
      </w:pPr>
      <w:r w:rsidRPr="00C32BF2">
        <w:rPr>
          <w:rStyle w:val="FootnoteReference"/>
          <w:sz w:val="24"/>
          <w:lang w:val="hr-HR"/>
        </w:rPr>
        <w:footnoteRef/>
      </w:r>
      <w:r w:rsidR="00C32BF2" w:rsidRPr="00C32BF2">
        <w:rPr>
          <w:sz w:val="24"/>
          <w:lang w:val="hr-HR"/>
        </w:rPr>
        <w:t xml:space="preserve"> </w:t>
      </w:r>
      <w:r w:rsidR="00C32BF2" w:rsidRPr="00C32BF2">
        <w:rPr>
          <w:sz w:val="24"/>
          <w:lang w:val="hr-HR"/>
        </w:rPr>
        <w:tab/>
      </w:r>
      <w:r w:rsidRPr="00C32BF2">
        <w:rPr>
          <w:sz w:val="24"/>
          <w:lang w:val="hr-HR"/>
        </w:rPr>
        <w:t>SL L, 2024/1640, 19.6.2024., ELI: </w:t>
      </w:r>
      <w:hyperlink r:id="rId3" w:tgtFrame="_blank" w:tooltip="Poveznica ELI URI za pristup dokumentu." w:history="1">
        <w:r w:rsidRPr="00C32BF2">
          <w:rPr>
            <w:rStyle w:val="Hyperlink"/>
            <w:sz w:val="24"/>
            <w:lang w:val="hr-HR"/>
          </w:rPr>
          <w:t>http://data.europa.eu/eli/dir/2024/1640/oj</w:t>
        </w:r>
      </w:hyperlink>
      <w:r w:rsidRPr="00C32BF2">
        <w:rPr>
          <w:sz w:val="24"/>
          <w:lang w:val="hr-HR"/>
        </w:rPr>
        <w:t>.</w:t>
      </w:r>
    </w:p>
  </w:footnote>
  <w:footnote w:id="5">
    <w:p w14:paraId="3BC8DE60" w14:textId="06C7FD5F" w:rsidR="00ED61D1" w:rsidRPr="00C32BF2" w:rsidRDefault="00ED61D1" w:rsidP="00C32BF2">
      <w:pPr>
        <w:pStyle w:val="FootnoteText"/>
        <w:ind w:left="567" w:hanging="567"/>
        <w:rPr>
          <w:sz w:val="24"/>
          <w:lang w:val="hr-HR"/>
        </w:rPr>
      </w:pPr>
      <w:r w:rsidRPr="00C32BF2">
        <w:rPr>
          <w:rStyle w:val="FootnoteReference"/>
          <w:sz w:val="24"/>
          <w:lang w:val="hr-HR"/>
        </w:rPr>
        <w:footnoteRef/>
      </w:r>
      <w:r w:rsidR="00C32BF2" w:rsidRPr="00C32BF2">
        <w:rPr>
          <w:sz w:val="24"/>
          <w:lang w:val="hr-HR"/>
        </w:rPr>
        <w:t xml:space="preserve"> </w:t>
      </w:r>
      <w:r w:rsidR="00C32BF2" w:rsidRPr="00C32BF2">
        <w:rPr>
          <w:sz w:val="24"/>
          <w:lang w:val="hr-HR"/>
        </w:rPr>
        <w:tab/>
      </w:r>
      <w:r w:rsidRPr="00C32BF2">
        <w:rPr>
          <w:sz w:val="24"/>
          <w:lang w:val="hr-HR"/>
        </w:rPr>
        <w:t>SL L, 2024/1712, 24.6.2024., ELI: </w:t>
      </w:r>
      <w:hyperlink r:id="rId4" w:tgtFrame="_blank" w:tooltip="Poveznica ELI URI za pristup dokumentu." w:history="1">
        <w:r w:rsidRPr="00C32BF2">
          <w:rPr>
            <w:rStyle w:val="Hyperlink"/>
            <w:sz w:val="24"/>
            <w:lang w:val="hr-HR"/>
          </w:rPr>
          <w:t>http://data.europa.eu/eli/dir/2024/1712/oj</w:t>
        </w:r>
      </w:hyperlink>
      <w:r w:rsidRPr="00C32BF2">
        <w:rPr>
          <w:sz w:val="24"/>
          <w:lang w:val="hr-HR"/>
        </w:rPr>
        <w:t>.</w:t>
      </w:r>
    </w:p>
  </w:footnote>
  <w:footnote w:id="6">
    <w:p w14:paraId="7D044B5F" w14:textId="77777777" w:rsidR="003167DF" w:rsidRPr="003974D3" w:rsidRDefault="003167DF" w:rsidP="003974D3">
      <w:pPr>
        <w:pStyle w:val="FootnoteText"/>
        <w:ind w:left="567" w:hanging="567"/>
        <w:rPr>
          <w:sz w:val="24"/>
          <w:szCs w:val="24"/>
          <w:lang w:val="hr-HR"/>
        </w:rPr>
      </w:pPr>
      <w:r>
        <w:rPr>
          <w:rStyle w:val="FootnoteReference"/>
        </w:rPr>
        <w:footnoteRef/>
      </w:r>
      <w:r w:rsidRPr="003974D3">
        <w:rPr>
          <w:lang w:val="hr-HR"/>
        </w:rPr>
        <w:t xml:space="preserve"> </w:t>
      </w:r>
      <w:r>
        <w:rPr>
          <w:lang w:val="hr-HR"/>
        </w:rPr>
        <w:tab/>
      </w:r>
      <w:r w:rsidRPr="003974D3">
        <w:rPr>
          <w:sz w:val="24"/>
          <w:szCs w:val="24"/>
          <w:lang w:val="hr-HR"/>
        </w:rPr>
        <w:t xml:space="preserve">Direktiva 2006/126/EZ Europskog parlamenta i Vijeća od 20. prosinca 2006. o vozačkim dozvolama (SL L 403, 30.12.2006., str. 18., ELI: </w:t>
      </w:r>
      <w:hyperlink r:id="rId5" w:history="1">
        <w:r w:rsidRPr="003974D3">
          <w:rPr>
            <w:rStyle w:val="Hyperlink"/>
            <w:sz w:val="24"/>
            <w:szCs w:val="24"/>
            <w:lang w:val="hr-HR"/>
          </w:rPr>
          <w:t>http://data.europa.eu/eli/dir/2006/126/oj</w:t>
        </w:r>
      </w:hyperlink>
      <w:r w:rsidRPr="003974D3">
        <w:rPr>
          <w:sz w:val="24"/>
          <w:szCs w:val="24"/>
          <w:lang w:val="hr-HR"/>
        </w:rPr>
        <w:t>).</w:t>
      </w:r>
    </w:p>
  </w:footnote>
  <w:footnote w:id="7">
    <w:p w14:paraId="2407D442" w14:textId="31077F47" w:rsidR="00ED61D1" w:rsidRPr="00C32BF2" w:rsidRDefault="00ED61D1" w:rsidP="00C32BF2">
      <w:pPr>
        <w:pStyle w:val="FootnoteText"/>
        <w:ind w:left="567" w:hanging="567"/>
        <w:rPr>
          <w:sz w:val="24"/>
          <w:lang w:val="hr-HR"/>
        </w:rPr>
      </w:pPr>
      <w:r w:rsidRPr="00C32BF2">
        <w:rPr>
          <w:rStyle w:val="FootnoteReference"/>
          <w:sz w:val="24"/>
          <w:lang w:val="hr-HR"/>
        </w:rPr>
        <w:footnoteRef/>
      </w:r>
      <w:r w:rsidR="00C32BF2" w:rsidRPr="00C32BF2">
        <w:rPr>
          <w:sz w:val="24"/>
          <w:lang w:val="hr-HR"/>
        </w:rPr>
        <w:t xml:space="preserve"> </w:t>
      </w:r>
      <w:r w:rsidR="00C32BF2" w:rsidRPr="00C32BF2">
        <w:rPr>
          <w:sz w:val="24"/>
          <w:lang w:val="hr-HR"/>
        </w:rPr>
        <w:tab/>
      </w:r>
      <w:r w:rsidRPr="00C32BF2">
        <w:rPr>
          <w:sz w:val="24"/>
          <w:lang w:val="hr-HR"/>
        </w:rPr>
        <w:t>SL L, 2024/1260, 2.5.2024., ELI: </w:t>
      </w:r>
      <w:hyperlink r:id="rId6" w:tgtFrame="_blank" w:tooltip="Poveznica ELI URI za pristup dokumentu." w:history="1">
        <w:r w:rsidRPr="00C32BF2">
          <w:rPr>
            <w:rStyle w:val="Hyperlink"/>
            <w:sz w:val="24"/>
            <w:lang w:val="hr-HR"/>
          </w:rPr>
          <w:t>http://data.europa.eu/eli/dir/2024/1260/oj</w:t>
        </w:r>
      </w:hyperlink>
      <w:r w:rsidRPr="00C32BF2">
        <w:rPr>
          <w:sz w:val="24"/>
          <w:lang w:val="hr-HR"/>
        </w:rPr>
        <w:t>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8651172">
    <w:abstractNumId w:val="9"/>
  </w:num>
  <w:num w:numId="2" w16cid:durableId="1078598323">
    <w:abstractNumId w:val="9"/>
  </w:num>
  <w:num w:numId="3" w16cid:durableId="1228227380">
    <w:abstractNumId w:val="7"/>
  </w:num>
  <w:num w:numId="4" w16cid:durableId="1351448617">
    <w:abstractNumId w:val="7"/>
  </w:num>
  <w:num w:numId="5" w16cid:durableId="1239052112">
    <w:abstractNumId w:val="6"/>
  </w:num>
  <w:num w:numId="6" w16cid:durableId="2146652614">
    <w:abstractNumId w:val="6"/>
  </w:num>
  <w:num w:numId="7" w16cid:durableId="2070616139">
    <w:abstractNumId w:val="5"/>
  </w:num>
  <w:num w:numId="8" w16cid:durableId="1163355416">
    <w:abstractNumId w:val="5"/>
  </w:num>
  <w:num w:numId="9" w16cid:durableId="877818304">
    <w:abstractNumId w:val="4"/>
  </w:num>
  <w:num w:numId="10" w16cid:durableId="1529638047">
    <w:abstractNumId w:val="4"/>
  </w:num>
  <w:num w:numId="11" w16cid:durableId="1646855370">
    <w:abstractNumId w:val="8"/>
  </w:num>
  <w:num w:numId="12" w16cid:durableId="1741440868">
    <w:abstractNumId w:val="8"/>
  </w:num>
  <w:num w:numId="13" w16cid:durableId="1087918905">
    <w:abstractNumId w:val="3"/>
  </w:num>
  <w:num w:numId="14" w16cid:durableId="1089696636">
    <w:abstractNumId w:val="3"/>
  </w:num>
  <w:num w:numId="15" w16cid:durableId="828717152">
    <w:abstractNumId w:val="2"/>
  </w:num>
  <w:num w:numId="16" w16cid:durableId="1302346712">
    <w:abstractNumId w:val="2"/>
  </w:num>
  <w:num w:numId="17" w16cid:durableId="945041041">
    <w:abstractNumId w:val="1"/>
  </w:num>
  <w:num w:numId="18" w16cid:durableId="1020817968">
    <w:abstractNumId w:val="1"/>
  </w:num>
  <w:num w:numId="19" w16cid:durableId="2096632268">
    <w:abstractNumId w:val="0"/>
  </w:num>
  <w:num w:numId="20" w16cid:durableId="830370804">
    <w:abstractNumId w:val="0"/>
  </w:num>
  <w:num w:numId="21" w16cid:durableId="924151877">
    <w:abstractNumId w:val="9"/>
  </w:num>
  <w:num w:numId="22" w16cid:durableId="379716078">
    <w:abstractNumId w:val="7"/>
  </w:num>
  <w:num w:numId="23" w16cid:durableId="307782815">
    <w:abstractNumId w:val="6"/>
  </w:num>
  <w:num w:numId="24" w16cid:durableId="2054815762">
    <w:abstractNumId w:val="5"/>
  </w:num>
  <w:num w:numId="25" w16cid:durableId="58982931">
    <w:abstractNumId w:val="4"/>
  </w:num>
  <w:num w:numId="26" w16cid:durableId="68969756">
    <w:abstractNumId w:val="8"/>
  </w:num>
  <w:num w:numId="27" w16cid:durableId="1006057721">
    <w:abstractNumId w:val="3"/>
  </w:num>
  <w:num w:numId="28" w16cid:durableId="201140663">
    <w:abstractNumId w:val="2"/>
  </w:num>
  <w:num w:numId="29" w16cid:durableId="759646334">
    <w:abstractNumId w:val="1"/>
  </w:num>
  <w:num w:numId="30" w16cid:durableId="314919230">
    <w:abstractNumId w:val="0"/>
  </w:num>
  <w:num w:numId="31" w16cid:durableId="341977927">
    <w:abstractNumId w:val="9"/>
  </w:num>
  <w:num w:numId="32" w16cid:durableId="2024621398">
    <w:abstractNumId w:val="7"/>
  </w:num>
  <w:num w:numId="33" w16cid:durableId="2011176523">
    <w:abstractNumId w:val="6"/>
  </w:num>
  <w:num w:numId="34" w16cid:durableId="69548030">
    <w:abstractNumId w:val="5"/>
  </w:num>
  <w:num w:numId="35" w16cid:durableId="1829401583">
    <w:abstractNumId w:val="4"/>
  </w:num>
  <w:num w:numId="36" w16cid:durableId="1461193171">
    <w:abstractNumId w:val="8"/>
  </w:num>
  <w:num w:numId="37" w16cid:durableId="1821072392">
    <w:abstractNumId w:val="3"/>
  </w:num>
  <w:num w:numId="38" w16cid:durableId="1151362066">
    <w:abstractNumId w:val="2"/>
  </w:num>
  <w:num w:numId="39" w16cid:durableId="692070386">
    <w:abstractNumId w:val="1"/>
  </w:num>
  <w:num w:numId="40" w16cid:durableId="1913465017">
    <w:abstractNumId w:val="0"/>
  </w:num>
  <w:num w:numId="41" w16cid:durableId="1982882664">
    <w:abstractNumId w:val="10"/>
  </w:num>
  <w:num w:numId="42" w16cid:durableId="576789583">
    <w:abstractNumId w:val="10"/>
  </w:num>
  <w:num w:numId="43" w16cid:durableId="1581913395">
    <w:abstractNumId w:val="10"/>
  </w:num>
  <w:num w:numId="44" w16cid:durableId="1706715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57/2026"/>
    <w:docVar w:name="dvlangue" w:val="HR"/>
    <w:docVar w:name="dvnumam" w:val="0"/>
    <w:docVar w:name="dvpe" w:val="782.012"/>
    <w:docVar w:name="dvtitre" w:val="Rezolucija Europskog parlamenta od .... 2026. o ubojstvu Mehdija Kessacija – hitna potreba za ambicioznim europskim djelovanjem protiv trgovine drogom(2025/3020(RSP))"/>
  </w:docVars>
  <w:rsids>
    <w:rsidRoot w:val="00794548"/>
    <w:rsid w:val="00002272"/>
    <w:rsid w:val="00064002"/>
    <w:rsid w:val="000677B9"/>
    <w:rsid w:val="00080A07"/>
    <w:rsid w:val="000831BA"/>
    <w:rsid w:val="000A42CC"/>
    <w:rsid w:val="000E7DD9"/>
    <w:rsid w:val="0010095E"/>
    <w:rsid w:val="00125B37"/>
    <w:rsid w:val="00187494"/>
    <w:rsid w:val="001F32AE"/>
    <w:rsid w:val="0022424C"/>
    <w:rsid w:val="002767FF"/>
    <w:rsid w:val="002B18FE"/>
    <w:rsid w:val="002B5493"/>
    <w:rsid w:val="002D41AD"/>
    <w:rsid w:val="003167DF"/>
    <w:rsid w:val="00343214"/>
    <w:rsid w:val="00361C00"/>
    <w:rsid w:val="00395FA1"/>
    <w:rsid w:val="003974D3"/>
    <w:rsid w:val="003E15D4"/>
    <w:rsid w:val="00411CCE"/>
    <w:rsid w:val="0041666E"/>
    <w:rsid w:val="00421060"/>
    <w:rsid w:val="004608A0"/>
    <w:rsid w:val="00471C19"/>
    <w:rsid w:val="004867E3"/>
    <w:rsid w:val="00494A28"/>
    <w:rsid w:val="004C0004"/>
    <w:rsid w:val="004C5D52"/>
    <w:rsid w:val="0050519A"/>
    <w:rsid w:val="005072A1"/>
    <w:rsid w:val="00514517"/>
    <w:rsid w:val="00515393"/>
    <w:rsid w:val="00545827"/>
    <w:rsid w:val="00560270"/>
    <w:rsid w:val="005670F4"/>
    <w:rsid w:val="005C2568"/>
    <w:rsid w:val="005F1B17"/>
    <w:rsid w:val="006037C0"/>
    <w:rsid w:val="00662AB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573"/>
    <w:rsid w:val="00786EC0"/>
    <w:rsid w:val="00794548"/>
    <w:rsid w:val="0079631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5CF"/>
    <w:rsid w:val="009C7636"/>
    <w:rsid w:val="00A1687D"/>
    <w:rsid w:val="00A43E52"/>
    <w:rsid w:val="00A4678D"/>
    <w:rsid w:val="00A778C7"/>
    <w:rsid w:val="00AB441E"/>
    <w:rsid w:val="00AB6293"/>
    <w:rsid w:val="00AE0928"/>
    <w:rsid w:val="00AE7400"/>
    <w:rsid w:val="00AF3B82"/>
    <w:rsid w:val="00B12E95"/>
    <w:rsid w:val="00B149C1"/>
    <w:rsid w:val="00B22876"/>
    <w:rsid w:val="00B558F0"/>
    <w:rsid w:val="00BD48FE"/>
    <w:rsid w:val="00BD7BD8"/>
    <w:rsid w:val="00BE6ADC"/>
    <w:rsid w:val="00C05BFE"/>
    <w:rsid w:val="00C23CD4"/>
    <w:rsid w:val="00C32BF2"/>
    <w:rsid w:val="00C61C0C"/>
    <w:rsid w:val="00C756F0"/>
    <w:rsid w:val="00C9255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390"/>
    <w:rsid w:val="00E365E1"/>
    <w:rsid w:val="00E820A4"/>
    <w:rsid w:val="00EA77AD"/>
    <w:rsid w:val="00EB006A"/>
    <w:rsid w:val="00EB4772"/>
    <w:rsid w:val="00ED169E"/>
    <w:rsid w:val="00ED4235"/>
    <w:rsid w:val="00ED61D1"/>
    <w:rsid w:val="00F04346"/>
    <w:rsid w:val="00F075DC"/>
    <w:rsid w:val="00F13A2E"/>
    <w:rsid w:val="00F13E62"/>
    <w:rsid w:val="00F149E9"/>
    <w:rsid w:val="00F5134D"/>
    <w:rsid w:val="00F56E1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2A486"/>
  <w15:chartTrackingRefBased/>
  <w15:docId w15:val="{AB0CEDF4-7C71-46B7-A752-11B0CF3B1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D61D1"/>
    <w:pPr>
      <w:spacing w:before="480" w:after="240"/>
    </w:pPr>
  </w:style>
  <w:style w:type="paragraph" w:customStyle="1" w:styleId="NormalHanging12a">
    <w:name w:val="NormalHanging12a"/>
    <w:basedOn w:val="Normal"/>
    <w:rsid w:val="00ED61D1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ED61D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13E6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C7636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2D4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40/oj" TargetMode="External"/><Relationship Id="rId2" Type="http://schemas.openxmlformats.org/officeDocument/2006/relationships/hyperlink" Target="http://data.europa.eu/eli/reg/2024/1624/oj" TargetMode="External"/><Relationship Id="rId1" Type="http://schemas.openxmlformats.org/officeDocument/2006/relationships/hyperlink" Target="http://data.europa.eu/eli/dir/2012/29/oj" TargetMode="External"/><Relationship Id="rId6" Type="http://schemas.openxmlformats.org/officeDocument/2006/relationships/hyperlink" Target="http://data.europa.eu/eli/dir/2024/1260/oj" TargetMode="External"/><Relationship Id="rId5" Type="http://schemas.openxmlformats.org/officeDocument/2006/relationships/hyperlink" Target="http://data.europa.eu/eli/dir/2006/126/oj" TargetMode="External"/><Relationship Id="rId4" Type="http://schemas.openxmlformats.org/officeDocument/2006/relationships/hyperlink" Target="http://data.europa.eu/eli/dir/2024/17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3631</Words>
  <Characters>21789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2026-04-16T10:35:00Z</dcterms:created>
  <dcterms:modified xsi:type="dcterms:W3CDTF">2026-04-16T10:35:00Z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P10_TA(2026)0007_</vt:lpwstr>
  </property>
  <property fmtid="{D5CDD505-2E9C-101B-9397-08002B2CF9AE}" pid="4" name="&lt;Type&gt;">
    <vt:lpwstr>RR</vt:lpwstr>
  </property>
</Properties>
</file>