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1CEE" w14:paraId="4FD9B1F7" w14:textId="77777777" w:rsidTr="0010095E">
        <w:trPr>
          <w:trHeight w:hRule="exact" w:val="1418"/>
        </w:trPr>
        <w:tc>
          <w:tcPr>
            <w:tcW w:w="6804" w:type="dxa"/>
            <w:shd w:val="clear" w:color="auto" w:fill="auto"/>
            <w:vAlign w:val="center"/>
          </w:tcPr>
          <w:p w14:paraId="4F7F192B" w14:textId="77777777" w:rsidR="00751A4A" w:rsidRPr="00DC1CEE" w:rsidRDefault="002D4888" w:rsidP="0010095E">
            <w:pPr>
              <w:pStyle w:val="EPName"/>
            </w:pPr>
            <w:r w:rsidRPr="00DC1CEE">
              <w:t>Európai Parlament</w:t>
            </w:r>
          </w:p>
          <w:p w14:paraId="59F569C0" w14:textId="77777777" w:rsidR="00751A4A" w:rsidRPr="00DC1CEE" w:rsidRDefault="005F1B17" w:rsidP="005F1B17">
            <w:pPr>
              <w:pStyle w:val="EPTerm"/>
              <w:rPr>
                <w:rStyle w:val="HideTWBExt"/>
                <w:noProof w:val="0"/>
                <w:vanish w:val="0"/>
                <w:color w:val="auto"/>
              </w:rPr>
            </w:pPr>
            <w:r w:rsidRPr="00DC1CEE">
              <w:t>2024</w:t>
            </w:r>
            <w:r w:rsidR="00817416" w:rsidRPr="00DC1CEE">
              <w:t>-202</w:t>
            </w:r>
            <w:r w:rsidRPr="00DC1CEE">
              <w:t>9</w:t>
            </w:r>
          </w:p>
        </w:tc>
        <w:tc>
          <w:tcPr>
            <w:tcW w:w="2268" w:type="dxa"/>
            <w:shd w:val="clear" w:color="auto" w:fill="auto"/>
          </w:tcPr>
          <w:p w14:paraId="36E6D081" w14:textId="77777777" w:rsidR="00751A4A" w:rsidRPr="00DC1CEE" w:rsidRDefault="00187494" w:rsidP="0010095E">
            <w:pPr>
              <w:pStyle w:val="EPLogo"/>
            </w:pPr>
            <w:r w:rsidRPr="00DC1CEE">
              <w:rPr>
                <w:noProof/>
                <w:lang w:eastAsia="ja-JP"/>
              </w:rPr>
              <w:drawing>
                <wp:inline distT="0" distB="0" distL="0" distR="0" wp14:anchorId="7BE8B0C5" wp14:editId="28D26D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8D270C" w14:textId="77777777" w:rsidR="00D058B8" w:rsidRPr="00DC1CEE" w:rsidRDefault="00D058B8" w:rsidP="004C5D52">
      <w:pPr>
        <w:pStyle w:val="LineTop"/>
      </w:pPr>
    </w:p>
    <w:p w14:paraId="5B1FDACA" w14:textId="77777777" w:rsidR="00680577" w:rsidRPr="00DC1CEE" w:rsidRDefault="002D4888" w:rsidP="00680577">
      <w:pPr>
        <w:pStyle w:val="EPBodyTA1"/>
      </w:pPr>
      <w:r w:rsidRPr="00DC1CEE">
        <w:t>ELFOGADOTT SZÖVEGEK</w:t>
      </w:r>
    </w:p>
    <w:p w14:paraId="701952B8" w14:textId="77777777" w:rsidR="00D058B8" w:rsidRPr="00DC1CEE" w:rsidRDefault="00D058B8" w:rsidP="00D058B8">
      <w:pPr>
        <w:pStyle w:val="LineBottom"/>
      </w:pPr>
    </w:p>
    <w:p w14:paraId="168746CC" w14:textId="70865D20" w:rsidR="002D4888" w:rsidRPr="00DC1CEE" w:rsidRDefault="002D4888" w:rsidP="002D4888">
      <w:pPr>
        <w:pStyle w:val="ATHeading1"/>
      </w:pPr>
      <w:bookmarkStart w:id="0" w:name="TANumber"/>
      <w:r w:rsidRPr="00DC1CEE">
        <w:t>P10_</w:t>
      </w:r>
      <w:proofErr w:type="gramStart"/>
      <w:r w:rsidRPr="00DC1CEE">
        <w:t>TA(</w:t>
      </w:r>
      <w:proofErr w:type="gramEnd"/>
      <w:r w:rsidRPr="00DC1CEE">
        <w:t>2026)000</w:t>
      </w:r>
      <w:r w:rsidR="00DC1CEE">
        <w:t>7</w:t>
      </w:r>
      <w:bookmarkEnd w:id="0"/>
    </w:p>
    <w:p w14:paraId="5EB3AD97" w14:textId="77777777" w:rsidR="002D4888" w:rsidRPr="00DC1CEE" w:rsidRDefault="002D4888" w:rsidP="002D4888">
      <w:pPr>
        <w:pStyle w:val="ATHeading2"/>
      </w:pPr>
      <w:bookmarkStart w:id="1" w:name="title"/>
      <w:r w:rsidRPr="00DC1CEE">
        <w:t>Mehdi Kessaci meggyilkolása – a kábítószer-kereskedelem elleni ambiciózus európai fellépés szükségessége</w:t>
      </w:r>
      <w:bookmarkEnd w:id="1"/>
    </w:p>
    <w:p w14:paraId="2E175D83" w14:textId="77777777" w:rsidR="002D4888" w:rsidRPr="00DC1CEE" w:rsidRDefault="002D4888" w:rsidP="002D4888">
      <w:pPr>
        <w:rPr>
          <w:i/>
          <w:vanish/>
        </w:rPr>
      </w:pPr>
      <w:r w:rsidRPr="00DC1CEE">
        <w:rPr>
          <w:i/>
        </w:rPr>
        <w:fldChar w:fldCharType="begin"/>
      </w:r>
      <w:r w:rsidRPr="00DC1CEE">
        <w:rPr>
          <w:i/>
        </w:rPr>
        <w:instrText xml:space="preserve"> TC"(</w:instrText>
      </w:r>
      <w:bookmarkStart w:id="2" w:name="DocNumber"/>
      <w:r w:rsidRPr="00DC1CEE">
        <w:rPr>
          <w:i/>
        </w:rPr>
        <w:instrText>B10-0057/2026</w:instrText>
      </w:r>
      <w:bookmarkEnd w:id="2"/>
      <w:r w:rsidRPr="00DC1CEE">
        <w:rPr>
          <w:i/>
        </w:rPr>
        <w:instrText xml:space="preserve">)"\l3 \n&gt; \* MERGEFORMAT </w:instrText>
      </w:r>
      <w:r w:rsidRPr="00DC1CEE">
        <w:rPr>
          <w:i/>
        </w:rPr>
        <w:fldChar w:fldCharType="end"/>
      </w:r>
    </w:p>
    <w:p w14:paraId="516B3465" w14:textId="77777777" w:rsidR="002D4888" w:rsidRPr="00DC1CEE" w:rsidRDefault="002D4888" w:rsidP="002D4888">
      <w:pPr>
        <w:rPr>
          <w:vanish/>
        </w:rPr>
      </w:pPr>
      <w:bookmarkStart w:id="3" w:name="PE"/>
      <w:r w:rsidRPr="00DC1CEE">
        <w:rPr>
          <w:vanish/>
        </w:rPr>
        <w:t>PE782.012</w:t>
      </w:r>
      <w:bookmarkEnd w:id="3"/>
    </w:p>
    <w:p w14:paraId="18C5DD50" w14:textId="7D0CB80C" w:rsidR="002D4888" w:rsidRPr="00DC1CEE" w:rsidRDefault="002D4888" w:rsidP="002D4888">
      <w:pPr>
        <w:pStyle w:val="ATHeading3"/>
      </w:pPr>
      <w:bookmarkStart w:id="4" w:name="Sujet"/>
      <w:r w:rsidRPr="00DC1CEE">
        <w:t xml:space="preserve">Az Európai Parlament 2026. </w:t>
      </w:r>
      <w:r w:rsidR="00CF3A25" w:rsidRPr="00DC1CEE">
        <w:t>január</w:t>
      </w:r>
      <w:r w:rsidRPr="00DC1CEE">
        <w:t xml:space="preserve"> </w:t>
      </w:r>
      <w:r w:rsidR="00CF3A25" w:rsidRPr="00DC1CEE">
        <w:t>20-</w:t>
      </w:r>
      <w:r w:rsidRPr="00DC1CEE">
        <w:t>i állásfoglalása Mehdi Kessaci meggyilkolásáról és a kábítószer-kereskedelem elleni ambiciózus európai fellépés szükségességéről</w:t>
      </w:r>
      <w:bookmarkEnd w:id="4"/>
      <w:r w:rsidRPr="00DC1CEE">
        <w:t xml:space="preserve"> </w:t>
      </w:r>
      <w:bookmarkStart w:id="5" w:name="References"/>
      <w:r w:rsidRPr="00DC1CEE">
        <w:t>(2025/3020(RSP))</w:t>
      </w:r>
      <w:bookmarkEnd w:id="5"/>
    </w:p>
    <w:p w14:paraId="0CFDA232" w14:textId="77777777" w:rsidR="006A14C7" w:rsidRPr="00DC1CEE" w:rsidRDefault="006A14C7" w:rsidP="006A14C7">
      <w:pPr>
        <w:pStyle w:val="EPComma"/>
      </w:pPr>
      <w:bookmarkStart w:id="6" w:name="TextBodyBegin"/>
      <w:bookmarkEnd w:id="6"/>
      <w:r w:rsidRPr="00DC1CEE">
        <w:rPr>
          <w:i/>
          <w:iCs/>
        </w:rPr>
        <w:t>Az Európai Parlament,</w:t>
      </w:r>
    </w:p>
    <w:p w14:paraId="79440BF0" w14:textId="77777777" w:rsidR="006A14C7" w:rsidRPr="00DC1CEE" w:rsidRDefault="006A14C7" w:rsidP="00CF3A25">
      <w:pPr>
        <w:pStyle w:val="NormalHanging12a"/>
        <w:widowControl/>
      </w:pPr>
      <w:r w:rsidRPr="00DC1CEE">
        <w:t>–</w:t>
      </w:r>
      <w:r w:rsidRPr="00DC1CEE">
        <w:tab/>
        <w:t>tekintettel az Európai Unióról szóló szerződésre (EUSZ) és az Európai Unió működéséről szóló szerződésre (EUMSZ), különösen azoknak a szabadságon, a biztonságon és a jog érvényesülésén alapuló térségre vonatkozó rendelkezéseire,</w:t>
      </w:r>
    </w:p>
    <w:p w14:paraId="428AE3BC" w14:textId="77777777" w:rsidR="006A14C7" w:rsidRPr="00DC1CEE" w:rsidRDefault="006A14C7" w:rsidP="00CF3A25">
      <w:pPr>
        <w:pStyle w:val="NormalHanging12a"/>
        <w:widowControl/>
        <w:rPr>
          <w:szCs w:val="24"/>
        </w:rPr>
      </w:pPr>
      <w:r w:rsidRPr="00DC1CEE">
        <w:t>–</w:t>
      </w:r>
      <w:r w:rsidRPr="00DC1CEE">
        <w:tab/>
        <w:t>tekintettel az Európai Unió Alapjogi Chartájára, különösen annak az emberi méltóságról, az élethez való jogról, a véleménynyilvánítás szabadságáról, az áldozatok jogairól és a személyes adatok védelméről szóló cikkeire,</w:t>
      </w:r>
    </w:p>
    <w:p w14:paraId="654F6C5A" w14:textId="77777777" w:rsidR="006A14C7" w:rsidRPr="00DC1CEE" w:rsidRDefault="006A14C7" w:rsidP="00CF3A25">
      <w:pPr>
        <w:pStyle w:val="NormalHanging12a"/>
        <w:widowControl/>
      </w:pPr>
      <w:r w:rsidRPr="00DC1CEE">
        <w:t>–</w:t>
      </w:r>
      <w:r w:rsidRPr="00DC1CEE">
        <w:tab/>
        <w:t>tekintettel az EU kábítószer-stratégiáira és annak a 2026–2030-as időszakra szóló, a kábítószer-kereskedelem elleni uniós cselekvési tervvel együtt közzétett legutóbbi változatára,</w:t>
      </w:r>
    </w:p>
    <w:p w14:paraId="32FC965B" w14:textId="77777777" w:rsidR="006A14C7" w:rsidRPr="00DC1CEE" w:rsidRDefault="006A14C7" w:rsidP="00CF3A25">
      <w:pPr>
        <w:pStyle w:val="NormalHanging12a"/>
        <w:widowControl/>
      </w:pPr>
      <w:r w:rsidRPr="00DC1CEE">
        <w:t>–</w:t>
      </w:r>
      <w:r w:rsidRPr="00DC1CEE">
        <w:tab/>
        <w:t>tekintettel a Tanács kábítószerekkel foglalkozó horizontális csoportjának munkájára, amelyet 1997-ben hoztak létre a kábítószerekkel kapcsolatos uniós fellépés koordinálására,</w:t>
      </w:r>
    </w:p>
    <w:p w14:paraId="1F20FCD9" w14:textId="77777777" w:rsidR="006A14C7" w:rsidRPr="00DC1CEE" w:rsidRDefault="006A14C7" w:rsidP="00CF3A25">
      <w:pPr>
        <w:pStyle w:val="NormalHanging12a"/>
        <w:widowControl/>
      </w:pPr>
      <w:r w:rsidRPr="00DC1CEE">
        <w:t>–</w:t>
      </w:r>
      <w:r w:rsidRPr="00DC1CEE">
        <w:tab/>
        <w:t>tekintettel az Európai Unió Kábítószer-ügynökségének (EUDA) jelentéseire és elemzéseire, különösen a 2025. évi európai kábítószer-jelentésre,</w:t>
      </w:r>
    </w:p>
    <w:p w14:paraId="4F90D7DD" w14:textId="77777777" w:rsidR="006A14C7" w:rsidRPr="00DC1CEE" w:rsidRDefault="006A14C7" w:rsidP="00CF3A25">
      <w:pPr>
        <w:pStyle w:val="NormalHanging12a"/>
        <w:widowControl/>
      </w:pPr>
      <w:r w:rsidRPr="00DC1CEE">
        <w:t>–</w:t>
      </w:r>
      <w:r w:rsidRPr="00DC1CEE">
        <w:tab/>
        <w:t>tekintettel a több mint 40 országot tömörítő Európai Kábítószer-ellenes Koalíció elindítására, amelynek célja a kábítószer-kereskedelem elleni nemzetközi együttműködés megerősítése,</w:t>
      </w:r>
    </w:p>
    <w:p w14:paraId="02B61A9F" w14:textId="77777777" w:rsidR="006A14C7" w:rsidRPr="00DC1CEE" w:rsidRDefault="006A14C7" w:rsidP="00CF3A25">
      <w:pPr>
        <w:pStyle w:val="NormalHanging12a"/>
        <w:widowControl/>
      </w:pPr>
      <w:r w:rsidRPr="00DC1CEE">
        <w:t>–</w:t>
      </w:r>
      <w:r w:rsidRPr="00DC1CEE">
        <w:tab/>
        <w:t>tekintettel az Európa Tanács Pompidou-csoportjának a kábítószerekkel és a megelőzési politikákkal kapcsolatos munkájára,</w:t>
      </w:r>
    </w:p>
    <w:p w14:paraId="1F27F75E" w14:textId="77777777" w:rsidR="006A14C7" w:rsidRPr="00DC1CEE" w:rsidRDefault="006A14C7" w:rsidP="00CF3A25">
      <w:pPr>
        <w:pStyle w:val="NormalHanging12a"/>
        <w:widowControl/>
      </w:pPr>
      <w:r w:rsidRPr="00DC1CEE">
        <w:lastRenderedPageBreak/>
        <w:t>–</w:t>
      </w:r>
      <w:r w:rsidRPr="00DC1CEE">
        <w:tab/>
        <w:t>tekintettel a kábítószerek és a pszichotrop anyagok tiltott forgalmazása elleni 1988. évi ENSZ-egyezményre és az ENSZ Kábítószer- és Bűnügyi Hivatalának (UNODC) munkájára,</w:t>
      </w:r>
    </w:p>
    <w:p w14:paraId="5B498E11" w14:textId="77777777" w:rsidR="006A14C7" w:rsidRPr="00DC1CEE" w:rsidRDefault="006A14C7" w:rsidP="00CF3A25">
      <w:pPr>
        <w:pStyle w:val="NormalHanging12a"/>
        <w:widowControl/>
      </w:pPr>
      <w:r w:rsidRPr="00DC1CEE">
        <w:t>–</w:t>
      </w:r>
      <w:r w:rsidRPr="00DC1CEE">
        <w:tab/>
        <w:t>tekintettel a nemzetközi szervezett bűnözés elleni, 2000-ben Palermóban aláírt ENSZ-egyezményre és annak jegyzőkönyveire, valamint az ENSZ korrupció elleni egyezményére,</w:t>
      </w:r>
    </w:p>
    <w:p w14:paraId="2FDC0682" w14:textId="77777777" w:rsidR="006A14C7" w:rsidRPr="00DC1CEE" w:rsidRDefault="006A14C7" w:rsidP="00CF3A25">
      <w:pPr>
        <w:pStyle w:val="NormalHanging12a"/>
        <w:widowControl/>
      </w:pPr>
      <w:r w:rsidRPr="00DC1CEE">
        <w:t>–</w:t>
      </w:r>
      <w:r w:rsidRPr="00DC1CEE">
        <w:tab/>
        <w:t>tekintettel az európai és nemzetközi szervek által a pénzmosás és a szervezett bűnözés finanszírozásának megelőzése és leküzdése érdekében hozott különböző intézkedésekre,</w:t>
      </w:r>
    </w:p>
    <w:p w14:paraId="26F26505" w14:textId="2D5ECC7A" w:rsidR="006A14C7" w:rsidRPr="00DC1CEE" w:rsidRDefault="006A14C7" w:rsidP="00CF3A25">
      <w:pPr>
        <w:pStyle w:val="NormalHanging12a"/>
        <w:widowControl/>
      </w:pPr>
      <w:r w:rsidRPr="00DC1CEE">
        <w:t>–</w:t>
      </w:r>
      <w:r w:rsidRPr="00DC1CEE">
        <w:tab/>
        <w:t>tekintettel a bűncselekmények áldozatainak jogaira, támogatására és védelmére vonatkozó minimumszabályok megállapításáról szóló</w:t>
      </w:r>
      <w:r w:rsidR="00CF3A25" w:rsidRPr="00DC1CEE">
        <w:t>,</w:t>
      </w:r>
      <w:r w:rsidRPr="00DC1CEE">
        <w:t xml:space="preserve"> 2012. október 25-i 2012/29/EU európai parlamenti és tanácsi irányelvre</w:t>
      </w:r>
      <w:r w:rsidRPr="00DC1CEE">
        <w:rPr>
          <w:rStyle w:val="FootnoteReference"/>
          <w:rFonts w:eastAsia="Arial"/>
        </w:rPr>
        <w:footnoteReference w:id="1"/>
      </w:r>
      <w:r w:rsidRPr="00DC1CEE">
        <w:t>,</w:t>
      </w:r>
    </w:p>
    <w:p w14:paraId="3C1A48B5" w14:textId="77777777" w:rsidR="006A14C7" w:rsidRPr="00DC1CEE" w:rsidRDefault="006A14C7" w:rsidP="00CF3A25">
      <w:pPr>
        <w:pStyle w:val="NormalHanging12a"/>
        <w:widowControl/>
      </w:pPr>
      <w:r w:rsidRPr="00DC1CEE">
        <w:t>–</w:t>
      </w:r>
      <w:r w:rsidRPr="00DC1CEE">
        <w:tab/>
        <w:t>tekintettel a gyermek jogairól szóló egyezményre, amelyet 1989. november 20-án fogadott el az ENSZ Közgyűlése,</w:t>
      </w:r>
    </w:p>
    <w:p w14:paraId="57642411" w14:textId="77777777" w:rsidR="006A14C7" w:rsidRPr="00DC1CEE" w:rsidRDefault="006A14C7" w:rsidP="00CF3A25">
      <w:pPr>
        <w:pStyle w:val="NormalHanging12a"/>
        <w:widowControl/>
      </w:pPr>
      <w:r w:rsidRPr="00DC1CEE">
        <w:t>–</w:t>
      </w:r>
      <w:r w:rsidRPr="00DC1CEE">
        <w:tab/>
        <w:t>tekintettel az Európai Parlament 2013. június 11-i állásfoglalására a szervezett bűnözés, a korrupció és a pénzmosás problémájáról</w:t>
      </w:r>
      <w:r w:rsidRPr="00DC1CEE">
        <w:rPr>
          <w:rStyle w:val="FootnoteReference"/>
          <w:rFonts w:eastAsia="Arial"/>
        </w:rPr>
        <w:footnoteReference w:id="2"/>
      </w:r>
      <w:r w:rsidRPr="00DC1CEE">
        <w:t>:</w:t>
      </w:r>
    </w:p>
    <w:p w14:paraId="37C871A0" w14:textId="77777777" w:rsidR="006A14C7" w:rsidRPr="00DC1CEE" w:rsidRDefault="006A14C7" w:rsidP="00CF3A25">
      <w:pPr>
        <w:pStyle w:val="NormalHanging12a"/>
        <w:widowControl/>
      </w:pPr>
      <w:r w:rsidRPr="00DC1CEE">
        <w:t>–</w:t>
      </w:r>
      <w:r w:rsidRPr="00DC1CEE">
        <w:tab/>
        <w:t>tekintettel az európai szervek, különösen az EUDA, az Europol és az Eurojust kábítószer-kereskedelem elleni küzdelemben való részvételére,</w:t>
      </w:r>
    </w:p>
    <w:p w14:paraId="1FBBCB9D" w14:textId="782DB255" w:rsidR="006A14C7" w:rsidRPr="00DC1CEE" w:rsidRDefault="006A14C7" w:rsidP="00CF3A25">
      <w:pPr>
        <w:pStyle w:val="NormalHanging12a"/>
        <w:widowControl/>
      </w:pPr>
      <w:r w:rsidRPr="00DC1CEE">
        <w:t>–</w:t>
      </w:r>
      <w:r w:rsidRPr="00DC1CEE">
        <w:tab/>
        <w:t>tekintettel a pénzmosás és a terrorizmusfinanszírozás elleni küzdelemről szóló</w:t>
      </w:r>
      <w:r w:rsidR="00CF3A25" w:rsidRPr="00DC1CEE">
        <w:t>,</w:t>
      </w:r>
      <w:r w:rsidRPr="00DC1CEE">
        <w:t xml:space="preserve"> 2024. évi uniós jogalkotási csomagra, amely tartalmazza az (EU) 2024/1624 rendeletet</w:t>
      </w:r>
      <w:r w:rsidRPr="00DC1CEE">
        <w:rPr>
          <w:rStyle w:val="FootnoteReference"/>
          <w:rFonts w:eastAsia="Arial"/>
        </w:rPr>
        <w:footnoteReference w:id="3"/>
      </w:r>
      <w:r w:rsidRPr="00DC1CEE">
        <w:t xml:space="preserve"> és az (EU) 2024/1640 irányelvet</w:t>
      </w:r>
      <w:r w:rsidRPr="00DC1CEE">
        <w:rPr>
          <w:rStyle w:val="FootnoteReference"/>
          <w:rFonts w:eastAsia="Arial"/>
        </w:rPr>
        <w:footnoteReference w:id="4"/>
      </w:r>
      <w:r w:rsidRPr="00DC1CEE">
        <w:t>, valamint létrehozta a Pénzmosás Elleni Hatóságot (AMLA),</w:t>
      </w:r>
    </w:p>
    <w:p w14:paraId="027EFA44" w14:textId="55D1BB36" w:rsidR="006A14C7" w:rsidRPr="00DC1CEE" w:rsidRDefault="006A14C7" w:rsidP="00CF3A25">
      <w:pPr>
        <w:pStyle w:val="NormalHanging12a"/>
        <w:widowControl/>
      </w:pPr>
      <w:r w:rsidRPr="00DC1CEE">
        <w:t>–</w:t>
      </w:r>
      <w:r w:rsidRPr="00DC1CEE">
        <w:tab/>
        <w:t>tekintettel az emberkereskedelem megelőzéséről és az ellene folytatott küzdelemről, valamint az áldozatok védelméről szóló 2011/36/EU irányelv módosításáról szóló</w:t>
      </w:r>
      <w:r w:rsidR="00CF3A25" w:rsidRPr="00DC1CEE">
        <w:t>,</w:t>
      </w:r>
      <w:r w:rsidRPr="00DC1CEE">
        <w:t xml:space="preserve"> 2024. június 13-i (EU) 2024/1712 európai parlamenti és tanácsi irányelvre</w:t>
      </w:r>
      <w:r w:rsidRPr="00DC1CEE">
        <w:rPr>
          <w:rStyle w:val="FootnoteReference"/>
          <w:rFonts w:eastAsia="Arial"/>
        </w:rPr>
        <w:footnoteReference w:id="5"/>
      </w:r>
      <w:r w:rsidRPr="00DC1CEE">
        <w:t>;</w:t>
      </w:r>
    </w:p>
    <w:p w14:paraId="5C53A6F8" w14:textId="77777777" w:rsidR="006A14C7" w:rsidRPr="00DC1CEE" w:rsidRDefault="006A14C7" w:rsidP="00CF3A25">
      <w:pPr>
        <w:pStyle w:val="NormalHanging12a"/>
        <w:widowControl/>
      </w:pPr>
      <w:r w:rsidRPr="00DC1CEE">
        <w:t>–</w:t>
      </w:r>
      <w:r w:rsidRPr="00DC1CEE">
        <w:tab/>
        <w:t>tekintettel a kábítószerekkel foglalkozó civil társadalmi fórum és ifjúsági szárnya munkájára,</w:t>
      </w:r>
    </w:p>
    <w:p w14:paraId="10394EA4" w14:textId="77777777" w:rsidR="006A14C7" w:rsidRPr="00DC1CEE" w:rsidRDefault="006A14C7" w:rsidP="00CF3A25">
      <w:pPr>
        <w:pStyle w:val="NormalHanging12a"/>
        <w:widowControl/>
      </w:pPr>
      <w:r w:rsidRPr="00DC1CEE">
        <w:t>–</w:t>
      </w:r>
      <w:r w:rsidRPr="00DC1CEE">
        <w:tab/>
        <w:t>tekintettel a legkülső régiók különösen kritikus helyzetére,</w:t>
      </w:r>
    </w:p>
    <w:p w14:paraId="018AAC32" w14:textId="77777777" w:rsidR="006A14C7" w:rsidRPr="00DC1CEE" w:rsidRDefault="006A14C7" w:rsidP="00CF3A25">
      <w:pPr>
        <w:pStyle w:val="NormalHanging12a"/>
        <w:widowControl/>
      </w:pPr>
      <w:r w:rsidRPr="00DC1CEE">
        <w:t>–</w:t>
      </w:r>
      <w:r w:rsidRPr="00DC1CEE">
        <w:tab/>
        <w:t>tekintettel Amine Kessaci kábítószer-ellenes aktivista „Marseille, essuie tes larmes” (Marseille, töröld le a könnyeidet!) című kiadványára, valamint a kábítószer-kereskedelemmel szembeni fellépést és össztársadalmi ellenállást szorgalmazó felhívásaira,</w:t>
      </w:r>
    </w:p>
    <w:p w14:paraId="3FFC99A2" w14:textId="77777777" w:rsidR="006A14C7" w:rsidRPr="00DC1CEE" w:rsidRDefault="006A14C7" w:rsidP="00CF3A25">
      <w:pPr>
        <w:pStyle w:val="NormalHanging12a"/>
        <w:widowControl/>
      </w:pPr>
      <w:r w:rsidRPr="00DC1CEE">
        <w:t>–</w:t>
      </w:r>
      <w:r w:rsidRPr="00DC1CEE">
        <w:tab/>
        <w:t>tekintettel eljárási szabályzata 136. cikkének (2) bekezdésére,</w:t>
      </w:r>
    </w:p>
    <w:p w14:paraId="589EC0C8" w14:textId="77777777" w:rsidR="006A14C7" w:rsidRPr="00DC1CEE" w:rsidRDefault="006A14C7" w:rsidP="00CF3A25">
      <w:pPr>
        <w:pStyle w:val="NormalHanging12a"/>
        <w:widowControl/>
      </w:pPr>
      <w:r w:rsidRPr="00DC1CEE">
        <w:lastRenderedPageBreak/>
        <w:t>A.</w:t>
      </w:r>
      <w:r w:rsidRPr="00DC1CEE">
        <w:tab/>
        <w:t>mivel 2025. november 13-án Marseille-ben, a kábítószer-kereskedelemhez kapcsolódó erőszakcselekmények egyikeként fényes nappal a nyílt utcán meggyilkolták a 20 éves, francia állampolgárságú Mehdi Kessacit, akinek korábban nem volt dolga a rendőrséggel, sőt maga is jelentkezett rendfenntartónak, ami jól szemlélteti a bűnözői hálózatok növekvő brutalitását és az ilyen erőszak által a családokra és a helyi közösségekre gyakorolt közvetlen következményeket;</w:t>
      </w:r>
    </w:p>
    <w:p w14:paraId="5D56914C" w14:textId="77777777" w:rsidR="006A14C7" w:rsidRPr="00DC1CEE" w:rsidRDefault="006A14C7" w:rsidP="00CF3A25">
      <w:pPr>
        <w:pStyle w:val="NormalHanging12a"/>
        <w:widowControl/>
      </w:pPr>
      <w:r w:rsidRPr="00DC1CEE">
        <w:t>B.</w:t>
      </w:r>
      <w:r w:rsidRPr="00DC1CEE">
        <w:tab/>
        <w:t>mivel Mehdi Kessaci Amine Kessaci kábítószer-ellenes aktivista testvére volt, aki a polgárok szervezett bűnözés elleni mozgósításának egyik kezdeményezője és elismert alakja; mivel minden bizonnyal e családi kapcsolat miatt gyilkolták meg; mivel ez a gyilkosság közvetlen támadást jelent a véleménynyilvánítás szabadsága ellen, és a gyanú szerint a szervezett maffiahálózatok gyakorlatára emlékeztető megfélemlítési módszerről van szó; mivel ez a bűncselekmény országos tiltakozáshoz vezetett, amelyben 10 000 ember vett részt országszerte Amine Kessaci és családja támogatása, valamint a demokrácia, a véleménynyilvánítás szabadsága és a jogállamiság kábítószer-kereskedelemmel szembeni védelme érdekében;</w:t>
      </w:r>
    </w:p>
    <w:p w14:paraId="5D10E5E0" w14:textId="77777777" w:rsidR="006A14C7" w:rsidRPr="00DC1CEE" w:rsidRDefault="006A14C7" w:rsidP="00CF3A25">
      <w:pPr>
        <w:pStyle w:val="NormalHanging12a"/>
        <w:widowControl/>
      </w:pPr>
      <w:r w:rsidRPr="00DC1CEE">
        <w:t>C.</w:t>
      </w:r>
      <w:r w:rsidRPr="00DC1CEE">
        <w:tab/>
        <w:t>mivel ez a gyilkosság egy kábítószerrel kapcsolatos erőszaksorozat része Marseille-ben, amely 2024-ben 24, 2023-ban pedig 49 emberéletet követelt, akik között egyre több a kiskorú és az ártatlan áldozat; mivel ez a veszély számos európai várost érint, és veszélyezteti a társadalmi kohéziót, a polgárok egészségét és biztonságát, valamint a jogállamiságot; mivel a legkülső régiókban különösen kritikus a helyzet, és 2025-ben csak Guadeloupe és Martinique területén közel 90 kábítószerrel kapcsolatos gyilkosságot regisztráltak;</w:t>
      </w:r>
    </w:p>
    <w:p w14:paraId="6C4FB756" w14:textId="4A414BBE" w:rsidR="006A14C7" w:rsidRPr="00DC1CEE" w:rsidRDefault="00CF3A25" w:rsidP="00CF3A25">
      <w:pPr>
        <w:pStyle w:val="NormalHanging12a"/>
        <w:widowControl/>
      </w:pPr>
      <w:r w:rsidRPr="00DC1CEE">
        <w:t>D</w:t>
      </w:r>
      <w:r w:rsidR="006A14C7" w:rsidRPr="00DC1CEE">
        <w:t>.</w:t>
      </w:r>
      <w:r w:rsidR="006A14C7" w:rsidRPr="00DC1CEE">
        <w:tab/>
        <w:t>mivel a kábítószer-kereskedelem az EU belső biztonságát fenyegető egyik legsúlyosabb veszély, amely táplálja a szervezett bűnözést, az erőszakot és a korrupciót, és mivel az Europol szerint Európa legnagyobb fenyegetést jelentő bűnözői hálózatainak közel 50%-a részt vesz a kábítószer-kereskedelemben, és több mint egyharmaduk kizárólag ezzel foglalkozik;</w:t>
      </w:r>
    </w:p>
    <w:p w14:paraId="49394CD6" w14:textId="460389D8" w:rsidR="006A14C7" w:rsidRPr="00DC1CEE" w:rsidRDefault="00CF3A25" w:rsidP="00CF3A25">
      <w:pPr>
        <w:pStyle w:val="NormalHanging12a"/>
        <w:widowControl/>
      </w:pPr>
      <w:r w:rsidRPr="00DC1CEE">
        <w:t>E</w:t>
      </w:r>
      <w:r w:rsidR="006A14C7" w:rsidRPr="00DC1CEE">
        <w:t>.</w:t>
      </w:r>
      <w:r w:rsidR="006A14C7" w:rsidRPr="00DC1CEE">
        <w:tab/>
        <w:t>mivel az elmúlt években Európában fokozódott a kábítószer-kereskedelemhez kapcsolódó erőszak, és a szervezett bűnözői csoportok egyre gyakrabban használnak tűzfegyvereket, és mivel Európában a tűzfegyverek lefoglalásának átlagosan 28%-a kapcsolódik kábítószer-kereskedelemhez, ami jól szemlélteti a kábítószer-kereskedelem és a közbiztonságot fenyegető súlyos veszélyek közötti közvetlen kapcsolatot;</w:t>
      </w:r>
    </w:p>
    <w:p w14:paraId="36458B7A" w14:textId="10CC0ACC" w:rsidR="006A14C7" w:rsidRPr="00DC1CEE" w:rsidRDefault="00CF3A25" w:rsidP="00CF3A25">
      <w:pPr>
        <w:pStyle w:val="NormalHanging12a"/>
        <w:widowControl/>
      </w:pPr>
      <w:r w:rsidRPr="00DC1CEE">
        <w:t>F</w:t>
      </w:r>
      <w:r w:rsidR="006A14C7" w:rsidRPr="00DC1CEE">
        <w:t>.</w:t>
      </w:r>
      <w:r w:rsidR="006A14C7" w:rsidRPr="00DC1CEE">
        <w:tab/>
        <w:t>mivel a kábítószer-termelés, -kereskedelem és -fogyasztás gyorsan növekszik, és korábban nem látott szintet ért el az EU-ban; mivel az EUDA szerint 2023-ban 752 tonna kannabiszt és 419 tonna kokaint foglaltak le az EU-ban, és 2,7 millió 15–34 éves fiatal felnőtt számolt be arról, hogy az elmúlt évben fogyasztott ilyen kábítószert; mivel az EU-ban évente közel 500 szintetikus kábítószerekkel foglalkozó laboratóriumot számolnak fel, és 2023-ban közel 7500 ember halt meg kábítószer-fogyasztás miatt; mivel ezek a fejlemények egy minden területet, generációt és társadalmi csoportot érintő, széles körben elterjedt jelenséget tükröznek;</w:t>
      </w:r>
    </w:p>
    <w:p w14:paraId="2504AA14" w14:textId="7EC6FA17" w:rsidR="006A14C7" w:rsidRPr="00DC1CEE" w:rsidRDefault="00CF3A25" w:rsidP="00CF3A25">
      <w:pPr>
        <w:pStyle w:val="NormalHanging12a"/>
        <w:widowControl/>
      </w:pPr>
      <w:r w:rsidRPr="00DC1CEE">
        <w:t>G</w:t>
      </w:r>
      <w:r w:rsidR="006A14C7" w:rsidRPr="00DC1CEE">
        <w:t>.</w:t>
      </w:r>
      <w:r w:rsidR="006A14C7" w:rsidRPr="00DC1CEE">
        <w:tab/>
        <w:t>mivel az európai kikötők a tiltott kábítószerek fő stratégiai belépési pontjai, és a vámhatóságok általi kábítószer-lefoglalások mintegy 70%-ára a kikötői infrastruktúrában kerül sor, és mivel a bűnözői hálózatok kihasználják e platformok logisztikai és emberi sebezhetőségét;</w:t>
      </w:r>
    </w:p>
    <w:p w14:paraId="3EFD842D" w14:textId="32753739" w:rsidR="006A14C7" w:rsidRPr="00DC1CEE" w:rsidRDefault="00CF3A25" w:rsidP="00CF3A25">
      <w:pPr>
        <w:pStyle w:val="NormalHanging12a"/>
        <w:widowControl/>
      </w:pPr>
      <w:r w:rsidRPr="00DC1CEE">
        <w:lastRenderedPageBreak/>
        <w:t>H</w:t>
      </w:r>
      <w:r w:rsidR="006A14C7" w:rsidRPr="00DC1CEE">
        <w:t>.</w:t>
      </w:r>
      <w:r w:rsidR="006A14C7" w:rsidRPr="00DC1CEE">
        <w:tab/>
        <w:t>mivel a halászati és kikötői ágazatban dolgozó szakembereket, például a halászokat és a kikötői munkásokat kábítószer-kereskedelmi hálózatok veszik célba, és e gazdasági tevékenységeket kihasználva kábítószereket hoznak be az EU-ba;</w:t>
      </w:r>
    </w:p>
    <w:p w14:paraId="1EC4940E" w14:textId="55D44AB7" w:rsidR="006A14C7" w:rsidRPr="00DC1CEE" w:rsidRDefault="00CF3A25" w:rsidP="00CF3A25">
      <w:pPr>
        <w:pStyle w:val="NormalHanging12a"/>
        <w:widowControl/>
      </w:pPr>
      <w:r w:rsidRPr="00DC1CEE">
        <w:t>I</w:t>
      </w:r>
      <w:r w:rsidR="006A14C7" w:rsidRPr="00DC1CEE">
        <w:t>.</w:t>
      </w:r>
      <w:r w:rsidR="006A14C7" w:rsidRPr="00DC1CEE">
        <w:tab/>
        <w:t>mivel a kábítószer-használat jelentős növekedése közvetlen hatással van a kábítószer-kereskedelemre, hatalmas nyereséget termelve a csempészek számára, akik ezáltal olyan gazdasági helyzetbe kerülnek, amely veszélyeztetheti a demokráciát; mivel a francia Nemzeti Kampányszámla- és Politikai Finanszírozási Bizottság figyelmeztetett a kábítószer-kereskedelmi hálózatok által a közelgő helyhatósági választásokra gyakorolt befolyásra;</w:t>
      </w:r>
    </w:p>
    <w:p w14:paraId="7670B187" w14:textId="10F5548E" w:rsidR="006A14C7" w:rsidRDefault="0091343B" w:rsidP="00CF3A25">
      <w:pPr>
        <w:pStyle w:val="NormalHanging12a"/>
        <w:widowControl/>
      </w:pPr>
      <w:r>
        <w:t>J</w:t>
      </w:r>
      <w:r w:rsidR="006A14C7" w:rsidRPr="00DC1CEE">
        <w:t>.</w:t>
      </w:r>
      <w:r w:rsidR="006A14C7" w:rsidRPr="00DC1CEE">
        <w:tab/>
        <w:t>mivel a kábítószer-kereskedelem a szervezett bűnözés egyik legjövedelmezőbb tevékenysége, amely a bűnözésből származó globális jövedelem mintegy egyötödét teszi ki, és mivel az EU a tiltott kábítószerek – többek között a Dél-Amerikából származó kokain – rendelkezésre álló mennyiségének példátlan növekedésével néz szembe;</w:t>
      </w:r>
    </w:p>
    <w:p w14:paraId="5DF80747" w14:textId="1FF87BB5" w:rsidR="0091343B" w:rsidRPr="004D4418" w:rsidRDefault="0091343B" w:rsidP="0091343B">
      <w:pPr>
        <w:pStyle w:val="NormalHanging12a"/>
        <w:widowControl/>
        <w:rPr>
          <w:bCs/>
          <w:iCs/>
        </w:rPr>
      </w:pPr>
      <w:r>
        <w:rPr>
          <w:bCs/>
          <w:iCs/>
        </w:rPr>
        <w:t>K</w:t>
      </w:r>
      <w:r w:rsidRPr="00C02648">
        <w:rPr>
          <w:bCs/>
          <w:iCs/>
        </w:rPr>
        <w:t>.</w:t>
      </w:r>
      <w:r w:rsidRPr="00C02648">
        <w:rPr>
          <w:bCs/>
          <w:iCs/>
        </w:rPr>
        <w:tab/>
        <w:t>mivel a kábítószer-kereskedelmi hálózatok megpróbálhatnak nyomást gyakorolni vagy indokolatlan befolyást gyakorolni a helyi választott képviselőkre és szavazókra, különösen önkormányzati szinten, aláásva ezáltal a demokratikus folyamatok integritását;</w:t>
      </w:r>
    </w:p>
    <w:p w14:paraId="5C577D14" w14:textId="314BE8E5" w:rsidR="006A14C7" w:rsidRPr="00DC1CEE" w:rsidRDefault="004D4418" w:rsidP="00CF3A25">
      <w:pPr>
        <w:pStyle w:val="NormalHanging12a"/>
        <w:widowControl/>
      </w:pPr>
      <w:r>
        <w:t>L</w:t>
      </w:r>
      <w:r w:rsidR="006A14C7" w:rsidRPr="00DC1CEE">
        <w:t>.</w:t>
      </w:r>
      <w:r w:rsidR="006A14C7" w:rsidRPr="00DC1CEE">
        <w:tab/>
        <w:t>mivel a kábítószer-kereskedők által megszerzett pénzügyi mozgástér a pénzmosás, a korrupció, a legális gazdaságba való beszivárgás és a bűnözői hálózatoknak a területek feletti ellenőrzés megszerzésére és kiterjesztésére való képessége révén veszélyezteti a demokráciát, többek között az Európai Unión belül is;</w:t>
      </w:r>
    </w:p>
    <w:p w14:paraId="23665DFB" w14:textId="48325403" w:rsidR="006A14C7" w:rsidRPr="00DC1CEE" w:rsidRDefault="004D4418" w:rsidP="00CF3A25">
      <w:pPr>
        <w:pStyle w:val="NormalHanging12a"/>
        <w:widowControl/>
      </w:pPr>
      <w:r>
        <w:t>M</w:t>
      </w:r>
      <w:r w:rsidR="006A14C7" w:rsidRPr="00DC1CEE">
        <w:t>.</w:t>
      </w:r>
      <w:r w:rsidR="006A14C7" w:rsidRPr="00DC1CEE">
        <w:tab/>
        <w:t>mivel ezért a pénzmosás, az adóparadicsomok és a bűnszervezetek legális gazdaságba való beszivárgása elleni küzdelem a kábítószer-kereskedelmi hálózatok tartós gyengítésének fő eszköze;</w:t>
      </w:r>
    </w:p>
    <w:p w14:paraId="516523FC" w14:textId="4DCDC11E" w:rsidR="00802F9B" w:rsidRPr="001D3AC1" w:rsidRDefault="004D4418" w:rsidP="00CF3A25">
      <w:pPr>
        <w:pStyle w:val="NormalHanging12a"/>
        <w:widowControl/>
        <w:rPr>
          <w:bCs/>
          <w:iCs/>
        </w:rPr>
      </w:pPr>
      <w:r>
        <w:rPr>
          <w:bCs/>
          <w:iCs/>
        </w:rPr>
        <w:t>N</w:t>
      </w:r>
      <w:r w:rsidR="00802F9B" w:rsidRPr="001D3AC1">
        <w:rPr>
          <w:bCs/>
          <w:iCs/>
        </w:rPr>
        <w:t>.</w:t>
      </w:r>
      <w:r w:rsidR="00802F9B" w:rsidRPr="001D3AC1">
        <w:rPr>
          <w:bCs/>
          <w:iCs/>
        </w:rPr>
        <w:tab/>
        <w:t>mivel az európai demokráciapajzs a szervezett bűnözést és a korrupciót a jogállamiság és demokratikus intézményeink közvetlen fenyegetéseként emeli ki;</w:t>
      </w:r>
    </w:p>
    <w:p w14:paraId="2930275F" w14:textId="6976876B" w:rsidR="006A14C7" w:rsidRPr="00DC1CEE" w:rsidRDefault="004D4418" w:rsidP="00CF3A25">
      <w:pPr>
        <w:pStyle w:val="NormalHanging12a"/>
        <w:widowControl/>
      </w:pPr>
      <w:r>
        <w:t>O</w:t>
      </w:r>
      <w:r w:rsidR="006A14C7" w:rsidRPr="00DC1CEE">
        <w:t>.</w:t>
      </w:r>
      <w:r w:rsidR="006A14C7" w:rsidRPr="00DC1CEE">
        <w:tab/>
        <w:t>mivel a digitális eszközöket és a közösségi hálózatokat egyre gyakrabban használják – különösen kiskorúakat célzó – toborzásra, erőszakos cselekmények koordinálására és elkövetésére, ami az alapvető jogokat tiszteletben tartó, összehangolt európai válaszlépéseket tesz szükségessé;</w:t>
      </w:r>
    </w:p>
    <w:p w14:paraId="37634267" w14:textId="033606D1" w:rsidR="006A14C7" w:rsidRPr="00DC1CEE" w:rsidRDefault="004D4418" w:rsidP="00CF3A25">
      <w:pPr>
        <w:pStyle w:val="NormalHanging12a"/>
        <w:widowControl/>
      </w:pPr>
      <w:r>
        <w:t>P</w:t>
      </w:r>
      <w:r w:rsidR="006A14C7" w:rsidRPr="00DC1CEE">
        <w:t>.</w:t>
      </w:r>
      <w:r w:rsidR="006A14C7" w:rsidRPr="00DC1CEE">
        <w:tab/>
        <w:t>mivel a bűnszervezetek és gyakorlataik folyamatosan fejlődnek, különösen stratégiáik digitalizációja révén, és mivel ezért a nyomozási, igazságszolgáltatási és társadalmi struktúrákat is fejleszteni kell az Európai Unió e veszélyre adott válaszában;</w:t>
      </w:r>
    </w:p>
    <w:p w14:paraId="75F7298E" w14:textId="4AB02577" w:rsidR="006A14C7" w:rsidRPr="00DC1CEE" w:rsidRDefault="004D4418" w:rsidP="00CF3A25">
      <w:pPr>
        <w:pStyle w:val="NormalHanging12a"/>
        <w:widowControl/>
      </w:pPr>
      <w:r>
        <w:t>Q</w:t>
      </w:r>
      <w:r w:rsidR="006A14C7" w:rsidRPr="00DC1CEE">
        <w:t>.</w:t>
      </w:r>
      <w:r w:rsidR="006A14C7" w:rsidRPr="00DC1CEE">
        <w:tab/>
        <w:t xml:space="preserve"> mivel Európában egyre gyakoribbak az új pszichoaktív anyagok, többek között a szintetikus kannabinoidok, a katinonok és az erőteljes szintetikus opioidok, amelyeket gyakran az EU-n belül állítanak elő vagy forgalmaznak, és amelyek részben kívül maradnak a nemzetközi és nemzeti ellenőrzéseken; mivel azzal, hogy erős hatásúak és csak kis mennyiség szükséges belőlük, valamint vegyi struktúráikat kismértékben módosítani lehet a jogszabályok megkerülése érdekében, gyorsan bővülő és rendkívül jövedelmező piacot jelentenek a csempészek számára, miközben jelentős kockázatot jelentenek a közegészségre és a közbiztonságra nézve; mivel a szilárd korai előrejelző </w:t>
      </w:r>
      <w:r w:rsidR="006A14C7" w:rsidRPr="00DC1CEE">
        <w:lastRenderedPageBreak/>
        <w:t>rendszerek, a megerősített felderítési képességek és az uniós szintű összehangolt reagálás fontosak az új pszichoaktív anyagok jelentette változó fenyegetés kezeléséhez;</w:t>
      </w:r>
    </w:p>
    <w:p w14:paraId="26021902" w14:textId="629A2025" w:rsidR="006A14C7" w:rsidRPr="00DC1CEE" w:rsidRDefault="004D4418" w:rsidP="00CF3A25">
      <w:pPr>
        <w:pStyle w:val="NormalHanging12a"/>
        <w:widowControl/>
      </w:pPr>
      <w:r>
        <w:t>R</w:t>
      </w:r>
      <w:r w:rsidR="006A14C7" w:rsidRPr="00DC1CEE">
        <w:t>.</w:t>
      </w:r>
      <w:r w:rsidR="006A14C7" w:rsidRPr="00DC1CEE">
        <w:tab/>
        <w:t>mivel a kábítószer-kereskedelmi hálózatok fejlődése és tartós megtelepedése gyakran olyan környezetben történik, amelyet tartós társadalmi és területi egyenlőtlenségek, a foglalkoztatáshoz, a közszolgáltatásokhoz és az oktatási lehetőségekhez való elégtelen hozzáférés, valamint az intézmények általi elhagyatottság érzése jellemez, különösen egyes hátrányos helyzetű városi negyedekben, és mivel ezek a sebezhetőségek táptalajt jelentenek a bűnözői gazdaságnak és a kábítószer-kereskedő hálózatok által a kiszolgáltatott, gyakran fiatalkorú munkaerő toborzása érdekében kihasznált strukturális tényezőknek;</w:t>
      </w:r>
    </w:p>
    <w:p w14:paraId="39863546" w14:textId="4DD01B16" w:rsidR="006A14C7" w:rsidRPr="00DC1CEE" w:rsidRDefault="004D4418" w:rsidP="00CF3A25">
      <w:pPr>
        <w:pStyle w:val="NormalHanging12a"/>
        <w:widowControl/>
      </w:pPr>
      <w:r>
        <w:t>S</w:t>
      </w:r>
      <w:r w:rsidR="006A14C7" w:rsidRPr="00DC1CEE">
        <w:t>.</w:t>
      </w:r>
      <w:r w:rsidR="006A14C7" w:rsidRPr="00DC1CEE">
        <w:tab/>
        <w:t>mivel az uniós kohéziós politika a pénzügyi eszközei révén történelmileg hozzájárult a területi egyenlőtlenségek csökkentéséhez, a társadalmi kohézió megerősítéséhez és a strukturális beruházások támogatásához a nehéz helyzetben lévő városi területeken, és mivel az Európai Bizottság által a 2028–2034-es többéves pénzügyi keretre vonatkozóan tervezett iránymutatások, valamint a városokra vonatkozó új uniós menetrend végrehajtása döntő hatással lesz az EU azon képességére, hogy fenntartható módon megakadályozza az illegális kereskedelem e területeken való beágyazódását;</w:t>
      </w:r>
    </w:p>
    <w:p w14:paraId="6CB68635" w14:textId="43ABE732" w:rsidR="006A14C7" w:rsidRPr="00DC1CEE" w:rsidRDefault="004D4418" w:rsidP="00CF3A25">
      <w:pPr>
        <w:pStyle w:val="NormalHanging12a"/>
        <w:widowControl/>
      </w:pPr>
      <w:r>
        <w:t>T</w:t>
      </w:r>
      <w:r w:rsidR="006A14C7" w:rsidRPr="00DC1CEE">
        <w:t>.</w:t>
      </w:r>
      <w:r w:rsidR="006A14C7" w:rsidRPr="00DC1CEE">
        <w:tab/>
        <w:t>mivel a korrupció segíti és növeli a bűnözői hálózatok pénzügyi bevételeit, és a bűnözői hálózatok gazdasági helyzetüknek köszönhetően szolgáltatásokat tudnak nyújtani a lakosok számára, és egyre több területen tudnak félelmet kelteni, ami miatt a helyi közösségek beletörődnek a helyzetbe, és egyre kevésbé képesek ellenállni a kábítószer-kereskedelem veszélyeinek; mivel Mehdi Kessaci meggyilkolása e megfélemlítési stratégiák részét képezi; mivel a kábítószer-kereskedelem választásokra gyakorolt hatásával kapcsolatos riasztások határozottan jelzik, hogy a kábítószer-kereskedelem fenyegetést jelent az alapvető jogokra, a demokráciára és a jogállamiságra nézve is;</w:t>
      </w:r>
    </w:p>
    <w:p w14:paraId="31479FE8" w14:textId="34D13897" w:rsidR="006A14C7" w:rsidRPr="00DC1CEE" w:rsidRDefault="004D4418" w:rsidP="00CF3A25">
      <w:pPr>
        <w:pStyle w:val="NormalHanging12a"/>
        <w:widowControl/>
      </w:pPr>
      <w:r>
        <w:t>U</w:t>
      </w:r>
      <w:r w:rsidR="006A14C7" w:rsidRPr="00DC1CEE">
        <w:t>.</w:t>
      </w:r>
      <w:r w:rsidR="006A14C7" w:rsidRPr="00DC1CEE">
        <w:tab/>
        <w:t>mivel az áldozatok családja, és különösen a bűnszövetkezetek által meggyilkolt vagy beszervezett személyek édesanyja és hozzátartozói gyakran kulcsszerepet játszanak a megelőzésében, a tudatosság növelésében és a kábítószer-kereskedelem kockázatának kitett fiatalok támogatásában; mivel a kábítószer-kereskedelem áldozatainak családjait ennek ellenére nem vonják be sem az európai és nemzeti kábítószer-ellenes politikák kidolgozásába, sem a kábítószerekkel foglalkozó civil társadalmi fórum tevékenységébe;</w:t>
      </w:r>
    </w:p>
    <w:p w14:paraId="23CE5C7A" w14:textId="5974C103" w:rsidR="006A14C7" w:rsidRPr="00DC1CEE" w:rsidRDefault="004D4418" w:rsidP="00CF3A25">
      <w:pPr>
        <w:pStyle w:val="NormalHanging12a"/>
        <w:widowControl/>
      </w:pPr>
      <w:r>
        <w:t>V</w:t>
      </w:r>
      <w:r w:rsidR="006A14C7" w:rsidRPr="00DC1CEE">
        <w:t>.</w:t>
      </w:r>
      <w:r w:rsidR="006A14C7" w:rsidRPr="00DC1CEE">
        <w:tab/>
        <w:t>mivel a korábbi stratégiák rávilágítottak arra, hogy jobban egyensúlyba kell hozni a bűnüldözési válaszlépéseket a megelőzésre, a kockázatcsökkentésre és a társadalmi igazságosságra irányuló szakpolitikákkal;</w:t>
      </w:r>
    </w:p>
    <w:p w14:paraId="3EBE7BF4" w14:textId="6F1D66DB" w:rsidR="006A14C7" w:rsidRPr="00DC1CEE" w:rsidRDefault="004D4418" w:rsidP="00CF3A25">
      <w:pPr>
        <w:pStyle w:val="NormalHanging12a"/>
        <w:widowControl/>
      </w:pPr>
      <w:r>
        <w:t>W</w:t>
      </w:r>
      <w:r w:rsidR="006A14C7" w:rsidRPr="00DC1CEE">
        <w:t>.</w:t>
      </w:r>
      <w:r w:rsidR="006A14C7" w:rsidRPr="00DC1CEE">
        <w:tab/>
        <w:t>mivel az EU drogstratégiája a népegészségügyet, a megelőzést, az igazságügyi és rendőrségi együttműködést, valamint a harmadik országokkal folytatott együttműködést ötvöző kulcsfontosságú pilléreken alapul, és célszerű lenne kiegészíteni azt a területek társadalmi rezilienciájára és a közösségek kábítószer-kereskedelem elleni mobilizálására összpontosító komponenssel;</w:t>
      </w:r>
    </w:p>
    <w:p w14:paraId="2CA60BFE" w14:textId="55FFC66F" w:rsidR="006A14C7" w:rsidRPr="00DC1CEE" w:rsidRDefault="004D4418" w:rsidP="00CF3A25">
      <w:pPr>
        <w:pStyle w:val="NormalHanging12a"/>
        <w:widowControl/>
      </w:pPr>
      <w:r>
        <w:t>X</w:t>
      </w:r>
      <w:r w:rsidR="006A14C7" w:rsidRPr="00DC1CEE">
        <w:t>.</w:t>
      </w:r>
      <w:r w:rsidR="006A14C7" w:rsidRPr="00DC1CEE">
        <w:tab/>
        <w:t>mivel a kábítószer-kereskedelem európai jelenség, amely egységes és határozott választ igényel; mivel az európai hatóságoknak bizonyítaniuk kell, hogy képesek fellépni annak érdekében, hogy ne legyen több haláleset;</w:t>
      </w:r>
    </w:p>
    <w:p w14:paraId="7926ECA2" w14:textId="77777777" w:rsidR="006A14C7" w:rsidRPr="00DC1CEE" w:rsidRDefault="006A14C7" w:rsidP="00CF3A25">
      <w:pPr>
        <w:pStyle w:val="NormalHanging12a"/>
        <w:widowControl/>
      </w:pPr>
      <w:r w:rsidRPr="00DC1CEE">
        <w:lastRenderedPageBreak/>
        <w:t>1.</w:t>
      </w:r>
      <w:r w:rsidRPr="00DC1CEE">
        <w:tab/>
        <w:t>a lehető leghatározottabban elítéli Mehdi Kessaci meggyilkolását; mély együttérzését és részvétét fejezi ki szüleinek és családjának, rokonainak, valamint rajtuk keresztül a kábítószer-kereskedelem valamennyi közvetlen és közvetett áldozatának Európában és világszerte;</w:t>
      </w:r>
    </w:p>
    <w:p w14:paraId="6550E920" w14:textId="77777777" w:rsidR="006A14C7" w:rsidRPr="00DC1CEE" w:rsidRDefault="006A14C7" w:rsidP="00CF3A25">
      <w:pPr>
        <w:pStyle w:val="NormalHanging12a"/>
        <w:widowControl/>
      </w:pPr>
      <w:r w:rsidRPr="00DC1CEE">
        <w:t>2.</w:t>
      </w:r>
      <w:r w:rsidRPr="00DC1CEE">
        <w:tab/>
        <w:t>tisztelettel adózik Amine Kessaci, a Conscience (Lelkiismeret) egyesület és minden olyan aktivista elkötelezettsége előtt, akik gyakran személyes biztonságukat kockáztatva küzdenek a kábítószer-kereskedelem ellen; nagyra értékeli Amine Kessaci bátorságát, aki az ellene irányuló fenyegetések dacára továbbra is küzd a kábítószer-kereskedők ellen; elismeri, hogy Mehdi Kessaci meggyilkolása frontális támadás a véleménynyilvánítás és az alkotás szabadsága, valamint a jogállamiság ellen;</w:t>
      </w:r>
    </w:p>
    <w:p w14:paraId="6C0C6E94" w14:textId="77777777" w:rsidR="006A14C7" w:rsidRPr="00DC1CEE" w:rsidRDefault="006A14C7" w:rsidP="00CF3A25">
      <w:pPr>
        <w:pStyle w:val="NormalHanging12a"/>
        <w:widowControl/>
      </w:pPr>
      <w:r w:rsidRPr="00DC1CEE">
        <w:t>3.</w:t>
      </w:r>
      <w:r w:rsidRPr="00DC1CEE">
        <w:tab/>
        <w:t>emlékeztet arra, hogy az alulról szerveződő egyesületek tevékenysége hozzájárul a fiatalok védelméhez, a társadalmi kohézióhoz és a demokratikus vitalitáshoz, és e szervezeteket gyakran kevéssé ismerik el, támogatják vagy védik;</w:t>
      </w:r>
    </w:p>
    <w:p w14:paraId="33FB0A91" w14:textId="77777777" w:rsidR="006A14C7" w:rsidRPr="00DC1CEE" w:rsidRDefault="006A14C7" w:rsidP="00CF3A25">
      <w:pPr>
        <w:pStyle w:val="NormalHanging12a"/>
        <w:widowControl/>
      </w:pPr>
      <w:r w:rsidRPr="00DC1CEE">
        <w:t>4.</w:t>
      </w:r>
      <w:r w:rsidRPr="00DC1CEE">
        <w:tab/>
        <w:t>hangsúlyozza, hogy a kábítószer-kereskedelem és a szervezett bűnözés elleni küzdelem komoly kihívást jelent az EU egésze számára, mind a biztonság, mind a népegészségügy és a társadalmi igazságosság, valamint a jogállamiság tiszteletben tartása tekintetében;</w:t>
      </w:r>
    </w:p>
    <w:p w14:paraId="40D13E9B" w14:textId="77777777" w:rsidR="006A14C7" w:rsidRDefault="006A14C7" w:rsidP="00CF3A25">
      <w:pPr>
        <w:pStyle w:val="NormalHanging12a"/>
        <w:widowControl/>
      </w:pPr>
      <w:r w:rsidRPr="00DC1CEE">
        <w:t>5.</w:t>
      </w:r>
      <w:r w:rsidRPr="00DC1CEE">
        <w:tab/>
        <w:t>üdvözli az EU új drogstratégiájának és cselekvési tervének elfogadását, és megismétli, hogy támogatja a keresletcsökkentésen, az igazságügyi és rendőrségi együttműködésen, a harmadik országokkal folytatott együttműködésen és a – többek között online – megelőzésen alapuló kiegyensúlyozott megközelítést; emlékeztet arra, hogy a korábbi tervek nem voltak elegendőek a kábítószer-kereskedelem visszaszorításához, de mindenki felelőssége, hogy szembenézzen ezzel a kihívással;</w:t>
      </w:r>
    </w:p>
    <w:p w14:paraId="372F9FF4" w14:textId="506C794C" w:rsidR="00802F9B" w:rsidRPr="00DC1CEE" w:rsidRDefault="004D4418" w:rsidP="00CF3A25">
      <w:pPr>
        <w:pStyle w:val="NormalHanging12a"/>
        <w:widowControl/>
      </w:pPr>
      <w:r>
        <w:t>6</w:t>
      </w:r>
      <w:r w:rsidR="00802F9B" w:rsidRPr="00802F9B">
        <w:t>.</w:t>
      </w:r>
      <w:r w:rsidR="00802F9B" w:rsidRPr="00802F9B">
        <w:tab/>
        <w:t>emlékeztet, hogy a kábítószer elleni új stratégia felszólítja a tagállamokat, hogy a vezetői engedélyekről szóló 2006/126/EK irányelvvel</w:t>
      </w:r>
      <w:r w:rsidR="00802F9B">
        <w:rPr>
          <w:rStyle w:val="FootnoteReference"/>
        </w:rPr>
        <w:footnoteReference w:id="6"/>
      </w:r>
      <w:r w:rsidR="00802F9B" w:rsidRPr="00802F9B">
        <w:t xml:space="preserve"> összhangban fogadjanak el a zéró toleranciára irányuló politikákat a kábítószer hatása alatt történő járművezetésre vonatkozóan, és teljes mértékben használják ki az e szabályok érvényesítése érdekében rendelkezésre álló, határokon átnyúló eszközöket;</w:t>
      </w:r>
    </w:p>
    <w:p w14:paraId="365BA9A9" w14:textId="6C7644CE" w:rsidR="006A14C7" w:rsidRPr="00DC1CEE" w:rsidRDefault="004D4418" w:rsidP="00CF3A25">
      <w:pPr>
        <w:pStyle w:val="NormalHanging12a"/>
        <w:widowControl/>
      </w:pPr>
      <w:r>
        <w:t>7</w:t>
      </w:r>
      <w:r w:rsidR="006A14C7" w:rsidRPr="00DC1CEE">
        <w:t>.</w:t>
      </w:r>
      <w:r w:rsidR="006A14C7" w:rsidRPr="00DC1CEE">
        <w:tab/>
        <w:t>teljes mértékben támogatja az EU drogstratégiájának népegészségügyi és megelőzési pillérét, beleértve a korai megelőzést, a kockázatcsökkentést, az ellátáshoz való hozzáférést, a függőségek kezelését és a társadalmi visszailleszkedést; rámutat arra, hogy a kábítószerek egyre nagyobb mértékben érintik az egész társadalmat, függőségbe kényszerítve azt, és széles körű megmozdulásra szólít fel az európaiak mentális egészségének biztosítása érdekében;</w:t>
      </w:r>
    </w:p>
    <w:p w14:paraId="5EA64B53" w14:textId="2E116775" w:rsidR="00802F9B" w:rsidRPr="00DC1CEE" w:rsidRDefault="004D4418" w:rsidP="00CF3A25">
      <w:pPr>
        <w:pStyle w:val="NormalHanging12a"/>
        <w:widowControl/>
      </w:pPr>
      <w:r>
        <w:t>8</w:t>
      </w:r>
      <w:r w:rsidR="006A14C7" w:rsidRPr="00DC1CEE">
        <w:t>.</w:t>
      </w:r>
      <w:r w:rsidR="006A14C7" w:rsidRPr="00DC1CEE">
        <w:tab/>
        <w:t xml:space="preserve">támogatja a Bizottságnak a biztonságnak a kábítószer-kereskedelem elleni küzdelem terén történő megerősítésére irányuló javaslatát, beleértve a kábítószer-kereskedelemről szóló meglévő kerethatározat 2026-ig tervezett értékelését és a szervezett bűnözésre vonatkozó szabályok korszerűsítését; támogatja az olyan kulcsfontosságú intézkedéseket, mint a köz- és magánszféra közötti együttműködés megerősítése annak érdekében, hogy eredményesebben felderítsék a postai és csomagkézbesítési </w:t>
      </w:r>
      <w:r w:rsidR="006A14C7" w:rsidRPr="00DC1CEE">
        <w:lastRenderedPageBreak/>
        <w:t>szolgáltatások keretében becsempészett kábítószereket, valamint a kikötőkre vonatkozó új európai stratégia kidolgozása, amelynek célja a kikötők és az ellátási láncok kábítószer-kereskedelemmel szembeni biztonságának és rezilienciájának növelése;</w:t>
      </w:r>
    </w:p>
    <w:p w14:paraId="0FD84215" w14:textId="6CBAB164" w:rsidR="006A14C7" w:rsidRPr="00DC1CEE" w:rsidRDefault="004D4418" w:rsidP="00CF3A25">
      <w:pPr>
        <w:pStyle w:val="NormalHanging12a"/>
        <w:widowControl/>
      </w:pPr>
      <w:r>
        <w:t>9</w:t>
      </w:r>
      <w:r w:rsidR="006A14C7" w:rsidRPr="00DC1CEE">
        <w:t>.</w:t>
      </w:r>
      <w:r w:rsidR="006A14C7" w:rsidRPr="00DC1CEE">
        <w:tab/>
        <w:t>üdvözli, hogy a bűnüldöző szervek, a fegyveres erők, a vámszolgálatok és a bírák Unió-szerte elkötelezték magukat a kábítószer-kereskedelem elleni küzdelem mellett; elismeri a közbiztonság védelméhez való alapvető hozzájárulásukat, és felszólít a rendőri erők és az igazságügyi hatóságok rendelkezésére álló eszközök arányos és megfelelő megerősítésére a változó transznacionális fenyegetésre való reagálás érdekében;</w:t>
      </w:r>
    </w:p>
    <w:p w14:paraId="39668078" w14:textId="253583A7" w:rsidR="00802F9B" w:rsidRPr="00DC1CEE" w:rsidRDefault="004D4418" w:rsidP="00CF3A25">
      <w:pPr>
        <w:pStyle w:val="NormalHanging12a"/>
        <w:widowControl/>
      </w:pPr>
      <w:r>
        <w:t>10.</w:t>
      </w:r>
      <w:r w:rsidR="00802F9B" w:rsidRPr="00712265">
        <w:rPr>
          <w:b/>
          <w:i/>
        </w:rPr>
        <w:tab/>
      </w:r>
      <w:r w:rsidR="00802F9B" w:rsidRPr="004D4418">
        <w:t xml:space="preserve">felszólít a </w:t>
      </w:r>
      <w:r w:rsidR="00802F9B" w:rsidRPr="001D3AC1">
        <w:t xml:space="preserve">külső határok ellenőrzésére elkülönített emberi, anyagi és technológiai erőforrások megerősítésére a fegyver-, ember- és kábítószer-kereskedelem elleni küzdelem terén, valamint a </w:t>
      </w:r>
      <w:r w:rsidR="00802F9B" w:rsidRPr="004D4418">
        <w:t>határokon átnyúló közös bűnüldözési műveletek megerősítésére, különösen az olyan uniós fogadóállomásokon, mint Marseille, Le Havre, Antwerpen, Rotterdam és Hamburg</w:t>
      </w:r>
      <w:r w:rsidR="00802F9B" w:rsidRPr="001D3AC1">
        <w:t>, az Európai Határ- és Partvédelmi Ügynökséggel</w:t>
      </w:r>
      <w:r w:rsidR="00802F9B" w:rsidRPr="004D4418">
        <w:t>, az Europollal, az Eurojusttal és az EUDA-val szoros együttműködésben, a lövöldözések, gyilkosságok és</w:t>
      </w:r>
      <w:r w:rsidR="00802F9B" w:rsidRPr="00712265">
        <w:t xml:space="preserve"> megfélemlítések mögött álló bűnözői hálózatok Európa-szerte történő felszámolása érdekében;</w:t>
      </w:r>
    </w:p>
    <w:p w14:paraId="1FF0971B" w14:textId="11085378" w:rsidR="006A14C7" w:rsidRPr="00DC1CEE" w:rsidRDefault="004D4418" w:rsidP="00CF3A25">
      <w:pPr>
        <w:pStyle w:val="NormalHanging12a"/>
        <w:widowControl/>
      </w:pPr>
      <w:r>
        <w:t>11</w:t>
      </w:r>
      <w:r w:rsidR="006A14C7" w:rsidRPr="00DC1CEE">
        <w:t>.</w:t>
      </w:r>
      <w:r w:rsidR="006A14C7" w:rsidRPr="00DC1CEE">
        <w:tab/>
        <w:t>hangsúlyozza, hogy meg kell erősíteni a vám-, bűnüldöző, igazságügyi és közigazgatási hatóságok közötti együttműködést és információcserét, és felhívja a Bizottságot, hogy az alapvető jogok és a magánélet védelme mellett biztosítsa az ezen erőfeszítések támogatásához szükséges keretet;</w:t>
      </w:r>
    </w:p>
    <w:p w14:paraId="6BE1ABF7" w14:textId="0776E61C" w:rsidR="006A14C7" w:rsidRPr="00DC1CEE" w:rsidRDefault="004D4418" w:rsidP="00CF3A25">
      <w:pPr>
        <w:pStyle w:val="NormalHanging12a"/>
        <w:widowControl/>
      </w:pPr>
      <w:r>
        <w:t>12</w:t>
      </w:r>
      <w:r w:rsidR="006A14C7" w:rsidRPr="00DC1CEE">
        <w:t>.</w:t>
      </w:r>
      <w:r w:rsidR="006A14C7" w:rsidRPr="00DC1CEE">
        <w:tab/>
        <w:t>emlékeztet arra, hogy a szervezett bűnözés elleni küzdelemnek fel kell számolnia a kábítószer-kereskedelem gazdasági és pénzügyi struktúráit, többek között a bűncselekményből származó vagyon elkobzását célzó rendelkezések megerősítése és az adóparadicsomok elleni küzdelem révén; felhívja az EU-t és a tagállamokat, hogy teljes mértékben és hatékonyan használják ki a vagyonvisszaszerzésről és -elkobzásról szóló új (EU) 2024/1260 irányelvet</w:t>
      </w:r>
      <w:r w:rsidR="006A14C7" w:rsidRPr="00DC1CEE">
        <w:rPr>
          <w:rStyle w:val="FootnoteReference"/>
        </w:rPr>
        <w:footnoteReference w:id="7"/>
      </w:r>
      <w:r w:rsidR="006A14C7" w:rsidRPr="00DC1CEE">
        <w:t>, és hozzák meg a szükséges intézkedéseket az elkobzott vagyon szociális célú elosztásának lehetővé tétele érdekében, többek között azáltal, hogy az elkobzott vagyont a kábítószer-kereskedelem térnyerése ellen küzdő alulról szerveződő szervezeteknek adják, mint például Olaszországban, valamint a kábítószerrel kapcsolatos erőszaknak leginkább kitett hatóságoknak vagy az igazságügyi és vámügyi nyomozószolgálatoknak; felhívja a Bizottságot és a tagállamokat annak biztosítására, hogy az elkobzott vagyon közérdekű vagy szociális célú felhasználásával kapcsolatos intézkedéseket építsék be nemzeti vagyonvisszaszerzési stratégiáikba;</w:t>
      </w:r>
    </w:p>
    <w:p w14:paraId="4B8F15AC" w14:textId="77666688" w:rsidR="006A14C7" w:rsidRPr="00DC1CEE" w:rsidRDefault="004D4418" w:rsidP="00CF3A25">
      <w:pPr>
        <w:pStyle w:val="NormalHanging12a"/>
        <w:widowControl/>
      </w:pPr>
      <w:r>
        <w:t>13</w:t>
      </w:r>
      <w:r w:rsidR="006A14C7" w:rsidRPr="00DC1CEE">
        <w:t>.</w:t>
      </w:r>
      <w:r w:rsidR="006A14C7" w:rsidRPr="00DC1CEE">
        <w:tab/>
        <w:t>hangsúlyozza annak fontosságát, hogy az igazságügyi együttműködésre és az átláthatóságra vonatkozó követelményeket beépítsék az EU külkapcsolataiba és a kábítószer-kereskedelmi útvonalak által érintett harmadik országokkal kötött megállapodásaiba; hangsúlyozza, hogy az ezen államok némelyikével folytatott együttműködés gyümölcsöző, míg mások nem hajlandók teljes mértékben együttműködni az európai hatóságokkal;</w:t>
      </w:r>
    </w:p>
    <w:p w14:paraId="4B3F3389" w14:textId="2E786F9C" w:rsidR="006A14C7" w:rsidRPr="00DC1CEE" w:rsidRDefault="004D4418" w:rsidP="00CF3A25">
      <w:pPr>
        <w:pStyle w:val="NormalHanging12a"/>
        <w:widowControl/>
      </w:pPr>
      <w:r>
        <w:t>14</w:t>
      </w:r>
      <w:r w:rsidR="006A14C7" w:rsidRPr="00DC1CEE">
        <w:t>.</w:t>
      </w:r>
      <w:r w:rsidR="006A14C7" w:rsidRPr="00DC1CEE">
        <w:tab/>
        <w:t>üdvözli az Eurojust, az Europol, valamint Örményország, Bosznia-Hercegovina és Libanon közötti megállapodások sikeres megkötését;</w:t>
      </w:r>
    </w:p>
    <w:p w14:paraId="52A8F69F" w14:textId="5D5E856B" w:rsidR="006A14C7" w:rsidRPr="00DC1CEE" w:rsidRDefault="004D4418" w:rsidP="00CF3A25">
      <w:pPr>
        <w:pStyle w:val="NormalHanging12a"/>
        <w:widowControl/>
      </w:pPr>
      <w:r>
        <w:lastRenderedPageBreak/>
        <w:t>15</w:t>
      </w:r>
      <w:r w:rsidR="006A14C7" w:rsidRPr="00DC1CEE">
        <w:t>.</w:t>
      </w:r>
      <w:r w:rsidR="006A14C7" w:rsidRPr="00DC1CEE">
        <w:tab/>
        <w:t>hangsúlyozza, hogy a legmegfelelőbb bírósági eljárások kidolgozása érdekében alaposan meg kell vizsgálni a bűnszervezetek által alkalmazott módszereket és azok gyors fejlődését; felszólít különösen arra, hogy alakítsanak ki a szervezett bűnözés elleni küzdelem terén közös megközelítést, fontolják meg az együttműködő személy státuszának létrehozását, védelmezzék a bűnszövetkezetekbe integrált kiskorúakat, valamint arra, hogy a kábítószer-kereskedelem elleni küzdelmet kapcsolják össze a pénzmosásra és a korrupcióra, a zsarolásra, az emberkereskedelemre, a környezeti bűnözésre és a fegyverkereskedelemre vonatkozó rendelkezésekkel; kéri annak vizsgálatát, hogy meg lehet-e erősíteni az Európai Ügyészség szervezett bűnözés elleni küzdelemben betöltött szerepét;</w:t>
      </w:r>
    </w:p>
    <w:p w14:paraId="370A0229" w14:textId="0E313A3B" w:rsidR="006A14C7" w:rsidRPr="00DC1CEE" w:rsidRDefault="004D4418" w:rsidP="00CF3A25">
      <w:pPr>
        <w:pStyle w:val="NormalHanging12a"/>
        <w:widowControl/>
      </w:pPr>
      <w:r>
        <w:t>16</w:t>
      </w:r>
      <w:r w:rsidR="006A14C7" w:rsidRPr="00DC1CEE">
        <w:t>.</w:t>
      </w:r>
      <w:r w:rsidR="006A14C7" w:rsidRPr="00DC1CEE">
        <w:tab/>
        <w:t>elkötelezi magát amellett, hogy szorosabban és alaposabban ellenőrizze a kábítószer-kereskedelmet és a határokon átnyúló szervezett kábítószer-bűnözés elleni küzdelmet;</w:t>
      </w:r>
    </w:p>
    <w:p w14:paraId="1601B4EA" w14:textId="1193B38A" w:rsidR="006A14C7" w:rsidRPr="00DC1CEE" w:rsidRDefault="004D4418" w:rsidP="00CF3A25">
      <w:pPr>
        <w:pStyle w:val="NormalHanging12a"/>
        <w:widowControl/>
      </w:pPr>
      <w:r>
        <w:t>17</w:t>
      </w:r>
      <w:r w:rsidR="006A14C7" w:rsidRPr="00DC1CEE">
        <w:t>.</w:t>
      </w:r>
      <w:r w:rsidR="006A14C7" w:rsidRPr="00DC1CEE">
        <w:tab/>
        <w:t>felszólít a közösségi rendészetre és a különleges rendőrségi alakulatokra, valamint a kábítószer elleni küzdelemmel foglalkozó szakosított bíróságokra, többek között a pénzmosás elleni küzdelemmel foglalkozó bíróságokra elkülönített emberi erőforrások megerősítésére;</w:t>
      </w:r>
    </w:p>
    <w:p w14:paraId="5A863C90" w14:textId="6A5B8142" w:rsidR="006A14C7" w:rsidRPr="00DC1CEE" w:rsidRDefault="004D4418" w:rsidP="00CF3A25">
      <w:pPr>
        <w:pStyle w:val="NormalHanging12a"/>
        <w:widowControl/>
      </w:pPr>
      <w:r>
        <w:t>18</w:t>
      </w:r>
      <w:r w:rsidR="006A14C7" w:rsidRPr="00DC1CEE">
        <w:t>.</w:t>
      </w:r>
      <w:r w:rsidR="006A14C7" w:rsidRPr="00DC1CEE">
        <w:tab/>
        <w:t>ösztönzi az uniós szervek, a nemzeti hatóságok és a tagállamok közötti rendőrségi, igazságügyi és közigazgatási együttműködést;</w:t>
      </w:r>
    </w:p>
    <w:p w14:paraId="6ACE4C0F" w14:textId="7719C35D" w:rsidR="006A14C7" w:rsidRPr="00DC1CEE" w:rsidRDefault="004D4418" w:rsidP="00CF3A25">
      <w:pPr>
        <w:pStyle w:val="NormalHanging12a"/>
        <w:widowControl/>
      </w:pPr>
      <w:r>
        <w:t>1</w:t>
      </w:r>
      <w:r w:rsidR="000E7604">
        <w:t>9</w:t>
      </w:r>
      <w:r w:rsidR="006A14C7" w:rsidRPr="00DC1CEE">
        <w:t>.</w:t>
      </w:r>
      <w:r w:rsidR="006A14C7" w:rsidRPr="00DC1CEE">
        <w:tab/>
        <w:t>kéri, hogy a kábítószer-kereskedelem elleni küzdelmet tegyék az európai kikötőstratégia és az Európai Kikötők Szövetsége egyik pillérévé, belefoglalva mind a tengeri, mind a folyami kikötőket, és vezessenek be képzési, megelőzési és védelmi intézkedéseket a kikötői személyzet számára; kéri, hogy nyújtsanak támogatást és tanácsadást azoknak a kikötői munkásoknak és halászoknak, akik szembesülnek a kábítószer-kereskedelmi hálózatok nyomásával, fenyegetésével és zsarolási kísérleteivel; hangsúlyozza a kábítószerek, kábítószer-prekurzorok és alapvető vegyi anyagok lefoglalására vonatkozó hírszerzési információk megosztásának, valamint a stratégiai infrastruktúrákat célzó megfigyelési technológiák alkalmazásának fontosságát;</w:t>
      </w:r>
    </w:p>
    <w:p w14:paraId="0748BCEF" w14:textId="24B6F163" w:rsidR="006A14C7" w:rsidRDefault="004D4418" w:rsidP="00CF3A25">
      <w:pPr>
        <w:pStyle w:val="NormalHanging12a"/>
        <w:widowControl/>
      </w:pPr>
      <w:r>
        <w:t>20</w:t>
      </w:r>
      <w:r w:rsidR="006A14C7" w:rsidRPr="00DC1CEE">
        <w:t>.</w:t>
      </w:r>
      <w:r w:rsidR="006A14C7" w:rsidRPr="00DC1CEE">
        <w:tab/>
        <w:t>kéri, hogy az Európai Unió vámhatósága kezelje prioritásként a kábítószer-kereskedelem elleni küzdelmet, és hogy biztosítsanak a vámhatóságok számára ugyanolyan eszközöket, mint a kikötői személyzet számára;</w:t>
      </w:r>
    </w:p>
    <w:p w14:paraId="724059EE" w14:textId="1957395C" w:rsidR="00802F9B" w:rsidRPr="004D4418" w:rsidRDefault="004D4418" w:rsidP="00CF3A25">
      <w:pPr>
        <w:pStyle w:val="NormalHanging12a"/>
        <w:widowControl/>
        <w:rPr>
          <w:bCs/>
          <w:iCs/>
        </w:rPr>
      </w:pPr>
      <w:r w:rsidRPr="001D3AC1">
        <w:rPr>
          <w:bCs/>
          <w:iCs/>
        </w:rPr>
        <w:t>21</w:t>
      </w:r>
      <w:r w:rsidR="00802F9B" w:rsidRPr="001D3AC1">
        <w:rPr>
          <w:bCs/>
          <w:iCs/>
        </w:rPr>
        <w:t>.</w:t>
      </w:r>
      <w:r w:rsidR="00802F9B" w:rsidRPr="001D3AC1">
        <w:rPr>
          <w:bCs/>
          <w:iCs/>
        </w:rPr>
        <w:tab/>
        <w:t>hangsúlyozza, hogy a küszöbön álló európai kezdeményezéseknek, például az Európai Kikötők Szövetségének, valamint az Europol, az Eurojust és az Európai Ügyészség reformjának hozzá kell járulniuk az európai kikötők integritásának, átláthatóságának és rezilienciájának megerősítéséhez, többek között a frontvonalban dolgozó tisztviselők és munkavállalók megfélemlítéssel és korrupciós kockázatokkal szembeni védelmének javítása révén;</w:t>
      </w:r>
    </w:p>
    <w:p w14:paraId="0C84DC71" w14:textId="42404275" w:rsidR="006A14C7" w:rsidRPr="00DC1CEE" w:rsidRDefault="004D4418" w:rsidP="00CF3A25">
      <w:pPr>
        <w:pStyle w:val="NormalHanging12a"/>
        <w:widowControl/>
      </w:pPr>
      <w:r>
        <w:t>22</w:t>
      </w:r>
      <w:r w:rsidR="006A14C7" w:rsidRPr="00DC1CEE">
        <w:t>.</w:t>
      </w:r>
      <w:r w:rsidR="006A14C7" w:rsidRPr="00DC1CEE">
        <w:tab/>
        <w:t>hangsúlyozza a megelőzés központi szerepét, többek között a közösségi médiában és a digitális platformokon, és felszólít a meglévő uniós szabályok, különösen a digitális szolgáltatásokról szóló jogszabály hatékony végrehajtására az online toborzás, az erőszakra való felbujtás és a bűnözői tevékenységek szervezésének megelőzése, valamint az e szabályok továbbfejlesztéséhez kapcsolódó igények felmérése érdekében; felhívja a tagállamokat, hogy megelőzési politikáikba építsenek bele egyértelmű kommunikációt, amely megérteti a fogyasztókkal, hogy pusztító bűnözői hálózatok erőszakos tevékenységeihez járulnak hozzá;</w:t>
      </w:r>
    </w:p>
    <w:p w14:paraId="600996B1" w14:textId="364259A5" w:rsidR="006A14C7" w:rsidRPr="00DC1CEE" w:rsidRDefault="004D4418" w:rsidP="00CF3A25">
      <w:pPr>
        <w:pStyle w:val="NormalHanging12a"/>
        <w:widowControl/>
      </w:pPr>
      <w:bookmarkStart w:id="7" w:name="_heading=h.wu2hczxpxd"/>
      <w:bookmarkEnd w:id="7"/>
      <w:r>
        <w:lastRenderedPageBreak/>
        <w:t>23</w:t>
      </w:r>
      <w:r w:rsidR="006A14C7" w:rsidRPr="00DC1CEE">
        <w:t>.</w:t>
      </w:r>
      <w:r w:rsidR="006A14C7" w:rsidRPr="00DC1CEE">
        <w:tab/>
        <w:t>hangsúlyozza, hogy a digitális szolgáltatásokról szóló rendelettel és a kiskorúak online védelméről szóló európai parlamenti állásfoglalással (2025/2060(INI)) összhangban teljes mértékben be kell építeni a kábítószer-ellenes politikákba a kiskorúak bűnözői hálózatok általi toborzással szembeni védelmét, többek között a digitális platformokkal való együttműködés, a célzott megelőzés és a korai felderítés révén;</w:t>
      </w:r>
    </w:p>
    <w:p w14:paraId="6AE6F49E" w14:textId="2A75F24C" w:rsidR="006A14C7" w:rsidRPr="00DC1CEE" w:rsidRDefault="004D4418" w:rsidP="00CF3A25">
      <w:pPr>
        <w:pStyle w:val="NormalHanging12a"/>
        <w:widowControl/>
      </w:pPr>
      <w:r>
        <w:t>24</w:t>
      </w:r>
      <w:r w:rsidR="006A14C7" w:rsidRPr="00DC1CEE">
        <w:t>.</w:t>
      </w:r>
      <w:r w:rsidR="006A14C7" w:rsidRPr="00DC1CEE">
        <w:tab/>
        <w:t>hangsúlyozza, hogy a biztonsági és bűnüldözési megközelítés mellett alapvető fontosságúak az olyan társadalmi, gazdasági és területi tényezőkkel szembeni strukturális intézkedések is, amelyek kedveznek e bűncselekmények meggyökeresedésének, különösen a hátrányos helyzetű városnegyedekben; e tekintetben hangsúlyozza az uniós költségvetési eszközök, köztük az Európai Regionális Fejlesztési Alap (ERFA), a Kohéziós Alap és az Európai Szociális Alap Plusz (ESZA+) kulcsfontosságú szerepét a foglalkoztatáshoz való hozzáférésbe, a városrehabilitációba, a közösségi alapú közszolgáltatásokba, az oktatásba, a megelőzésbe és a társadalmi kohézióba történő hosszú távú beruházások támogatásában, hozzájárulva ezáltal e területek illegális gazdasággal szembeni rezilienciájának és a közösségek bűnszervezetekkel szembeni rezilienciájának megerősítéséhez;</w:t>
      </w:r>
    </w:p>
    <w:p w14:paraId="394335F4" w14:textId="09DD21E8" w:rsidR="006A14C7" w:rsidRPr="00DC1CEE" w:rsidRDefault="004D4418" w:rsidP="00CF3A25">
      <w:pPr>
        <w:pStyle w:val="NormalHanging12a"/>
        <w:widowControl/>
      </w:pPr>
      <w:r>
        <w:t>25</w:t>
      </w:r>
      <w:r w:rsidR="006A14C7" w:rsidRPr="00DC1CEE">
        <w:t>.</w:t>
      </w:r>
      <w:r w:rsidR="006A14C7" w:rsidRPr="00DC1CEE">
        <w:tab/>
        <w:t>komoly aggodalmát fejezi ki azonban a Bizottság 2028–2034 közötti időszakra szóló többéves pénzügyi keretre vonatkozóan tervezett iránymutatásaival kapcsolatban, különös tekintettel a kohéziós politika további nemzeti hatáskörbe vonásának kockázataira, a kohéziós alapok más eszközökkel való összevonására és a finanszírozásnak kizárólag a kevésbé fejlett régiókra való összpontosítására; figyelmeztet arra, hogy ezek a fejlemények káros versenyhez vezethetnek a prioritások és a területek között, a köztes vagy a fejlettebb régiókban található, nehéz helyzetben lévő városi területeken szükséges beruházások kárára, annak ellenére, hogy e környékeket gyakran akut társadalmi sebezhetőség jellemzi, és nagymértékben ki vannak téve a kábítószer-kereskedelemnek;</w:t>
      </w:r>
    </w:p>
    <w:p w14:paraId="6279A27D" w14:textId="036A8206" w:rsidR="006A14C7" w:rsidRPr="00DC1CEE" w:rsidRDefault="004D4418" w:rsidP="00CF3A25">
      <w:pPr>
        <w:pStyle w:val="NormalHanging12a"/>
        <w:widowControl/>
      </w:pPr>
      <w:r>
        <w:t>26</w:t>
      </w:r>
      <w:r w:rsidR="006A14C7" w:rsidRPr="00DC1CEE">
        <w:t>.</w:t>
      </w:r>
      <w:r w:rsidR="006A14C7" w:rsidRPr="00DC1CEE">
        <w:tab/>
        <w:t>hangsúlyozza, hogy a Bizottság általi nemrég elfogadott új uniós városfejlesztési menetrend csak akkor fog konkrét eredményeket hozni, ha azt teljes mértékben beépítik a jövőbeli nemzeti és regionális partnerségi programokba; e tekintetben kéri, hogy ezek a tervek tartalmazzanak konkrét, azonosítható és megfelelő forrásokkal ellátott intézkedéseket a lakónegyedekbe történő közberuházásokra vonatkozóan annak érdekében, hogy el lehessen kerülni azok tartós marginalizálódását, és meg lehessen akadályozni, hogy bűnözői hálózatok fogságába essenek; hangsúlyozza, hogy biztosítani kell a kohézió helyi alapú, integrált és inkluzív megközelítését, amely elengedhetetlen ahhoz, hogy egyetlen területet se hagyjunk magára, és fenntartható módon erősítsük a biztonságot, a társadalmi igazságosságot és a kohéziót az EU-ban;</w:t>
      </w:r>
    </w:p>
    <w:p w14:paraId="6F5B6EDF" w14:textId="280AD142" w:rsidR="006A14C7" w:rsidRPr="00DC1CEE" w:rsidRDefault="004D4418" w:rsidP="00CF3A25">
      <w:pPr>
        <w:pStyle w:val="NormalHanging12a"/>
        <w:widowControl/>
      </w:pPr>
      <w:r>
        <w:t>27</w:t>
      </w:r>
      <w:r w:rsidR="006A14C7" w:rsidRPr="00DC1CEE">
        <w:t>.</w:t>
      </w:r>
      <w:r w:rsidR="006A14C7" w:rsidRPr="00DC1CEE">
        <w:tab/>
        <w:t>emlékeztet arra, hogy az olasz maffiaellenes stratégia sikere nagyrészt a civil társadalom mozgósításán alapult; ezért felszólít a civil társadalom és különösen az alulról szerveződő szervezetek teljes körű bevonására a szervezett bűnözés és a kábítószer-kereskedelem elleni küzdelembe;</w:t>
      </w:r>
    </w:p>
    <w:p w14:paraId="21B95C92" w14:textId="420AA9D7" w:rsidR="006A14C7" w:rsidRPr="00DC1CEE" w:rsidRDefault="004D4418" w:rsidP="00CF3A25">
      <w:pPr>
        <w:pStyle w:val="NormalHanging12a"/>
        <w:widowControl/>
      </w:pPr>
      <w:r>
        <w:t>28</w:t>
      </w:r>
      <w:r w:rsidR="006A14C7" w:rsidRPr="00DC1CEE">
        <w:t>.</w:t>
      </w:r>
      <w:r w:rsidR="006A14C7" w:rsidRPr="00DC1CEE">
        <w:tab/>
        <w:t xml:space="preserve">hangsúlyozza, hogy az áldozatok családjainak tapasztalatait és meglátásait az európai kábítószer-ellenes politikák kidolgozásának, végrehajtásának és értékelésének középpontjába kell helyezni, elismerve alapvető szerepüket a megelőzésben és a veszélyeztetettek támogatásában; ezért kéri, hogy teljes mértékben vonják be őket az </w:t>
      </w:r>
      <w:r w:rsidR="006A14C7" w:rsidRPr="00DC1CEE">
        <w:lastRenderedPageBreak/>
        <w:t>Európai Unió és a tagállamok kábítószer-kereskedelem elleni küzdelemre irányuló jövőbeli fellépéseibe;</w:t>
      </w:r>
    </w:p>
    <w:p w14:paraId="5F2114BE" w14:textId="2E228748" w:rsidR="006A14C7" w:rsidRPr="00DC1CEE" w:rsidRDefault="004D4418" w:rsidP="00CF3A25">
      <w:pPr>
        <w:pStyle w:val="NormalHanging12a"/>
        <w:widowControl/>
      </w:pPr>
      <w:r>
        <w:t>29</w:t>
      </w:r>
      <w:r w:rsidR="006A14C7" w:rsidRPr="00DC1CEE">
        <w:t>.</w:t>
      </w:r>
      <w:r w:rsidR="006A14C7" w:rsidRPr="00DC1CEE">
        <w:tab/>
        <w:t>kéri, hogy a kábítószer elleni stratégia irányításáért felelős szervek, az érdekelt felek releváns bizottságai és a tagállamok strukturált módon vonják be az áldozatok és az érintett családok képviselőit;</w:t>
      </w:r>
    </w:p>
    <w:p w14:paraId="3536E22D" w14:textId="548D0E94" w:rsidR="00802F9B" w:rsidRPr="00DC1CEE" w:rsidRDefault="004D4418" w:rsidP="00CF3A25">
      <w:pPr>
        <w:pStyle w:val="NormalHanging12a"/>
        <w:widowControl/>
      </w:pPr>
      <w:r>
        <w:t>30</w:t>
      </w:r>
      <w:r w:rsidR="00802F9B" w:rsidRPr="00712265">
        <w:t>.</w:t>
      </w:r>
      <w:r w:rsidR="00802F9B" w:rsidRPr="00712265">
        <w:rPr>
          <w:b/>
          <w:i/>
        </w:rPr>
        <w:tab/>
      </w:r>
      <w:r w:rsidR="00802F9B" w:rsidRPr="00712265">
        <w:t xml:space="preserve">támogatásáról biztosítja az összes helyi szereplőt, köztük </w:t>
      </w:r>
      <w:r w:rsidR="00802F9B" w:rsidRPr="001D3AC1">
        <w:rPr>
          <w:bCs/>
          <w:iCs/>
        </w:rPr>
        <w:t xml:space="preserve">a bűnüldöző szervek tagjait, </w:t>
      </w:r>
      <w:r w:rsidR="00802F9B" w:rsidRPr="00D62091">
        <w:rPr>
          <w:bCs/>
          <w:iCs/>
        </w:rPr>
        <w:t>az</w:t>
      </w:r>
      <w:r w:rsidR="00802F9B" w:rsidRPr="00712265">
        <w:t xml:space="preserve"> egyesületeket, az oktatókat, a szociális munkásokat és a helyi hatóságokat; hangsúlyozza e kezdeményezések megfelelő uniós pénzügyi támogatásának fontosságát, megjegyezve, hogy ezzel összefüggésben mind a szociális ellátásra szánt forrásokat, mind a belső biztonság uniós támogatásának a 2028–2034-es időszakra történő létrehozásáról szóló rendeletre irányuló javaslat (COM(2025)0542) szerinti forrásokat mozgósítani lehetne;</w:t>
      </w:r>
    </w:p>
    <w:p w14:paraId="28DF16FF" w14:textId="42752E8A" w:rsidR="006A14C7" w:rsidRPr="00DC1CEE" w:rsidRDefault="004D4418" w:rsidP="00CF3A25">
      <w:pPr>
        <w:pStyle w:val="NormalHanging12a"/>
        <w:widowControl/>
      </w:pPr>
      <w:r>
        <w:t>31</w:t>
      </w:r>
      <w:r w:rsidR="006A14C7" w:rsidRPr="00DC1CEE">
        <w:t>.</w:t>
      </w:r>
      <w:r w:rsidR="006A14C7" w:rsidRPr="00DC1CEE">
        <w:tab/>
        <w:t>felhívja a Bizottságot és a tagállamokat, hogy dolgozzák ki az áldozatok és tanúk védelmével kapcsolatos bevált gyakorlatok európai koordinációját, figyelembe véve az érintett családok gyakran bizonytalan társadalmi és gazdasági helyzetét;</w:t>
      </w:r>
    </w:p>
    <w:p w14:paraId="1181F4EE" w14:textId="248737C1" w:rsidR="006A14C7" w:rsidRPr="00DC1CEE" w:rsidRDefault="004D4418" w:rsidP="00CF3A25">
      <w:pPr>
        <w:pStyle w:val="NormalHanging12a"/>
        <w:widowControl/>
      </w:pPr>
      <w:r>
        <w:t>32</w:t>
      </w:r>
      <w:r w:rsidR="006A14C7" w:rsidRPr="00DC1CEE">
        <w:t>.</w:t>
      </w:r>
      <w:r w:rsidR="006A14C7" w:rsidRPr="00DC1CEE">
        <w:tab/>
        <w:t>felhívja a tagállamokat, hogy biztonságuk garantálása érdekében biztosítsák a kábítószer-kereskedelem által érintett családok áthelyezését és foglalkoztatáshoz való hozzáférését, és felhívja a Bizottságot, hogy ezt a dimenziót építse be lakhatási tervébe;</w:t>
      </w:r>
    </w:p>
    <w:p w14:paraId="419DFC18" w14:textId="7272B5DC" w:rsidR="006A14C7" w:rsidRPr="00DC1CEE" w:rsidRDefault="004D4418" w:rsidP="00CF3A25">
      <w:pPr>
        <w:pStyle w:val="NormalHanging12a"/>
        <w:widowControl/>
      </w:pPr>
      <w:r>
        <w:t>33</w:t>
      </w:r>
      <w:r w:rsidR="006A14C7" w:rsidRPr="00DC1CEE">
        <w:t>.</w:t>
      </w:r>
      <w:r w:rsidR="006A14C7" w:rsidRPr="00DC1CEE">
        <w:tab/>
        <w:t>felhívja a tagállamokat, hogy támogassák azokat – például Amine Kessacit és Roberto Savianót –, akik felszólalnak a szervezett bűnözés ellen, és tegyék e támogatást a jogállamiság és a véleménynyilvánítás szabadsága védelmének egyik pillérévé;</w:t>
      </w:r>
    </w:p>
    <w:p w14:paraId="64DCEFF2" w14:textId="35B7B574" w:rsidR="00B45168" w:rsidRPr="00B45168" w:rsidRDefault="004D4418" w:rsidP="00CF3A25">
      <w:pPr>
        <w:pStyle w:val="NormalHanging12a"/>
        <w:widowControl/>
      </w:pPr>
      <w:r>
        <w:t>34</w:t>
      </w:r>
      <w:r w:rsidR="006A14C7" w:rsidRPr="00DC1CEE">
        <w:t>.</w:t>
      </w:r>
      <w:r w:rsidR="006A14C7" w:rsidRPr="00DC1CEE">
        <w:tab/>
        <w:t>utasítja elnökét, hogy továbbítsa ezt az állásfoglalást a Tanácsnak, a Bizottságnak, a tagállamok kormányainak és parlamentjeinek, valamint az érintett nemzetközi intézményeknek és szervezeteknek.</w:t>
      </w:r>
    </w:p>
    <w:p w14:paraId="4BBB65B0" w14:textId="39497807" w:rsidR="00E365E1" w:rsidRPr="00B45168" w:rsidRDefault="00E365E1" w:rsidP="00CF3A25">
      <w:pPr>
        <w:widowControl/>
        <w:spacing w:after="240"/>
        <w:ind w:left="567" w:hanging="567"/>
      </w:pPr>
    </w:p>
    <w:sectPr w:rsidR="00E365E1" w:rsidRPr="00B45168" w:rsidSect="00B451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E0AD6" w14:textId="77777777" w:rsidR="002D4888" w:rsidRPr="00B45168" w:rsidRDefault="002D4888">
      <w:r w:rsidRPr="00B45168">
        <w:separator/>
      </w:r>
    </w:p>
  </w:endnote>
  <w:endnote w:type="continuationSeparator" w:id="0">
    <w:p w14:paraId="23B99DF8" w14:textId="77777777" w:rsidR="002D4888" w:rsidRPr="00B45168" w:rsidRDefault="002D4888">
      <w:r w:rsidRPr="00B451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4FB29" w14:textId="77777777" w:rsidR="00064002" w:rsidRPr="00B451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96FDA" w14:textId="77777777" w:rsidR="00064002" w:rsidRPr="00B451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0BBE8" w14:textId="77777777" w:rsidR="00064002" w:rsidRPr="00B451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B7D02" w14:textId="77777777" w:rsidR="002D4888" w:rsidRPr="00B45168" w:rsidRDefault="002D4888">
      <w:r w:rsidRPr="00B45168">
        <w:separator/>
      </w:r>
    </w:p>
  </w:footnote>
  <w:footnote w:type="continuationSeparator" w:id="0">
    <w:p w14:paraId="795BDA9E" w14:textId="77777777" w:rsidR="002D4888" w:rsidRPr="00B45168" w:rsidRDefault="002D4888">
      <w:r w:rsidRPr="00B45168">
        <w:continuationSeparator/>
      </w:r>
    </w:p>
  </w:footnote>
  <w:footnote w:id="1">
    <w:p w14:paraId="7619D4DA" w14:textId="6056AF91" w:rsidR="006A14C7" w:rsidRPr="00B45168" w:rsidRDefault="006A14C7" w:rsidP="00B45168">
      <w:pPr>
        <w:pStyle w:val="FootnoteText"/>
        <w:ind w:left="567" w:hanging="567"/>
        <w:rPr>
          <w:sz w:val="24"/>
          <w:lang w:val="hu-HU"/>
        </w:rPr>
      </w:pPr>
      <w:r w:rsidRPr="00B45168">
        <w:rPr>
          <w:rStyle w:val="FootnoteReference"/>
          <w:sz w:val="24"/>
          <w:lang w:val="hu-HU"/>
        </w:rPr>
        <w:footnoteRef/>
      </w:r>
      <w:r w:rsidR="00B45168" w:rsidRPr="00B45168">
        <w:rPr>
          <w:sz w:val="24"/>
          <w:lang w:val="hu-HU"/>
        </w:rPr>
        <w:t xml:space="preserve"> </w:t>
      </w:r>
      <w:r w:rsidR="00B45168" w:rsidRPr="00B45168">
        <w:rPr>
          <w:sz w:val="24"/>
          <w:lang w:val="hu-HU"/>
        </w:rPr>
        <w:tab/>
      </w:r>
      <w:r w:rsidRPr="00B45168">
        <w:rPr>
          <w:sz w:val="24"/>
          <w:lang w:val="hu-HU"/>
        </w:rPr>
        <w:t>HL L 315., 2012.11.14., 57. o., ELI: </w:t>
      </w:r>
      <w:hyperlink r:id="rId1" w:tooltip="Az ELI (európai jogszabály-azonosító) URI-hivatkozása révén biztosít hozzáférést a dokumentumhoz." w:history="1">
        <w:r w:rsidRPr="00B45168">
          <w:rPr>
            <w:rStyle w:val="Hyperlink"/>
            <w:sz w:val="24"/>
            <w:lang w:val="hu-HU"/>
          </w:rPr>
          <w:t>http://data.europa.eu/eli/dir/2012/29/oj</w:t>
        </w:r>
      </w:hyperlink>
      <w:r w:rsidRPr="00B45168">
        <w:rPr>
          <w:sz w:val="24"/>
          <w:lang w:val="hu-HU"/>
        </w:rPr>
        <w:t>.</w:t>
      </w:r>
    </w:p>
  </w:footnote>
  <w:footnote w:id="2">
    <w:p w14:paraId="58079D7D" w14:textId="4DDC39C3" w:rsidR="006A14C7" w:rsidRPr="00B45168" w:rsidRDefault="006A14C7" w:rsidP="00B45168">
      <w:pPr>
        <w:pStyle w:val="FootnoteText"/>
        <w:ind w:left="567" w:hanging="567"/>
        <w:rPr>
          <w:sz w:val="24"/>
          <w:lang w:val="hu-HU"/>
        </w:rPr>
      </w:pPr>
      <w:r w:rsidRPr="00B45168">
        <w:rPr>
          <w:rStyle w:val="FootnoteReference"/>
          <w:sz w:val="24"/>
          <w:lang w:val="hu-HU"/>
        </w:rPr>
        <w:footnoteRef/>
      </w:r>
      <w:r w:rsidR="00B45168" w:rsidRPr="00B45168">
        <w:rPr>
          <w:sz w:val="24"/>
          <w:lang w:val="hu-HU"/>
        </w:rPr>
        <w:t xml:space="preserve"> </w:t>
      </w:r>
      <w:r w:rsidR="00B45168" w:rsidRPr="00B45168">
        <w:rPr>
          <w:sz w:val="24"/>
          <w:lang w:val="hu-HU"/>
        </w:rPr>
        <w:tab/>
      </w:r>
      <w:r w:rsidRPr="00B45168">
        <w:rPr>
          <w:sz w:val="24"/>
          <w:lang w:val="hu-HU"/>
        </w:rPr>
        <w:t>HL C 65., 2016.2.19., 16. o.</w:t>
      </w:r>
    </w:p>
  </w:footnote>
  <w:footnote w:id="3">
    <w:p w14:paraId="3731ACA3" w14:textId="76EB31F3" w:rsidR="006A14C7" w:rsidRPr="00B45168" w:rsidRDefault="006A14C7" w:rsidP="00B45168">
      <w:pPr>
        <w:pStyle w:val="FootnoteText"/>
        <w:ind w:left="567" w:hanging="567"/>
        <w:rPr>
          <w:sz w:val="24"/>
          <w:lang w:val="hu-HU"/>
        </w:rPr>
      </w:pPr>
      <w:r w:rsidRPr="00B45168">
        <w:rPr>
          <w:rStyle w:val="FootnoteReference"/>
          <w:sz w:val="24"/>
          <w:lang w:val="hu-HU"/>
        </w:rPr>
        <w:footnoteRef/>
      </w:r>
      <w:r w:rsidR="00B45168" w:rsidRPr="00B45168">
        <w:rPr>
          <w:sz w:val="24"/>
          <w:lang w:val="hu-HU"/>
        </w:rPr>
        <w:t xml:space="preserve"> </w:t>
      </w:r>
      <w:r w:rsidR="00B45168" w:rsidRPr="00B45168">
        <w:rPr>
          <w:sz w:val="24"/>
          <w:lang w:val="hu-HU"/>
        </w:rPr>
        <w:tab/>
      </w:r>
      <w:r w:rsidRPr="00B45168">
        <w:rPr>
          <w:sz w:val="24"/>
          <w:lang w:val="hu-HU"/>
        </w:rPr>
        <w:t>HL L, 2024/1624, 2024.6.19., ELI: </w:t>
      </w:r>
      <w:hyperlink r:id="rId2" w:tgtFrame="_blank" w:tooltip="Az ELI (európai jogszabály-azonosító) URI-hivatkozása révén biztosít hozzáférést a dokumentumhoz" w:history="1">
        <w:r w:rsidRPr="00B45168">
          <w:rPr>
            <w:rStyle w:val="Hyperlink"/>
            <w:sz w:val="24"/>
            <w:lang w:val="hu-HU"/>
          </w:rPr>
          <w:t>http://data.europa.eu/eli/reg/2024/1624/oj</w:t>
        </w:r>
      </w:hyperlink>
      <w:r w:rsidRPr="00B45168">
        <w:rPr>
          <w:sz w:val="24"/>
          <w:lang w:val="hu-HU"/>
        </w:rPr>
        <w:t>.</w:t>
      </w:r>
    </w:p>
  </w:footnote>
  <w:footnote w:id="4">
    <w:p w14:paraId="07B8B618" w14:textId="60F60ED4" w:rsidR="006A14C7" w:rsidRPr="00B45168" w:rsidRDefault="006A14C7" w:rsidP="00B45168">
      <w:pPr>
        <w:pStyle w:val="FootnoteText"/>
        <w:ind w:left="567" w:hanging="567"/>
        <w:rPr>
          <w:sz w:val="24"/>
          <w:lang w:val="hu-HU"/>
        </w:rPr>
      </w:pPr>
      <w:r w:rsidRPr="00B45168">
        <w:rPr>
          <w:rStyle w:val="FootnoteReference"/>
          <w:sz w:val="24"/>
          <w:lang w:val="hu-HU"/>
        </w:rPr>
        <w:footnoteRef/>
      </w:r>
      <w:r w:rsidR="00B45168" w:rsidRPr="00B45168">
        <w:rPr>
          <w:sz w:val="24"/>
          <w:lang w:val="hu-HU"/>
        </w:rPr>
        <w:t xml:space="preserve"> </w:t>
      </w:r>
      <w:r w:rsidR="00B45168" w:rsidRPr="00B45168">
        <w:rPr>
          <w:sz w:val="24"/>
          <w:lang w:val="hu-HU"/>
        </w:rPr>
        <w:tab/>
      </w:r>
      <w:r w:rsidRPr="00B45168">
        <w:rPr>
          <w:sz w:val="24"/>
          <w:lang w:val="hu-HU"/>
        </w:rPr>
        <w:t>HL L, 2024/1640, 2024.6.19., ELI: </w:t>
      </w:r>
      <w:hyperlink r:id="rId3" w:tgtFrame="_blank" w:tooltip="Az ELI (európai jogszabály-azonosító) URI-hivatkozása révén biztosít hozzáférést a dokumentumhoz" w:history="1">
        <w:r w:rsidRPr="00B45168">
          <w:rPr>
            <w:rStyle w:val="Hyperlink"/>
            <w:sz w:val="24"/>
            <w:lang w:val="hu-HU"/>
          </w:rPr>
          <w:t>http://data.europa.eu/eli/dir/2024/1640/oj</w:t>
        </w:r>
      </w:hyperlink>
      <w:r w:rsidRPr="00B45168">
        <w:rPr>
          <w:sz w:val="24"/>
          <w:lang w:val="hu-HU"/>
        </w:rPr>
        <w:t>.</w:t>
      </w:r>
    </w:p>
  </w:footnote>
  <w:footnote w:id="5">
    <w:p w14:paraId="542E7821" w14:textId="56FED47A" w:rsidR="006A14C7" w:rsidRPr="00B45168" w:rsidRDefault="006A14C7" w:rsidP="00B45168">
      <w:pPr>
        <w:pStyle w:val="FootnoteText"/>
        <w:ind w:left="567" w:hanging="567"/>
        <w:rPr>
          <w:sz w:val="24"/>
          <w:lang w:val="hu-HU"/>
        </w:rPr>
      </w:pPr>
      <w:r w:rsidRPr="00B45168">
        <w:rPr>
          <w:rStyle w:val="FootnoteReference"/>
          <w:sz w:val="24"/>
          <w:lang w:val="hu-HU"/>
        </w:rPr>
        <w:footnoteRef/>
      </w:r>
      <w:r w:rsidR="00B45168" w:rsidRPr="00B45168">
        <w:rPr>
          <w:sz w:val="24"/>
          <w:lang w:val="hu-HU"/>
        </w:rPr>
        <w:t xml:space="preserve"> </w:t>
      </w:r>
      <w:r w:rsidR="00B45168" w:rsidRPr="00B45168">
        <w:rPr>
          <w:sz w:val="24"/>
          <w:lang w:val="hu-HU"/>
        </w:rPr>
        <w:tab/>
      </w:r>
      <w:r w:rsidRPr="00B45168">
        <w:rPr>
          <w:sz w:val="24"/>
          <w:lang w:val="hu-HU"/>
        </w:rPr>
        <w:t>HL L, 2024/1712, 2024.6.24., ELI: </w:t>
      </w:r>
      <w:hyperlink r:id="rId4" w:tgtFrame="_blank" w:tooltip="Az ELI (európai jogszabály-azonosító) URI-hivatkozása révén biztosít hozzáférést a dokumentumhoz" w:history="1">
        <w:r w:rsidRPr="00B45168">
          <w:rPr>
            <w:rStyle w:val="Hyperlink"/>
            <w:sz w:val="24"/>
            <w:lang w:val="hu-HU"/>
          </w:rPr>
          <w:t>http://data.europa.eu/eli/dir/2024/1712/oj</w:t>
        </w:r>
      </w:hyperlink>
      <w:r w:rsidRPr="00B45168">
        <w:rPr>
          <w:sz w:val="24"/>
          <w:lang w:val="hu-HU"/>
        </w:rPr>
        <w:t>.</w:t>
      </w:r>
    </w:p>
  </w:footnote>
  <w:footnote w:id="6">
    <w:p w14:paraId="5CA39802" w14:textId="788FD0FF" w:rsidR="00802F9B" w:rsidRPr="001D3AC1" w:rsidRDefault="00802F9B" w:rsidP="001D3AC1">
      <w:pPr>
        <w:pStyle w:val="FootnoteText"/>
        <w:ind w:left="567" w:hanging="567"/>
        <w:rPr>
          <w:sz w:val="24"/>
          <w:szCs w:val="24"/>
          <w:lang w:val="hu-HU"/>
        </w:rPr>
      </w:pPr>
      <w:r w:rsidRPr="001D3AC1">
        <w:rPr>
          <w:rStyle w:val="FootnoteReference"/>
          <w:sz w:val="24"/>
          <w:szCs w:val="24"/>
        </w:rPr>
        <w:footnoteRef/>
      </w:r>
      <w:r w:rsidRPr="001D3AC1">
        <w:rPr>
          <w:sz w:val="24"/>
          <w:szCs w:val="24"/>
          <w:lang w:val="hu-HU"/>
        </w:rPr>
        <w:t xml:space="preserve"> </w:t>
      </w:r>
      <w:r w:rsidRPr="001D3AC1">
        <w:rPr>
          <w:sz w:val="24"/>
          <w:szCs w:val="24"/>
          <w:lang w:val="hu-HU"/>
        </w:rPr>
        <w:tab/>
        <w:t xml:space="preserve">Az Európai Parlament és a Tanács 2006/126/EK irányelve (2006. december 20.) a vezetői engedélyekről (HL L 403., 2006.12.30., 18. o., ELI: </w:t>
      </w:r>
      <w:hyperlink r:id="rId5" w:history="1">
        <w:r w:rsidRPr="001D3AC1">
          <w:rPr>
            <w:rStyle w:val="Hyperlink"/>
            <w:sz w:val="24"/>
            <w:szCs w:val="24"/>
            <w:lang w:val="hu-HU"/>
          </w:rPr>
          <w:t>http://data.europa.eu/eli/dir/2006/126/oj</w:t>
        </w:r>
      </w:hyperlink>
      <w:r w:rsidRPr="001D3AC1">
        <w:rPr>
          <w:sz w:val="24"/>
          <w:szCs w:val="24"/>
          <w:lang w:val="hu-HU"/>
        </w:rPr>
        <w:t>).</w:t>
      </w:r>
    </w:p>
  </w:footnote>
  <w:footnote w:id="7">
    <w:p w14:paraId="15C379C9" w14:textId="33654948" w:rsidR="006A14C7" w:rsidRPr="00B45168" w:rsidRDefault="006A14C7" w:rsidP="00B45168">
      <w:pPr>
        <w:pStyle w:val="FootnoteText"/>
        <w:ind w:left="567" w:hanging="567"/>
        <w:rPr>
          <w:sz w:val="24"/>
          <w:lang w:val="hu-HU"/>
        </w:rPr>
      </w:pPr>
      <w:r w:rsidRPr="00B45168">
        <w:rPr>
          <w:rStyle w:val="FootnoteReference"/>
          <w:sz w:val="24"/>
          <w:lang w:val="hu-HU"/>
        </w:rPr>
        <w:footnoteRef/>
      </w:r>
      <w:r w:rsidR="00B45168" w:rsidRPr="00B45168">
        <w:rPr>
          <w:sz w:val="24"/>
          <w:lang w:val="hu-HU"/>
        </w:rPr>
        <w:t xml:space="preserve"> </w:t>
      </w:r>
      <w:r w:rsidR="00B45168" w:rsidRPr="00B45168">
        <w:rPr>
          <w:sz w:val="24"/>
          <w:lang w:val="hu-HU"/>
        </w:rPr>
        <w:tab/>
      </w:r>
      <w:r w:rsidRPr="00B45168">
        <w:rPr>
          <w:sz w:val="24"/>
          <w:lang w:val="hu-HU"/>
        </w:rPr>
        <w:t>HL L, 2024/1260, 2024.5.2., ELI: </w:t>
      </w:r>
      <w:hyperlink r:id="rId6" w:tgtFrame="_blank" w:tooltip="Az ELI (európai jogszabály-azonosító) URI-hivatkozása révén biztosít hozzáférést a dokumentumhoz" w:history="1">
        <w:r w:rsidRPr="00B45168">
          <w:rPr>
            <w:rStyle w:val="Hyperlink"/>
            <w:sz w:val="24"/>
            <w:lang w:val="hu-HU"/>
          </w:rPr>
          <w:t>http://data.europa.eu/eli/dir/2024/1260/oj</w:t>
        </w:r>
      </w:hyperlink>
      <w:r w:rsidRPr="00B45168">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E6A5" w14:textId="77777777" w:rsidR="00064002" w:rsidRPr="00B451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3777F" w14:textId="77777777" w:rsidR="00064002" w:rsidRPr="00B451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63B6D" w14:textId="77777777" w:rsidR="00064002" w:rsidRPr="00B451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9417110">
    <w:abstractNumId w:val="9"/>
  </w:num>
  <w:num w:numId="2" w16cid:durableId="1492792262">
    <w:abstractNumId w:val="9"/>
  </w:num>
  <w:num w:numId="3" w16cid:durableId="2081321580">
    <w:abstractNumId w:val="7"/>
  </w:num>
  <w:num w:numId="4" w16cid:durableId="496922617">
    <w:abstractNumId w:val="7"/>
  </w:num>
  <w:num w:numId="5" w16cid:durableId="584344268">
    <w:abstractNumId w:val="6"/>
  </w:num>
  <w:num w:numId="6" w16cid:durableId="243999594">
    <w:abstractNumId w:val="6"/>
  </w:num>
  <w:num w:numId="7" w16cid:durableId="1171531293">
    <w:abstractNumId w:val="5"/>
  </w:num>
  <w:num w:numId="8" w16cid:durableId="746732544">
    <w:abstractNumId w:val="5"/>
  </w:num>
  <w:num w:numId="9" w16cid:durableId="1392340051">
    <w:abstractNumId w:val="4"/>
  </w:num>
  <w:num w:numId="10" w16cid:durableId="1325164731">
    <w:abstractNumId w:val="4"/>
  </w:num>
  <w:num w:numId="11" w16cid:durableId="1419017039">
    <w:abstractNumId w:val="8"/>
  </w:num>
  <w:num w:numId="12" w16cid:durableId="73360031">
    <w:abstractNumId w:val="8"/>
  </w:num>
  <w:num w:numId="13" w16cid:durableId="1730877363">
    <w:abstractNumId w:val="3"/>
  </w:num>
  <w:num w:numId="14" w16cid:durableId="1691300124">
    <w:abstractNumId w:val="3"/>
  </w:num>
  <w:num w:numId="15" w16cid:durableId="462043453">
    <w:abstractNumId w:val="2"/>
  </w:num>
  <w:num w:numId="16" w16cid:durableId="1542208697">
    <w:abstractNumId w:val="2"/>
  </w:num>
  <w:num w:numId="17" w16cid:durableId="151608250">
    <w:abstractNumId w:val="1"/>
  </w:num>
  <w:num w:numId="18" w16cid:durableId="1935816788">
    <w:abstractNumId w:val="1"/>
  </w:num>
  <w:num w:numId="19" w16cid:durableId="1181898280">
    <w:abstractNumId w:val="0"/>
  </w:num>
  <w:num w:numId="20" w16cid:durableId="1390417174">
    <w:abstractNumId w:val="0"/>
  </w:num>
  <w:num w:numId="21" w16cid:durableId="409425174">
    <w:abstractNumId w:val="9"/>
  </w:num>
  <w:num w:numId="22" w16cid:durableId="61488406">
    <w:abstractNumId w:val="7"/>
  </w:num>
  <w:num w:numId="23" w16cid:durableId="308633373">
    <w:abstractNumId w:val="6"/>
  </w:num>
  <w:num w:numId="24" w16cid:durableId="968050226">
    <w:abstractNumId w:val="5"/>
  </w:num>
  <w:num w:numId="25" w16cid:durableId="810902273">
    <w:abstractNumId w:val="4"/>
  </w:num>
  <w:num w:numId="26" w16cid:durableId="457141473">
    <w:abstractNumId w:val="8"/>
  </w:num>
  <w:num w:numId="27" w16cid:durableId="931670813">
    <w:abstractNumId w:val="3"/>
  </w:num>
  <w:num w:numId="28" w16cid:durableId="1879273531">
    <w:abstractNumId w:val="2"/>
  </w:num>
  <w:num w:numId="29" w16cid:durableId="1227374846">
    <w:abstractNumId w:val="1"/>
  </w:num>
  <w:num w:numId="30" w16cid:durableId="1865054296">
    <w:abstractNumId w:val="0"/>
  </w:num>
  <w:num w:numId="31" w16cid:durableId="397441849">
    <w:abstractNumId w:val="9"/>
  </w:num>
  <w:num w:numId="32" w16cid:durableId="1658338316">
    <w:abstractNumId w:val="7"/>
  </w:num>
  <w:num w:numId="33" w16cid:durableId="834686060">
    <w:abstractNumId w:val="6"/>
  </w:num>
  <w:num w:numId="34" w16cid:durableId="777218211">
    <w:abstractNumId w:val="5"/>
  </w:num>
  <w:num w:numId="35" w16cid:durableId="1286039315">
    <w:abstractNumId w:val="4"/>
  </w:num>
  <w:num w:numId="36" w16cid:durableId="980382278">
    <w:abstractNumId w:val="8"/>
  </w:num>
  <w:num w:numId="37" w16cid:durableId="91711622">
    <w:abstractNumId w:val="3"/>
  </w:num>
  <w:num w:numId="38" w16cid:durableId="861477476">
    <w:abstractNumId w:val="2"/>
  </w:num>
  <w:num w:numId="39" w16cid:durableId="2125033555">
    <w:abstractNumId w:val="1"/>
  </w:num>
  <w:num w:numId="40" w16cid:durableId="2021853651">
    <w:abstractNumId w:val="0"/>
  </w:num>
  <w:num w:numId="41" w16cid:durableId="447547882">
    <w:abstractNumId w:val="10"/>
  </w:num>
  <w:num w:numId="42" w16cid:durableId="997077782">
    <w:abstractNumId w:val="10"/>
  </w:num>
  <w:num w:numId="43" w16cid:durableId="1576091501">
    <w:abstractNumId w:val="10"/>
  </w:num>
  <w:num w:numId="44" w16cid:durableId="12055562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HU"/>
    <w:docVar w:name="dvnumam" w:val="0"/>
    <w:docVar w:name="dvpe" w:val="782.012"/>
    <w:docVar w:name="dvtitre" w:val="Az Európai Parlament 2026.  ...-i állásfoglalása Mehdi Kessaci meggyilkolásáról és a kábítószer-kereskedelem elleni ambiciózus európai fellépés szükségességéről(2025/3020(RSP))"/>
  </w:docVars>
  <w:rsids>
    <w:rsidRoot w:val="002D4888"/>
    <w:rsid w:val="00002272"/>
    <w:rsid w:val="00035779"/>
    <w:rsid w:val="00064002"/>
    <w:rsid w:val="000677B9"/>
    <w:rsid w:val="000831BA"/>
    <w:rsid w:val="000836D7"/>
    <w:rsid w:val="000A42CC"/>
    <w:rsid w:val="000E7604"/>
    <w:rsid w:val="000E7DD9"/>
    <w:rsid w:val="0010095E"/>
    <w:rsid w:val="00125B37"/>
    <w:rsid w:val="00187494"/>
    <w:rsid w:val="001D3AC1"/>
    <w:rsid w:val="001F32AE"/>
    <w:rsid w:val="00236675"/>
    <w:rsid w:val="002767FF"/>
    <w:rsid w:val="002B18FE"/>
    <w:rsid w:val="002B5493"/>
    <w:rsid w:val="002D4888"/>
    <w:rsid w:val="00343214"/>
    <w:rsid w:val="00361C00"/>
    <w:rsid w:val="00395FA1"/>
    <w:rsid w:val="003E15D4"/>
    <w:rsid w:val="00411CCE"/>
    <w:rsid w:val="0041666E"/>
    <w:rsid w:val="00421060"/>
    <w:rsid w:val="00471C19"/>
    <w:rsid w:val="004867E3"/>
    <w:rsid w:val="00494A28"/>
    <w:rsid w:val="004C0004"/>
    <w:rsid w:val="004C5D52"/>
    <w:rsid w:val="004D4418"/>
    <w:rsid w:val="0050519A"/>
    <w:rsid w:val="005072A1"/>
    <w:rsid w:val="00514517"/>
    <w:rsid w:val="00545827"/>
    <w:rsid w:val="00560270"/>
    <w:rsid w:val="005B1E7B"/>
    <w:rsid w:val="005C2568"/>
    <w:rsid w:val="005F1B17"/>
    <w:rsid w:val="006037C0"/>
    <w:rsid w:val="006631B6"/>
    <w:rsid w:val="00680577"/>
    <w:rsid w:val="006A14C7"/>
    <w:rsid w:val="006F74FA"/>
    <w:rsid w:val="00731ADD"/>
    <w:rsid w:val="00734777"/>
    <w:rsid w:val="00747932"/>
    <w:rsid w:val="00751A4A"/>
    <w:rsid w:val="00756632"/>
    <w:rsid w:val="00762C74"/>
    <w:rsid w:val="00786EC0"/>
    <w:rsid w:val="007D1690"/>
    <w:rsid w:val="007E22AD"/>
    <w:rsid w:val="00802F9B"/>
    <w:rsid w:val="00817416"/>
    <w:rsid w:val="00842779"/>
    <w:rsid w:val="00865F67"/>
    <w:rsid w:val="00881A7B"/>
    <w:rsid w:val="008840E5"/>
    <w:rsid w:val="00887B3E"/>
    <w:rsid w:val="008C2AC6"/>
    <w:rsid w:val="0091343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5168"/>
    <w:rsid w:val="00B558F0"/>
    <w:rsid w:val="00BD48FE"/>
    <w:rsid w:val="00BD7BD8"/>
    <w:rsid w:val="00BE6ADC"/>
    <w:rsid w:val="00C05BFE"/>
    <w:rsid w:val="00C23CD4"/>
    <w:rsid w:val="00C61C0C"/>
    <w:rsid w:val="00C941CB"/>
    <w:rsid w:val="00CC2357"/>
    <w:rsid w:val="00CF071A"/>
    <w:rsid w:val="00CF3A25"/>
    <w:rsid w:val="00D058B8"/>
    <w:rsid w:val="00D216EB"/>
    <w:rsid w:val="00D56C11"/>
    <w:rsid w:val="00D62091"/>
    <w:rsid w:val="00D834A0"/>
    <w:rsid w:val="00D872DF"/>
    <w:rsid w:val="00D91E21"/>
    <w:rsid w:val="00DA7FCD"/>
    <w:rsid w:val="00DC1CE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BA049"/>
  <w15:chartTrackingRefBased/>
  <w15:docId w15:val="{CE886F42-719C-48F5-94CB-ABFD75137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14C7"/>
    <w:pPr>
      <w:spacing w:before="480" w:after="240"/>
    </w:pPr>
  </w:style>
  <w:style w:type="paragraph" w:customStyle="1" w:styleId="NormalHanging12a">
    <w:name w:val="NormalHanging12a"/>
    <w:basedOn w:val="Normal"/>
    <w:rsid w:val="006A14C7"/>
    <w:pPr>
      <w:spacing w:after="240"/>
      <w:ind w:left="567" w:hanging="567"/>
    </w:pPr>
  </w:style>
  <w:style w:type="character" w:styleId="Hyperlink">
    <w:name w:val="Hyperlink"/>
    <w:basedOn w:val="DefaultParagraphFont"/>
    <w:uiPriority w:val="99"/>
    <w:unhideWhenUsed/>
    <w:rsid w:val="006A14C7"/>
    <w:rPr>
      <w:color w:val="0563C1" w:themeColor="hyperlink"/>
      <w:u w:val="single"/>
    </w:rPr>
  </w:style>
  <w:style w:type="paragraph" w:styleId="Revision">
    <w:name w:val="Revision"/>
    <w:hidden/>
    <w:uiPriority w:val="99"/>
    <w:semiHidden/>
    <w:rsid w:val="00CF3A25"/>
    <w:rPr>
      <w:sz w:val="24"/>
      <w:lang w:val="hu-HU"/>
    </w:rPr>
  </w:style>
  <w:style w:type="character" w:styleId="UnresolvedMention">
    <w:name w:val="Unresolved Mention"/>
    <w:basedOn w:val="DefaultParagraphFont"/>
    <w:uiPriority w:val="99"/>
    <w:semiHidden/>
    <w:unhideWhenUsed/>
    <w:rsid w:val="00802F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3396</Words>
  <Characters>25134</Characters>
  <Application>Microsoft Office Word</Application>
  <DocSecurity>0</DocSecurity>
  <Lines>644</Lines>
  <Paragraphs>316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2026-02-23T14:20:00Z</dcterms:created>
  <dcterms:modified xsi:type="dcterms:W3CDTF">2026-02-23T14:20:00Z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P10_TA(2026)0007_</vt:lpwstr>
  </property>
  <property fmtid="{D5CDD505-2E9C-101B-9397-08002B2CF9AE}" pid="4" name="&lt;Type&gt;">
    <vt:lpwstr>RR</vt:lpwstr>
  </property>
</Properties>
</file>