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D7090" w14:paraId="7E03ED31" w14:textId="77777777" w:rsidTr="0010095E">
        <w:trPr>
          <w:trHeight w:hRule="exact" w:val="1418"/>
        </w:trPr>
        <w:tc>
          <w:tcPr>
            <w:tcW w:w="6804" w:type="dxa"/>
            <w:shd w:val="clear" w:color="auto" w:fill="auto"/>
            <w:vAlign w:val="center"/>
          </w:tcPr>
          <w:p w14:paraId="313F451B" w14:textId="77777777" w:rsidR="00751A4A" w:rsidRPr="006D7090" w:rsidRDefault="00D171AA" w:rsidP="0010095E">
            <w:pPr>
              <w:pStyle w:val="EPName"/>
            </w:pPr>
            <w:r w:rsidRPr="006D7090">
              <w:t>Europos Parlamentas</w:t>
            </w:r>
          </w:p>
          <w:p w14:paraId="634AD9E0" w14:textId="77777777" w:rsidR="00751A4A" w:rsidRPr="006D7090" w:rsidRDefault="005F1B17" w:rsidP="005F1B17">
            <w:pPr>
              <w:pStyle w:val="EPTerm"/>
              <w:rPr>
                <w:rStyle w:val="HideTWBExt"/>
                <w:noProof w:val="0"/>
                <w:vanish w:val="0"/>
                <w:color w:val="auto"/>
              </w:rPr>
            </w:pPr>
            <w:r w:rsidRPr="006D7090">
              <w:t>2024</w:t>
            </w:r>
            <w:r w:rsidR="00817416" w:rsidRPr="006D7090">
              <w:t>-202</w:t>
            </w:r>
            <w:r w:rsidRPr="006D7090">
              <w:t>9</w:t>
            </w:r>
          </w:p>
        </w:tc>
        <w:tc>
          <w:tcPr>
            <w:tcW w:w="2268" w:type="dxa"/>
            <w:shd w:val="clear" w:color="auto" w:fill="auto"/>
          </w:tcPr>
          <w:p w14:paraId="499541A3" w14:textId="77777777" w:rsidR="00751A4A" w:rsidRPr="006D7090" w:rsidRDefault="00187494" w:rsidP="0010095E">
            <w:pPr>
              <w:pStyle w:val="EPLogo"/>
            </w:pPr>
            <w:r w:rsidRPr="006D7090">
              <w:rPr>
                <w:noProof/>
                <w:lang w:eastAsia="ja-JP"/>
              </w:rPr>
              <w:drawing>
                <wp:inline distT="0" distB="0" distL="0" distR="0" wp14:anchorId="625CFB97" wp14:editId="242CB98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AF6EFA" w14:textId="77777777" w:rsidR="00D058B8" w:rsidRPr="006D7090" w:rsidRDefault="00D058B8" w:rsidP="004C5D52">
      <w:pPr>
        <w:pStyle w:val="LineTop"/>
      </w:pPr>
    </w:p>
    <w:p w14:paraId="20416887" w14:textId="77777777" w:rsidR="00680577" w:rsidRPr="006D7090" w:rsidRDefault="00D171AA" w:rsidP="00680577">
      <w:pPr>
        <w:pStyle w:val="EPBodyTA1"/>
      </w:pPr>
      <w:r w:rsidRPr="006D7090">
        <w:t>PRIIMTI TEKSTAI</w:t>
      </w:r>
    </w:p>
    <w:p w14:paraId="0853D8B1" w14:textId="77777777" w:rsidR="00D058B8" w:rsidRPr="006D7090" w:rsidRDefault="00D058B8" w:rsidP="00D058B8">
      <w:pPr>
        <w:pStyle w:val="LineBottom"/>
      </w:pPr>
    </w:p>
    <w:p w14:paraId="13ACA305" w14:textId="5FD97EF7" w:rsidR="00D171AA" w:rsidRPr="006D7090" w:rsidRDefault="00D171AA" w:rsidP="00D171AA">
      <w:pPr>
        <w:pStyle w:val="ATHeading1"/>
      </w:pPr>
      <w:bookmarkStart w:id="0" w:name="TANumber"/>
      <w:r w:rsidRPr="006D7090">
        <w:t>P10_TA(2026)000</w:t>
      </w:r>
      <w:r w:rsidR="00F502E9">
        <w:t>7</w:t>
      </w:r>
      <w:bookmarkEnd w:id="0"/>
    </w:p>
    <w:p w14:paraId="60F6AA71" w14:textId="77777777" w:rsidR="00D171AA" w:rsidRPr="006D7090" w:rsidRDefault="00D171AA" w:rsidP="00D171AA">
      <w:pPr>
        <w:pStyle w:val="ATHeading2"/>
      </w:pPr>
      <w:bookmarkStart w:id="1" w:name="title"/>
      <w:r w:rsidRPr="006D7090">
        <w:t>Mehdi Kessaci nužudymas: neatidėliotinas poreikis imtis plataus užmojo Europos veiksmų kovojant su prekyba narkotikais</w:t>
      </w:r>
      <w:bookmarkEnd w:id="1"/>
    </w:p>
    <w:p w14:paraId="71F590A8" w14:textId="77777777" w:rsidR="00D171AA" w:rsidRPr="006D7090" w:rsidRDefault="00D171AA" w:rsidP="00D171AA">
      <w:pPr>
        <w:rPr>
          <w:i/>
          <w:vanish/>
        </w:rPr>
      </w:pPr>
      <w:r w:rsidRPr="006D7090">
        <w:rPr>
          <w:i/>
        </w:rPr>
        <w:fldChar w:fldCharType="begin"/>
      </w:r>
      <w:r w:rsidRPr="006D7090">
        <w:rPr>
          <w:i/>
        </w:rPr>
        <w:instrText xml:space="preserve"> TC"(</w:instrText>
      </w:r>
      <w:bookmarkStart w:id="2" w:name="DocNumber"/>
      <w:r w:rsidRPr="006D7090">
        <w:rPr>
          <w:i/>
        </w:rPr>
        <w:instrText>B10-0057/2026</w:instrText>
      </w:r>
      <w:bookmarkEnd w:id="2"/>
      <w:r w:rsidRPr="006D7090">
        <w:rPr>
          <w:i/>
        </w:rPr>
        <w:instrText xml:space="preserve">)"\l3 \n&gt; \* MERGEFORMAT </w:instrText>
      </w:r>
      <w:r w:rsidRPr="006D7090">
        <w:rPr>
          <w:i/>
        </w:rPr>
        <w:fldChar w:fldCharType="end"/>
      </w:r>
    </w:p>
    <w:p w14:paraId="74BB748A" w14:textId="77777777" w:rsidR="00D171AA" w:rsidRPr="006D7090" w:rsidRDefault="00D171AA" w:rsidP="00D171AA">
      <w:pPr>
        <w:rPr>
          <w:vanish/>
        </w:rPr>
      </w:pPr>
      <w:bookmarkStart w:id="3" w:name="PE"/>
      <w:r w:rsidRPr="006D7090">
        <w:rPr>
          <w:vanish/>
        </w:rPr>
        <w:t>PE782.012</w:t>
      </w:r>
      <w:bookmarkEnd w:id="3"/>
    </w:p>
    <w:p w14:paraId="0C5E119E" w14:textId="553BCF68" w:rsidR="00D171AA" w:rsidRPr="006D7090" w:rsidRDefault="00D171AA" w:rsidP="00967694">
      <w:pPr>
        <w:pStyle w:val="ATHeading3"/>
      </w:pPr>
      <w:bookmarkStart w:id="4" w:name="Sujet"/>
      <w:r w:rsidRPr="006D7090">
        <w:t xml:space="preserve">2026 m. sausio 20 d. Europos Parlamento rezoliucija </w:t>
      </w:r>
      <w:r w:rsidR="006A6D02">
        <w:t>„</w:t>
      </w:r>
      <w:r w:rsidRPr="006D7090">
        <w:t>Mehdi Kessaci nužudymas: neatidėliotinas poreikis imtis plataus užmojo Europos veiksmų kovojant su prekyba narkotikais</w:t>
      </w:r>
      <w:bookmarkEnd w:id="4"/>
      <w:r w:rsidR="006A6D02">
        <w:t>“</w:t>
      </w:r>
      <w:r w:rsidRPr="006D7090">
        <w:t xml:space="preserve"> </w:t>
      </w:r>
      <w:bookmarkStart w:id="5" w:name="References"/>
      <w:r w:rsidRPr="006D7090">
        <w:t>(2025/3020(RSP))</w:t>
      </w:r>
      <w:bookmarkEnd w:id="5"/>
    </w:p>
    <w:p w14:paraId="7E8813FE" w14:textId="77777777" w:rsidR="006A6C55" w:rsidRPr="006D7090" w:rsidRDefault="006A6C55" w:rsidP="006A6C55">
      <w:pPr>
        <w:pStyle w:val="EPComma"/>
      </w:pPr>
      <w:bookmarkStart w:id="6" w:name="TextBodyBegin"/>
      <w:bookmarkEnd w:id="6"/>
      <w:r w:rsidRPr="006D7090">
        <w:rPr>
          <w:i/>
        </w:rPr>
        <w:t>Europos Parlamentas</w:t>
      </w:r>
      <w:r w:rsidRPr="006D7090">
        <w:t>,</w:t>
      </w:r>
    </w:p>
    <w:p w14:paraId="4573F7C7" w14:textId="77777777" w:rsidR="006A6C55" w:rsidRPr="006D7090" w:rsidRDefault="006A6C55" w:rsidP="006A6C55">
      <w:pPr>
        <w:pStyle w:val="NormalHanging12a"/>
      </w:pPr>
      <w:r w:rsidRPr="006D7090">
        <w:t>–</w:t>
      </w:r>
      <w:r w:rsidRPr="006D7090">
        <w:tab/>
        <w:t>atsižvelgdamas į Europos Sąjungos sutartį (ES sutartį) ir Sutartį dėl Europos Sąjungos veikimo (SESV), ypač į jų nuostatas, susijusias su laisvės, saugumo ir teisingumo erdve,</w:t>
      </w:r>
    </w:p>
    <w:p w14:paraId="0CF5548E" w14:textId="77777777" w:rsidR="006A6C55" w:rsidRPr="006D7090" w:rsidRDefault="006A6C55" w:rsidP="006A6C55">
      <w:pPr>
        <w:pStyle w:val="NormalHanging12a"/>
        <w:rPr>
          <w:szCs w:val="24"/>
        </w:rPr>
      </w:pPr>
      <w:r w:rsidRPr="006D7090">
        <w:t>–</w:t>
      </w:r>
      <w:r w:rsidRPr="006D7090">
        <w:tab/>
        <w:t>atsižvelgdamas į Europos Sąjungos pagrindinių teisių chartiją, ypač į jos straipsnius, susijusius su žmogaus orumu, teise į gyvybę, saviraiškos laisve, aukų teisėmis ir asmens duomenų apsauga,</w:t>
      </w:r>
    </w:p>
    <w:p w14:paraId="3AB97519" w14:textId="77777777" w:rsidR="006A6C55" w:rsidRPr="006D7090" w:rsidRDefault="006A6C55" w:rsidP="006A6C55">
      <w:pPr>
        <w:pStyle w:val="NormalHanging12a"/>
      </w:pPr>
      <w:r w:rsidRPr="006D7090">
        <w:t>–</w:t>
      </w:r>
      <w:r w:rsidRPr="006D7090">
        <w:tab/>
        <w:t>atsižvelgdamas į Europos Sąjungos narkotikų strategijas ir jų naujausią redakciją, paskelbtą kartu su Europos Sąjungos kovos su prekyba narkotikais veiksmų planu 2026–2030 m. laikotarpiui,</w:t>
      </w:r>
    </w:p>
    <w:p w14:paraId="77CE0BAE" w14:textId="77777777" w:rsidR="006A6C55" w:rsidRPr="006D7090" w:rsidRDefault="006A6C55" w:rsidP="006A6C55">
      <w:pPr>
        <w:pStyle w:val="NormalHanging12a"/>
      </w:pPr>
      <w:r w:rsidRPr="006D7090">
        <w:t>–</w:t>
      </w:r>
      <w:r w:rsidRPr="006D7090">
        <w:tab/>
        <w:t>atsižvelgdamas į 1997 m. įsteigtos Tarybos Narkotikų horizontaliosios darbo grupės (HDG), atsakingos už Europos Sąjungos veiksmų narkotikų srityje koordinavimą, darbą,</w:t>
      </w:r>
    </w:p>
    <w:p w14:paraId="36A31CFB" w14:textId="77777777" w:rsidR="006A6C55" w:rsidRPr="006D7090" w:rsidRDefault="006A6C55" w:rsidP="006A6C55">
      <w:pPr>
        <w:pStyle w:val="NormalHanging12a"/>
      </w:pPr>
      <w:r w:rsidRPr="006D7090">
        <w:t>–</w:t>
      </w:r>
      <w:r w:rsidRPr="006D7090">
        <w:tab/>
        <w:t>atsižvelgdamas į Europos Sąjungos narkotikų agentūros (EUDA) ataskaitas ir analizes, ypač į 2025 m. Europos narkotikų ataskaitą,</w:t>
      </w:r>
    </w:p>
    <w:p w14:paraId="2A9B8BF2" w14:textId="77777777" w:rsidR="006A6C55" w:rsidRPr="006D7090" w:rsidRDefault="006A6C55" w:rsidP="006A6C55">
      <w:pPr>
        <w:pStyle w:val="NormalHanging12a"/>
      </w:pPr>
      <w:r w:rsidRPr="006D7090">
        <w:t>–</w:t>
      </w:r>
      <w:r w:rsidRPr="006D7090">
        <w:tab/>
        <w:t>atsižvelgdamas į Europos kovos su narkotikais koalicijos, kuri vienija daugiau kaip 40 šalių ir kurios tikslas – stiprinti tarptautinį bendradarbiavimą kovojant su prekyba narkotikais, veiklos pradžią,</w:t>
      </w:r>
    </w:p>
    <w:p w14:paraId="2C5496AF" w14:textId="77777777" w:rsidR="006A6C55" w:rsidRPr="006D7090" w:rsidRDefault="006A6C55" w:rsidP="006A6C55">
      <w:pPr>
        <w:pStyle w:val="NormalHanging12a"/>
      </w:pPr>
      <w:r w:rsidRPr="006D7090">
        <w:t>–</w:t>
      </w:r>
      <w:r w:rsidRPr="006D7090">
        <w:tab/>
        <w:t>atsižvelgdamas į Europos Tarybos Pompidou grupės darbą narkotikų ir prevencijos politikos klausimais,</w:t>
      </w:r>
    </w:p>
    <w:p w14:paraId="44259443" w14:textId="77777777" w:rsidR="006A6C55" w:rsidRPr="006D7090" w:rsidRDefault="006A6C55" w:rsidP="006A6C55">
      <w:pPr>
        <w:pStyle w:val="NormalHanging12a"/>
      </w:pPr>
      <w:r w:rsidRPr="006D7090">
        <w:t>–</w:t>
      </w:r>
      <w:r w:rsidRPr="006D7090">
        <w:tab/>
        <w:t>atsižvelgdamas į 1988 m. Jungtinių Tautų konvenciją dėl kovos su neteisėta narkotinių priemonių ir psichotropinių medžiagų apyvarta, taip pat į Jungtinių Tautų narkotikų kontrolės ir nusikalstamumo prevencijos biuro (UNODC) darbą,</w:t>
      </w:r>
    </w:p>
    <w:p w14:paraId="70B59C43" w14:textId="77777777" w:rsidR="006A6C55" w:rsidRPr="006D7090" w:rsidRDefault="006A6C55" w:rsidP="006A6C55">
      <w:pPr>
        <w:pStyle w:val="NormalHanging12a"/>
      </w:pPr>
      <w:r w:rsidRPr="006D7090">
        <w:t>–</w:t>
      </w:r>
      <w:r w:rsidRPr="006D7090">
        <w:tab/>
        <w:t>atsižvelgdamas į 2000 m. Palerme pasirašytą Jungtinių Tautų konvenciją prieš tarptautinį organizuotą nusikalstamumą ir jos protokolus, taip pat į Jungtinių Tautų konvenciją prieš korupciją,</w:t>
      </w:r>
    </w:p>
    <w:p w14:paraId="0238B2F3" w14:textId="77777777" w:rsidR="006A6C55" w:rsidRPr="006D7090" w:rsidRDefault="006A6C55" w:rsidP="006A6C55">
      <w:pPr>
        <w:pStyle w:val="NormalHanging12a"/>
      </w:pPr>
      <w:r w:rsidRPr="006D7090">
        <w:lastRenderedPageBreak/>
        <w:t>–</w:t>
      </w:r>
      <w:r w:rsidRPr="006D7090">
        <w:tab/>
        <w:t>atsižvelgdamas į įvairias priemones, kurių ėmėsi Europos ir tarptautinės organizacijos, siekdamos užkirsti kelią pinigų plovimui ir organizuoto nusikalstamumo finansavimui bei su jais kovoti,</w:t>
      </w:r>
    </w:p>
    <w:p w14:paraId="5435CA73" w14:textId="77777777" w:rsidR="006A6C55" w:rsidRPr="006D7090" w:rsidRDefault="006A6C55" w:rsidP="006A6C55">
      <w:pPr>
        <w:pStyle w:val="NormalHanging12a"/>
      </w:pPr>
      <w:r w:rsidRPr="006D7090">
        <w:t>–</w:t>
      </w:r>
      <w:r w:rsidRPr="006D7090">
        <w:tab/>
        <w:t>atsižvelgdamas į 2012 m. spalio 25 d. Europos Parlamento ir Tarybos direktyvą 2012/29/ES, kuria nustatomi būtiniausi nusikaltimų aukų teisių, paramos joms ir jų apsaugos standartai</w:t>
      </w:r>
      <w:r w:rsidRPr="006D7090">
        <w:rPr>
          <w:rStyle w:val="FootnoteReference"/>
          <w:rFonts w:eastAsia="Arial"/>
        </w:rPr>
        <w:footnoteReference w:id="1"/>
      </w:r>
      <w:r w:rsidRPr="006D7090">
        <w:t>,</w:t>
      </w:r>
    </w:p>
    <w:p w14:paraId="2EA48422" w14:textId="77777777" w:rsidR="006A6C55" w:rsidRPr="006D7090" w:rsidRDefault="006A6C55" w:rsidP="006A6C55">
      <w:pPr>
        <w:pStyle w:val="NormalHanging12a"/>
      </w:pPr>
      <w:r w:rsidRPr="006D7090">
        <w:t>–</w:t>
      </w:r>
      <w:r w:rsidRPr="006D7090">
        <w:tab/>
        <w:t>atsižvelgdamas į Jungtinių Tautų Generalinės Asamblėjos 1989 m. lapkričio 20 d. priimtą tarptautinę vaiko teisių konvenciją,</w:t>
      </w:r>
    </w:p>
    <w:p w14:paraId="786DDB79" w14:textId="77777777" w:rsidR="006A6C55" w:rsidRPr="006D7090" w:rsidRDefault="006A6C55" w:rsidP="006A6C55">
      <w:pPr>
        <w:pStyle w:val="NormalHanging12a"/>
      </w:pPr>
      <w:r w:rsidRPr="006D7090">
        <w:t>–</w:t>
      </w:r>
      <w:r w:rsidRPr="006D7090">
        <w:tab/>
        <w:t>atsižvelgdamas į savo 2013 m. birželio 11 d. rezoliuciją „Kova su organizuotu nusikalstamumu, korupcija ir pinigų plovimu“</w:t>
      </w:r>
      <w:r w:rsidRPr="006D7090">
        <w:rPr>
          <w:rStyle w:val="FootnoteReference"/>
          <w:rFonts w:eastAsia="Arial"/>
        </w:rPr>
        <w:footnoteReference w:id="2"/>
      </w:r>
      <w:r w:rsidRPr="006D7090">
        <w:t>,</w:t>
      </w:r>
    </w:p>
    <w:p w14:paraId="2989A9F8" w14:textId="77777777" w:rsidR="006A6C55" w:rsidRPr="006D7090" w:rsidRDefault="006A6C55" w:rsidP="006A6C55">
      <w:pPr>
        <w:pStyle w:val="NormalHanging12a"/>
      </w:pPr>
      <w:r w:rsidRPr="006D7090">
        <w:t>–</w:t>
      </w:r>
      <w:r w:rsidRPr="006D7090">
        <w:tab/>
        <w:t>atsižvelgdamas į Europos institucijų, ypač EUDA, Europolo ir Eurojusto, įsipareigojimą kovoti su prekyba narkotikais,</w:t>
      </w:r>
    </w:p>
    <w:p w14:paraId="214A500F" w14:textId="77777777" w:rsidR="006A6C55" w:rsidRPr="006D7090" w:rsidRDefault="006A6C55" w:rsidP="006A6C55">
      <w:pPr>
        <w:pStyle w:val="NormalHanging12a"/>
      </w:pPr>
      <w:r w:rsidRPr="006D7090">
        <w:t>–</w:t>
      </w:r>
      <w:r w:rsidRPr="006D7090">
        <w:tab/>
        <w:t>atsižvelgdamas į 2024 m. Europos Sąjungos teisės aktų rinkinį dėl kovos su pinigų plovimu ir terorizmo finansavimu, įskaitant visų pirma Reglamentą (ES) 2024/1624</w:t>
      </w:r>
      <w:r w:rsidRPr="006D7090">
        <w:rPr>
          <w:rStyle w:val="FootnoteReference"/>
          <w:rFonts w:eastAsia="Arial"/>
        </w:rPr>
        <w:footnoteReference w:id="3"/>
      </w:r>
      <w:r w:rsidRPr="006D7090">
        <w:t>, Direktyvą (ES) 2024/1640</w:t>
      </w:r>
      <w:r w:rsidRPr="006D7090">
        <w:rPr>
          <w:rStyle w:val="FootnoteReference"/>
          <w:rFonts w:eastAsia="Arial"/>
        </w:rPr>
        <w:footnoteReference w:id="4"/>
      </w:r>
      <w:r w:rsidRPr="006D7090">
        <w:t xml:space="preserve"> ir Kovos su pinigų plovimu institucijos (AMLA) įsteigimą,</w:t>
      </w:r>
    </w:p>
    <w:p w14:paraId="3AEE156F" w14:textId="77777777" w:rsidR="006A6C55" w:rsidRPr="006D7090" w:rsidRDefault="006A6C55" w:rsidP="006A6C55">
      <w:pPr>
        <w:pStyle w:val="NormalHanging12a"/>
      </w:pPr>
      <w:r w:rsidRPr="006D7090">
        <w:t>–</w:t>
      </w:r>
      <w:r w:rsidRPr="006D7090">
        <w:tab/>
        <w:t>atsižvelgdamas į 2024 m. birželio 13 d. Europos Parlamento ir Tarybos direktyvą (ES) 2024/1712, kuria iš dalies keičiama Direktyva 2011/36/ES dėl prekybos žmonėmis prevencijos, kovos su ja ir aukų apsaugos</w:t>
      </w:r>
      <w:r w:rsidRPr="006D7090">
        <w:rPr>
          <w:rStyle w:val="FootnoteReference"/>
          <w:rFonts w:eastAsia="Arial"/>
        </w:rPr>
        <w:footnoteReference w:id="5"/>
      </w:r>
      <w:r w:rsidRPr="006D7090">
        <w:t>,</w:t>
      </w:r>
    </w:p>
    <w:p w14:paraId="5AB90FD3" w14:textId="77777777" w:rsidR="006A6C55" w:rsidRPr="006D7090" w:rsidRDefault="006A6C55" w:rsidP="006A6C55">
      <w:pPr>
        <w:pStyle w:val="NormalHanging12a"/>
      </w:pPr>
      <w:r w:rsidRPr="006D7090">
        <w:t>–</w:t>
      </w:r>
      <w:r w:rsidRPr="006D7090">
        <w:tab/>
        <w:t>atsižvelgdamas į Pilietinės visuomenės forumo narkotikų klausimais ir jo jaunimo reikalų skyriaus darbą,</w:t>
      </w:r>
    </w:p>
    <w:p w14:paraId="08A0FCF4" w14:textId="77777777" w:rsidR="006A6C55" w:rsidRPr="006D7090" w:rsidRDefault="006A6C55" w:rsidP="006A6C55">
      <w:pPr>
        <w:pStyle w:val="NormalHanging12a"/>
      </w:pPr>
      <w:r w:rsidRPr="006D7090">
        <w:t>–</w:t>
      </w:r>
      <w:r w:rsidRPr="006D7090">
        <w:tab/>
        <w:t>atsižvelgdamas į ypač kritišką padėtį atokiausiuose regionuose,</w:t>
      </w:r>
    </w:p>
    <w:p w14:paraId="2314D450" w14:textId="77777777" w:rsidR="006A6C55" w:rsidRPr="006D7090" w:rsidRDefault="006A6C55" w:rsidP="006A6C55">
      <w:pPr>
        <w:pStyle w:val="NormalHanging12a"/>
      </w:pPr>
      <w:r w:rsidRPr="006D7090">
        <w:t>–</w:t>
      </w:r>
      <w:r w:rsidRPr="006D7090">
        <w:tab/>
        <w:t>atsižvelgdamas į kovos su narkotikais aktyvisto Amine Kessaci išleistą knygą „Marseille, essuie tes larmes“ („Marseli, nusišluostyk ašaras“) ir į jo kalbas, kuriose jis ragina, kad būtų kovojama su prekyba narkotikais ir kad visuomenė sukiltų,</w:t>
      </w:r>
    </w:p>
    <w:p w14:paraId="7121D953" w14:textId="77777777" w:rsidR="006A6C55" w:rsidRPr="006D7090" w:rsidRDefault="006A6C55" w:rsidP="006A6C55">
      <w:pPr>
        <w:pStyle w:val="NormalHanging12a"/>
      </w:pPr>
      <w:r w:rsidRPr="006D7090">
        <w:t>–</w:t>
      </w:r>
      <w:r w:rsidRPr="006D7090">
        <w:tab/>
        <w:t>atsižvelgdamas į Darbo tvarkos taisyklių 136 straipsnio 2 dalį,</w:t>
      </w:r>
    </w:p>
    <w:p w14:paraId="3A9B444E" w14:textId="77777777" w:rsidR="006A6C55" w:rsidRPr="006D7090" w:rsidRDefault="006A6C55" w:rsidP="006A6C55">
      <w:pPr>
        <w:pStyle w:val="NormalHanging12a"/>
      </w:pPr>
      <w:r w:rsidRPr="006D7090">
        <w:t>A.</w:t>
      </w:r>
      <w:r w:rsidRPr="006D7090">
        <w:tab/>
        <w:t>kadangi 20 metų amžiaus Prancūzijos pilietis Mehdi Kessaci, kuris nebuvo žinomas policijai, jei nebūtų prisistatęs ėmęsis taikdario vaidmens, 2025 m. lapkričio 13 d. Marselyje buvo nužudytas, tiesiog gatvėje vidury dienos, su prekyba narkotikais susijusio smurto kontekste; tai rodo didėjantį nusikaltėlių tinklų žiaurumą ir tiesioginius šio smurto padarinius šeimoms ir vietos bendruomenėms;</w:t>
      </w:r>
    </w:p>
    <w:p w14:paraId="7198479D" w14:textId="77777777" w:rsidR="006A6C55" w:rsidRPr="006D7090" w:rsidRDefault="006A6C55" w:rsidP="006A6C55">
      <w:pPr>
        <w:pStyle w:val="NormalHanging12a"/>
      </w:pPr>
      <w:r w:rsidRPr="006D7090">
        <w:t>B.</w:t>
      </w:r>
      <w:r w:rsidRPr="006D7090">
        <w:tab/>
        <w:t>kadangi Mehdi Kessaci buvo kovos su prekyba narkotikais aktyvisto, rašytojo ir žymaus piliečius prieš organizuotą nusikalstamumą telkiančio asmens Amine Kessaci brolis; jis tikrai buvo nužudytas dėl šio šeimos ryšio; šis nužudymas yra tiesioginis išpuolis prieš saviraiškos laisvę ir manoma, kad tai bauginimo būdas, primenantis organizuotų mafijos tinklų veiksmus; šis nusikaltimas sujudino visuomenę: 10 000 žmonių visoje šalyje susibūrė siekdami remti Amine Kessaci ir jo šeimą, taip pat ginti demokratiją, saviraiškos laisvę ir teisinę valstybę prekybos narkotikais problemos kontekste;</w:t>
      </w:r>
    </w:p>
    <w:p w14:paraId="7A0045B9" w14:textId="7290A098" w:rsidR="006A6C55" w:rsidRPr="006D7090" w:rsidRDefault="00A51F3E" w:rsidP="006A6C55">
      <w:pPr>
        <w:pStyle w:val="NormalHanging12a"/>
      </w:pPr>
      <w:r>
        <w:t>C</w:t>
      </w:r>
      <w:r w:rsidR="006A6C55" w:rsidRPr="006D7090">
        <w:t>.</w:t>
      </w:r>
      <w:r w:rsidR="006A6C55" w:rsidRPr="006D7090">
        <w:tab/>
        <w:t>kadangi šis nužudymas yra vienas iš daugybės Marselyje įvykusio su prekyba narkotikais susijusio smurto atvejų, dėl kurių 2024 m. buvo nužudyti 24 žmonės, o 2023 m. – 49, dėl kurių kenčia vis daugiau nepilnamečių ir nekaltų žmonių; kadangi ši problema daro poveikį daugeliui Europos miestų ir kelia grėsmę socialinei sanglaudai, piliečių sveikatai ir saugumui bei teisinės valstybės principams; padėtis atokiausiuose regionuose yra ypač kritiška, visų pirma turint omenyje tai, kad vien Gvadelupoje ir Martinikoje 2025 m. užregistruota beveik 90 su narkotikais susijusių žmogžudysčių;</w:t>
      </w:r>
    </w:p>
    <w:p w14:paraId="777FB56D" w14:textId="316DE2ED" w:rsidR="006A6C55" w:rsidRPr="006D7090" w:rsidRDefault="00A51F3E" w:rsidP="006A6C55">
      <w:pPr>
        <w:pStyle w:val="NormalHanging12a"/>
      </w:pPr>
      <w:r>
        <w:t>D</w:t>
      </w:r>
      <w:r w:rsidR="006A6C55" w:rsidRPr="006D7090">
        <w:t>.</w:t>
      </w:r>
      <w:r w:rsidR="006A6C55" w:rsidRPr="006D7090">
        <w:tab/>
        <w:t>kadangi prekyba narkotikais yra viena iš didžiausių grėsmių Europos Sąjungos vidaus saugumui, skatinanti organizuotą nusikalstamumą, smurtą ir korupciją, ir kadangi, Europolo duomenimis, beveik 50 proc. pavojingiausių nusikaltėlių tinklų Europoje yra susiję su šia prekyba, o daugiau kaip trečdalis jų tik ja ir verčiasi;</w:t>
      </w:r>
    </w:p>
    <w:p w14:paraId="79601419" w14:textId="5FA773BD" w:rsidR="006A6C55" w:rsidRDefault="00A51F3E" w:rsidP="006A6C55">
      <w:pPr>
        <w:pStyle w:val="NormalHanging12a"/>
      </w:pPr>
      <w:r>
        <w:t>E</w:t>
      </w:r>
      <w:r w:rsidR="006A6C55" w:rsidRPr="006D7090">
        <w:t>.</w:t>
      </w:r>
      <w:r w:rsidR="006A6C55" w:rsidRPr="006D7090">
        <w:tab/>
        <w:t>kadangi pastaraisiais metais Europoje suintensyvėjo su prekyba narkotikais susijęs smurtas, organizuotos nusikalstamos grupuotės vis dažniau naudoja šaunamuosius ginklus ir vidutiniškai 28 proc. šaunamųjų ginklų konfiskavimo atvejų Europoje yra susiję su prekyba narkotikais, o tai rodo tiesioginį ryšį tarp prekybos narkotikais ir rimtų grėsmių visuomenės saugumui;</w:t>
      </w:r>
    </w:p>
    <w:p w14:paraId="75F00CDF" w14:textId="36100B1A" w:rsidR="006A6C55" w:rsidRPr="006D7090" w:rsidRDefault="00E51284" w:rsidP="006A6C55">
      <w:pPr>
        <w:pStyle w:val="NormalHanging12a"/>
      </w:pPr>
      <w:r>
        <w:t>F</w:t>
      </w:r>
      <w:r w:rsidR="006A6C55" w:rsidRPr="006D7090">
        <w:t>.</w:t>
      </w:r>
      <w:r w:rsidR="006A6C55" w:rsidRPr="006D7090">
        <w:tab/>
        <w:t>kadangi narkotikų gamyba, prekyba jais ir jų vartojimas sparčiai auga ir Europos Sąjungoje pasiekia precedento neturintį lygį; EUDA duomenimis, 2023 m. Sąjungoje konfiskuota 752 tonos kanapių ir 419 tonų kokaino, o praėjusiais metais pripažino juos vartoję 2,7 mln. 15–34 metų amžiaus jaunų suaugusiųjų; Sąjungos teritorijoje kasmet išardoma beveik 500 sintetinių narkotikų laboratorijų, o 2023 m. dėl narkotikų mirė beveik 7 500 žmonių; šie pokyčiai byloja apie plačiai paplitusį reiškinį, darantį poveikį visoms teritorijoms, kartoms ir socialinėms kategorijoms;</w:t>
      </w:r>
    </w:p>
    <w:p w14:paraId="152AC8B7" w14:textId="2086BE70" w:rsidR="006A6C55" w:rsidRDefault="00E51284" w:rsidP="00E51284">
      <w:pPr>
        <w:pStyle w:val="NormalHanging12a"/>
      </w:pPr>
      <w:r>
        <w:t>G</w:t>
      </w:r>
      <w:r w:rsidR="006A6C55" w:rsidRPr="006D7090">
        <w:t>.</w:t>
      </w:r>
      <w:r w:rsidR="006A6C55" w:rsidRPr="006D7090">
        <w:tab/>
        <w:t>kadangi Europos uostai yra pagrindiniai strateginiai neteisėtų narkotikų įvežimo punktai (maždaug 70 proc. visų konfiskuojamų narkotinių medžiagų konfiskuojama uostuose), o nusikaltėlių tinklai išnaudoja uostų įrenginių silpnąsias vietas, susijusias su logistikos ir žmogiškuoju aspektais;</w:t>
      </w:r>
    </w:p>
    <w:p w14:paraId="2562D825" w14:textId="6C4487EE" w:rsidR="006A6C55" w:rsidRPr="006D7090" w:rsidRDefault="00E51284" w:rsidP="006A6C55">
      <w:pPr>
        <w:pStyle w:val="NormalHanging12a"/>
      </w:pPr>
      <w:r>
        <w:t>H</w:t>
      </w:r>
      <w:r w:rsidR="006A6C55" w:rsidRPr="006D7090">
        <w:t>.</w:t>
      </w:r>
      <w:r w:rsidR="006A6C55" w:rsidRPr="006D7090">
        <w:tab/>
        <w:t>kadangi specialistai, dirbantys žuvininkystės ir uostų sektoriuose, pvz., žvejai ir dokų darbininkai, yra narkotikų prekybos tinklų taikinys ir tie tinklai išnaudoja jų veiklos pobūdį, kad įvežtų narkotikus į Europos Sąjungą;</w:t>
      </w:r>
    </w:p>
    <w:p w14:paraId="5C0AB7BD" w14:textId="1C1FACF9" w:rsidR="006A6C55" w:rsidRDefault="00E51284" w:rsidP="006A6C55">
      <w:pPr>
        <w:pStyle w:val="NormalHanging12a"/>
      </w:pPr>
      <w:r>
        <w:t>I</w:t>
      </w:r>
      <w:r w:rsidR="006A6C55" w:rsidRPr="006D7090">
        <w:t>.</w:t>
      </w:r>
      <w:r w:rsidR="006A6C55" w:rsidRPr="006D7090">
        <w:tab/>
        <w:t>kadangi smarkiai išaugęs narkotikų vartojimas daro tiesioginį poveikį prekybai narkotikais, nes prekeiviai gauna milžinišką pelną ir įgyja finansinį pajėgumą, galintį kelti grėsmę demokratijai; Prancūzijos nacionalinė rinkimų sąskaitų ir politinio finansavimo komisija įspėjo apie prekybos narkotikais tinklų įtaką artėjantiems vietos rinkimams;</w:t>
      </w:r>
    </w:p>
    <w:p w14:paraId="2237C59F" w14:textId="063B9B83" w:rsidR="006A6C55" w:rsidRDefault="00E51284" w:rsidP="006A6C55">
      <w:pPr>
        <w:pStyle w:val="NormalHanging12a"/>
      </w:pPr>
      <w:r>
        <w:t>J</w:t>
      </w:r>
      <w:r w:rsidR="006A6C55" w:rsidRPr="006D7090">
        <w:t>.</w:t>
      </w:r>
      <w:r w:rsidR="006A6C55" w:rsidRPr="006D7090">
        <w:tab/>
        <w:t>kadangi prekyba narkotikais yra viena iš pelningiausių organizuoto nusikalstamumo veiklos rūšių, sudaranti apie penktadalį nusikalstamu būdu įgytų pajamų visame pasaulyje, ir Europos Sąjunga susiduria su precedento neturinčiu neteisėtų narkotikų, visų pirma Pietų Amerikos kilmės kokaino, prieinamumo padidėjimu;</w:t>
      </w:r>
    </w:p>
    <w:p w14:paraId="6F2B3C1B" w14:textId="0A8549F5" w:rsidR="003F2B59" w:rsidRPr="006D7090" w:rsidRDefault="003F2B59" w:rsidP="006A6C55">
      <w:pPr>
        <w:pStyle w:val="NormalHanging12a"/>
      </w:pPr>
      <w:r>
        <w:t>K</w:t>
      </w:r>
      <w:r w:rsidRPr="008C3AF0">
        <w:t>.</w:t>
      </w:r>
      <w:r w:rsidRPr="008C3AF0">
        <w:tab/>
        <w:t>kadangi prekybos narkotikais tinklai gali siekti daryti spaudimą arba nederamą įtaką vietos išrinktiems atstovams ir rinkėjams, ypač savivaldybių lygmeniu, ir taip pakenkti demokratinių procesų vientisumui;</w:t>
      </w:r>
    </w:p>
    <w:p w14:paraId="50A5372F" w14:textId="3672ED28" w:rsidR="006A6C55" w:rsidRPr="006D7090" w:rsidRDefault="003F2B59" w:rsidP="006A6C55">
      <w:pPr>
        <w:pStyle w:val="NormalHanging12a"/>
      </w:pPr>
      <w:r>
        <w:t>L</w:t>
      </w:r>
      <w:r w:rsidR="006A6C55" w:rsidRPr="006D7090">
        <w:t>.</w:t>
      </w:r>
      <w:r w:rsidR="006A6C55" w:rsidRPr="006D7090">
        <w:tab/>
        <w:t>kadangi narkotikų prekeivių įgyjamas finansinis pajėgumas kelia grėsmę demokratijai dėl pinigų plovimo, korupcijos, įsiskverbimo į teisėtą ekonomiką ir nusikaltėlių tinklų gebėjimų įgyti ir išplėsti teritorinę kontrolę, be kita ko, Europos Sąjungos viduje;</w:t>
      </w:r>
    </w:p>
    <w:p w14:paraId="6D42D86B" w14:textId="7200F75D" w:rsidR="006A6C55" w:rsidRDefault="003F2B59" w:rsidP="006A6C55">
      <w:pPr>
        <w:pStyle w:val="NormalHanging12a"/>
      </w:pPr>
      <w:r>
        <w:t>M</w:t>
      </w:r>
      <w:r w:rsidR="006A6C55" w:rsidRPr="006D7090">
        <w:t>.</w:t>
      </w:r>
      <w:r w:rsidR="006A6C55" w:rsidRPr="006D7090">
        <w:tab/>
        <w:t>kadangi kova su pinigų plovimu, mokesčių rojais ir nusikalstamų organizacijų įsiskverbimu į teisėtą ekonomiką yra pagrindinis veiksnys, padedantis visam laikui susilpninti prekybos narkotikais tinklus;</w:t>
      </w:r>
    </w:p>
    <w:p w14:paraId="37D25135" w14:textId="2A1E90D7" w:rsidR="00EC7BEE" w:rsidRPr="006D7090" w:rsidRDefault="003F2B59" w:rsidP="006A6C55">
      <w:pPr>
        <w:pStyle w:val="NormalHanging12a"/>
      </w:pPr>
      <w:r>
        <w:t>N</w:t>
      </w:r>
      <w:r w:rsidR="00EC7BEE" w:rsidRPr="008C3AF0">
        <w:t>.</w:t>
      </w:r>
      <w:r w:rsidR="00EC7BEE" w:rsidRPr="008C3AF0">
        <w:tab/>
        <w:t>kadangi Europos demokratijos skydo iniciatyvoje pabrėžiama, kad organizuotas nusikalstamumas ir korupcija kelia tiesioginę grėsmę teisinei valstybei ir mūsų demokratinėms institucijoms;</w:t>
      </w:r>
    </w:p>
    <w:p w14:paraId="3875729D" w14:textId="71A74ADD" w:rsidR="006A6C55" w:rsidRPr="006D7090" w:rsidRDefault="003F2B59" w:rsidP="006A6C55">
      <w:pPr>
        <w:pStyle w:val="NormalHanging12a"/>
      </w:pPr>
      <w:r>
        <w:t>O</w:t>
      </w:r>
      <w:r w:rsidR="006A6C55" w:rsidRPr="006D7090">
        <w:t>.</w:t>
      </w:r>
      <w:r w:rsidR="006A6C55" w:rsidRPr="006D7090">
        <w:tab/>
        <w:t>kadangi žmonėms verbuoti, veiksmams koordinuoti ir smurtiniams veiksmams vykdyti vis dažniau naudojami skaitmeninės priemonės ir socialiniai tinklai, ypač taikantis į nepilnamečius, reikia koordinuoto Europos lygmens atsako, gerbiant pagrindines teises;</w:t>
      </w:r>
    </w:p>
    <w:p w14:paraId="0CBAC0B0" w14:textId="39EFFA6B" w:rsidR="006A6C55" w:rsidRPr="006D7090" w:rsidRDefault="003F2B59" w:rsidP="006A6C55">
      <w:pPr>
        <w:pStyle w:val="NormalHanging12a"/>
      </w:pPr>
      <w:r>
        <w:t>P</w:t>
      </w:r>
      <w:r w:rsidR="006A6C55" w:rsidRPr="006D7090">
        <w:t>.</w:t>
      </w:r>
      <w:r w:rsidR="006A6C55" w:rsidRPr="006D7090">
        <w:tab/>
        <w:t>atsižvelgiant į nusikalstamų organizacijų raidą ir jų praktiką, visų pirma susijusią su jų strategijų skaitmenizavimu, taigi ir į poreikį keisti tyrimų, teismines ir socialines struktūras Europos Sąjungai reaguojant į šią problemą;</w:t>
      </w:r>
    </w:p>
    <w:p w14:paraId="737ED6A2" w14:textId="6DA2769D" w:rsidR="006A6C55" w:rsidRPr="006D7090" w:rsidRDefault="003F2B59" w:rsidP="006A6C55">
      <w:pPr>
        <w:pStyle w:val="NormalHanging12a"/>
      </w:pPr>
      <w:r>
        <w:t>Q</w:t>
      </w:r>
      <w:r w:rsidR="006A6C55" w:rsidRPr="006D7090">
        <w:t>.</w:t>
      </w:r>
      <w:r w:rsidR="006A6C55" w:rsidRPr="006D7090">
        <w:tab/>
        <w:t>kadangi Europoje didėja naujų psichoaktyviųjų medžiagų, įskaitant sintetinius kanabinoidus, katinonus ir stiprius sintetinius opioidus, kurie dažnai gaminami ar platinami Sąjungoje ir iš dalies nepatenka į tarptautinės ir nacionalinės kontrolės sritį, paplitimas; jų didelis galingumas ir tai, kad jas reikia vartoti mažais kiekiais, taip pat galimybė šiek tiek pakeisti jų chemines struktūras siekiant apeiti teisės aktus, sukuria sparčiai besiplečiančią ir prekeiviams labai pelningą rinką, tuo pačiu kylant didelei rizikai visuomenės sveikatai ir saugumui; kadangi patikimos išankstinio perspėjimo sistemos, didesni aptikimo pajėgumai ir koordinuotas ES masto atsakas yra svarbūs reaguojant į naujų psichoaktyviųjų medžiagų keliamą didėjančią grėsmę;</w:t>
      </w:r>
    </w:p>
    <w:p w14:paraId="63FCF59E" w14:textId="0CAD5967" w:rsidR="006A6C55" w:rsidRPr="006D7090" w:rsidRDefault="003F2B59" w:rsidP="006A6C55">
      <w:pPr>
        <w:pStyle w:val="NormalHanging12a"/>
      </w:pPr>
      <w:r>
        <w:t>R</w:t>
      </w:r>
      <w:r w:rsidR="006A6C55" w:rsidRPr="006D7090">
        <w:t>.</w:t>
      </w:r>
      <w:r w:rsidR="006A6C55" w:rsidRPr="006D7090">
        <w:tab/>
        <w:t>kadangi tvarus narkotikų prekybos tinklų vystymasis ir įsitvirtinimas neretai vyksta nuolatinės socialinės ir teritorinės nelygybės, nepakankamų galimybių įsidarbinti, naudotis viešosiomis paslaugomis ir švietimo galimybėmis, taip pat institucinio apleidimo sąlygomis, ypač tam tikruose palankių sąlygų neturinčiuose miestų rajonuose, ir kadangi šie pažeidžiamumo aspektai sudaro palankią aplinką nusikalstamai ekonomikai, taip pat struktūriniams veiksniams, kuriais naudojasi narkotikų prekybos tinklai, siekdami įdarbinti pažeidžiamus asmenis, dažnai jaunuolius;</w:t>
      </w:r>
    </w:p>
    <w:p w14:paraId="7A679678" w14:textId="714B7B56" w:rsidR="006A6C55" w:rsidRPr="006D7090" w:rsidRDefault="003F2B59" w:rsidP="006A6C55">
      <w:pPr>
        <w:pStyle w:val="NormalHanging12a"/>
      </w:pPr>
      <w:r>
        <w:t>S</w:t>
      </w:r>
      <w:r w:rsidR="006A6C55" w:rsidRPr="006D7090">
        <w:t>.</w:t>
      </w:r>
      <w:r w:rsidR="006A6C55" w:rsidRPr="006D7090">
        <w:tab/>
        <w:t>kadangi Sąjungos sanglaudos politika savo finansinėmis priemonėmis anksčiau prisidėjo prie teritorinių skirtumų mažinimo, socialinės sanglaudos stiprinimo ir struktūrinių investicijų į sunkumų patiriančias miestų vietoves rėmimo ir kadangi Europos Komisijos numatytos 2028–2034 m. daugiametės finansinės programos gairės, taip pat naujos Europos Sąjungos miestų darbotvarkės įgyvendinimas turės lemiamą poveikį Sąjungos gebėjimui ilgainiui užkirsti kelią neteisėtos prekybos įsitvirtinimui šiose teritorijose;</w:t>
      </w:r>
    </w:p>
    <w:p w14:paraId="73048542" w14:textId="1437E681" w:rsidR="006A6C55" w:rsidRPr="006D7090" w:rsidRDefault="003F2B59" w:rsidP="006A6C55">
      <w:pPr>
        <w:pStyle w:val="NormalHanging12a"/>
      </w:pPr>
      <w:r>
        <w:t>T</w:t>
      </w:r>
      <w:r w:rsidR="006A6C55" w:rsidRPr="006D7090">
        <w:t>.</w:t>
      </w:r>
      <w:r w:rsidR="006A6C55" w:rsidRPr="006D7090">
        <w:tab/>
        <w:t>kadangi nusikaltėlių tinklų gaunam</w:t>
      </w:r>
      <w:r>
        <w:t>o</w:t>
      </w:r>
      <w:r w:rsidR="006A6C55" w:rsidRPr="006D7090">
        <w:t>s sum</w:t>
      </w:r>
      <w:r>
        <w:t>o</w:t>
      </w:r>
      <w:r w:rsidR="006A6C55" w:rsidRPr="006D7090">
        <w:t xml:space="preserve">s skatina </w:t>
      </w:r>
      <w:r w:rsidRPr="006D7090">
        <w:t>korupcij</w:t>
      </w:r>
      <w:r>
        <w:t>ą</w:t>
      </w:r>
      <w:r w:rsidR="006A6C55" w:rsidRPr="006D7090">
        <w:t xml:space="preserve"> ir jos gali ją padidinti, jų finansinis pajėgumas jiems leidžia tiek vykdyti paslaugų teikimo gyventojams veiklą, tiek įbauginti vis daugiau teritorijų, ir tai tampa savotiška vietinių bendruomenių anestezija, jose liekant vis mažiau atsparumo prekybos narkotikais problemai; Mehdi Kessaci nužudymas sietinas su tokiomis bauginimo strategijomis; perspėjimai dėl prekybos narkotikais įtakos rinkimams yra garsus priminimas apie grėsmę, kurią prekyba narkotikais kelia pagrindinėms teisėms, demokratijai ir teisinei valstybei;</w:t>
      </w:r>
    </w:p>
    <w:p w14:paraId="0F7924FF" w14:textId="3F928F99" w:rsidR="006A6C55" w:rsidRPr="006D7090" w:rsidRDefault="003F2B59" w:rsidP="006A6C55">
      <w:pPr>
        <w:pStyle w:val="NormalHanging12a"/>
      </w:pPr>
      <w:r>
        <w:t>U</w:t>
      </w:r>
      <w:r w:rsidR="006A6C55" w:rsidRPr="006D7090">
        <w:t>.</w:t>
      </w:r>
      <w:r w:rsidR="006A6C55" w:rsidRPr="006D7090">
        <w:tab/>
        <w:t>kadangi aukų šeimos, visų pirma nusikaltėlių tinklų nužudytų ar užverbuotų asmenų motinos ir artimieji, dažnai atlieka esminį vaidmenį užkertant kelią jaunuolių, susiduriančių su prekyba narkotikais, verbavimą, didinant jų informuotumą ir teikiant jiems paramą; tačiau prekybos narkotikais aukų šeimos Europos ir nacionalinės kovos su prekyba narkotikais politikos formavimo procese arba Pilietinės visuomenės forumo prieš narkotikus veikloje nedalyvauja;</w:t>
      </w:r>
    </w:p>
    <w:p w14:paraId="358D1365" w14:textId="749BA4EA" w:rsidR="006A6C55" w:rsidRPr="006D7090" w:rsidRDefault="003F2B59" w:rsidP="006A6C55">
      <w:pPr>
        <w:pStyle w:val="NormalHanging12a"/>
      </w:pPr>
      <w:r>
        <w:t>V</w:t>
      </w:r>
      <w:r w:rsidR="006A6C55" w:rsidRPr="006D7090">
        <w:t>.</w:t>
      </w:r>
      <w:r w:rsidR="006A6C55" w:rsidRPr="006D7090">
        <w:tab/>
        <w:t>kadangi ankstesnėse strategijose pabrėžtas poreikis geriau suderinti teisėsaugos atsaką su prevencijos, rizikos mažinimo ir socialinio teisingumo politika;</w:t>
      </w:r>
    </w:p>
    <w:p w14:paraId="002DCB7C" w14:textId="6E5EF11F" w:rsidR="006A6C55" w:rsidRPr="006D7090" w:rsidRDefault="003F2B59" w:rsidP="006A6C55">
      <w:pPr>
        <w:pStyle w:val="NormalHanging12a"/>
      </w:pPr>
      <w:r>
        <w:t>W</w:t>
      </w:r>
      <w:r w:rsidR="006A6C55" w:rsidRPr="006D7090">
        <w:t>.</w:t>
      </w:r>
      <w:r w:rsidR="006A6C55" w:rsidRPr="006D7090">
        <w:tab/>
        <w:t>kadangi E</w:t>
      </w:r>
      <w:r>
        <w:t>S</w:t>
      </w:r>
      <w:r w:rsidR="006A6C55" w:rsidRPr="006D7090">
        <w:t xml:space="preserve"> narkotikų strategija grindžiama esminiais ramsčiais, apimančiais visuomenės sveikatą, prevenciją, teisminį ir policijos bendradarbiavimą, taip pat bendradarbiavimą su trečiosiomis valstybėmis, ir kadangi ją būtų naudinga papildyti dalimi, skirta kovai su prekyba narkotikais sutelktų teritorijų ir bendruomenių socialiniam atsparumui;</w:t>
      </w:r>
    </w:p>
    <w:p w14:paraId="77E3F397" w14:textId="4B553563" w:rsidR="006A6C55" w:rsidRPr="006D7090" w:rsidRDefault="003F2B59" w:rsidP="006A6C55">
      <w:pPr>
        <w:pStyle w:val="NormalHanging12a"/>
      </w:pPr>
      <w:r>
        <w:t>X</w:t>
      </w:r>
      <w:r w:rsidR="006A6C55" w:rsidRPr="006D7090">
        <w:t>.</w:t>
      </w:r>
      <w:r w:rsidR="006A6C55" w:rsidRPr="006D7090">
        <w:tab/>
        <w:t>kadangi prekybos narkotikais plitimas yra Europos masto reiškinys, į kurį reikia reaguoti vieningai ir ryžtingai; Europos valdžios institucijos turi parodyti savo gebėjimą susitelkti, kad daugiau nebūtų prarasta gyvybių;</w:t>
      </w:r>
    </w:p>
    <w:p w14:paraId="7F04D3C0" w14:textId="77777777" w:rsidR="006A6C55" w:rsidRPr="006D7090" w:rsidRDefault="006A6C55" w:rsidP="006A6C55">
      <w:pPr>
        <w:pStyle w:val="NormalHanging12a"/>
      </w:pPr>
      <w:r w:rsidRPr="006D7090">
        <w:t>1.</w:t>
      </w:r>
      <w:r w:rsidRPr="006D7090">
        <w:tab/>
        <w:t>griežčiausiai smerkia Mehdi Kessaci nužudymą; reiškia gilią ir nuoširdžią užuojautą jo tėvams ir šeimai, jo artimiesiems ir taip pat visoms tiesioginėms ir netiesioginėms prekybos narkotikais aukoms Europoje ir visame pasaulyje;</w:t>
      </w:r>
    </w:p>
    <w:p w14:paraId="773C6A8D" w14:textId="77777777" w:rsidR="006A6C55" w:rsidRPr="006D7090" w:rsidRDefault="006A6C55" w:rsidP="006A6C55">
      <w:pPr>
        <w:pStyle w:val="NormalHanging12a"/>
      </w:pPr>
      <w:r w:rsidRPr="006D7090">
        <w:t>2.</w:t>
      </w:r>
      <w:r w:rsidRPr="006D7090">
        <w:tab/>
        <w:t>gerbia Amine Kessaci, Sąžinės asociacijos ir visų aktyvistų, kurie, neretai rizikuodami savo saugumu, kovoja su prekyba narkotikais, atsidavimą; gerbia Amine Kessaci drąsą, jam ir toliau priešinantis narkotikų prekeiviams, nepaisant grasinimų; pripažįsta, kad Mehdi Kessaci nužudymas yra tiesioginis išpuolis prieš saviraiškos ir kūrybos laisvę, taip pat prieš teisinę valstybę;</w:t>
      </w:r>
    </w:p>
    <w:p w14:paraId="63D0A286" w14:textId="77777777" w:rsidR="006A6C55" w:rsidRPr="006D7090" w:rsidRDefault="006A6C55" w:rsidP="006A6C55">
      <w:pPr>
        <w:pStyle w:val="NormalHanging12a"/>
      </w:pPr>
      <w:r w:rsidRPr="006D7090">
        <w:t>3.</w:t>
      </w:r>
      <w:r w:rsidRPr="006D7090">
        <w:tab/>
        <w:t>primena, kad vietos lygmens asociacijų veikla prisidedama prie jaunimo, socialinės sanglaudos ir demokratijos gyvybingumo apsaugos ir kad jos neretai sulaukia menko pripažinimo, paramos ar apsaugos;</w:t>
      </w:r>
    </w:p>
    <w:p w14:paraId="55F7DFE5" w14:textId="77777777" w:rsidR="006A6C55" w:rsidRPr="006D7090" w:rsidRDefault="006A6C55" w:rsidP="006A6C55">
      <w:pPr>
        <w:pStyle w:val="NormalHanging12a"/>
      </w:pPr>
      <w:r w:rsidRPr="006D7090">
        <w:t>4.</w:t>
      </w:r>
      <w:r w:rsidRPr="006D7090">
        <w:tab/>
        <w:t>pabrėžia, kad kova su prekyba narkotikais ir organizuotu nusikalstamumu yra vienas iš pagrindinių visos Europos Sąjungos uždavinių tiek saugumo, tiek visuomenės sveikatos, socialinio teisingumo ir pagarbos teisinės valstybės principams srityse;</w:t>
      </w:r>
    </w:p>
    <w:p w14:paraId="21553FA4" w14:textId="77777777" w:rsidR="006A6C55" w:rsidRDefault="006A6C55" w:rsidP="006A6C55">
      <w:pPr>
        <w:pStyle w:val="NormalHanging12a"/>
      </w:pPr>
      <w:r w:rsidRPr="006D7090">
        <w:t>5.</w:t>
      </w:r>
      <w:r w:rsidRPr="006D7090">
        <w:tab/>
        <w:t>palankiai vertina naujos Europos Sąjungos narkotikų strategijos ir veiksmų plano priėmimą ir dar kartą patvirtina savo paramą subalansuotam požiūriui, grindžiamam paklausos mažinimu, teisminiu ir policijos bendradarbiavimu, bendradarbiavimu su trečiosiomis valstybėmis ir prevencija, be kita ko, internetu; primena, kad ankstesnių planų nepakako, kad prekybos narkotikais problema būtų išspręsta, tačiau veiksmų šiam iššūkiui įveikti privalo imtis kiekvienas;</w:t>
      </w:r>
    </w:p>
    <w:p w14:paraId="3A79CFC3" w14:textId="7887AF71" w:rsidR="008C3AF0" w:rsidRPr="006D7090" w:rsidRDefault="003F2B59" w:rsidP="006A6C55">
      <w:pPr>
        <w:pStyle w:val="NormalHanging12a"/>
      </w:pPr>
      <w:r>
        <w:t>6</w:t>
      </w:r>
      <w:r w:rsidR="008C3AF0" w:rsidRPr="008C3AF0">
        <w:t>.</w:t>
      </w:r>
      <w:r w:rsidR="008C3AF0" w:rsidRPr="008C3AF0">
        <w:tab/>
        <w:t>primena, kad naujojoje kovos su narkotikais strategijoje valstybės narės raginamos priimti vairavimo apsvaigus nuo narkotikų visiško netoleravimo politiką, kaip numatyta Direktyvoje 2006/126/EB</w:t>
      </w:r>
      <w:r>
        <w:rPr>
          <w:rStyle w:val="FootnoteReference"/>
        </w:rPr>
        <w:footnoteReference w:id="6"/>
      </w:r>
      <w:r w:rsidR="008C3AF0" w:rsidRPr="008C3AF0">
        <w:t xml:space="preserve"> dėl vairuotojo pažymėjimų, ir visapusiškai pasinaudoti turimomis tarpvalstybinėmis priemonėmis, kad šių taisyklių būtų laikomasi;</w:t>
      </w:r>
    </w:p>
    <w:p w14:paraId="5E773C2F" w14:textId="2883E8C9" w:rsidR="006A6C55" w:rsidRPr="006D7090" w:rsidRDefault="003F2B59" w:rsidP="006A6C55">
      <w:pPr>
        <w:pStyle w:val="NormalHanging12a"/>
      </w:pPr>
      <w:r>
        <w:t>7</w:t>
      </w:r>
      <w:r w:rsidR="006A6C55" w:rsidRPr="006D7090">
        <w:t>.</w:t>
      </w:r>
      <w:r w:rsidR="006A6C55" w:rsidRPr="006D7090">
        <w:tab/>
        <w:t xml:space="preserve">visapusiškai remia </w:t>
      </w:r>
      <w:r>
        <w:t>ES</w:t>
      </w:r>
      <w:r w:rsidRPr="006D7090">
        <w:t xml:space="preserve"> </w:t>
      </w:r>
      <w:r w:rsidR="006A6C55" w:rsidRPr="006D7090">
        <w:t>narkotikų strategijos visuomenės sveikatos ir prevencijos ramstį, įskaitant ankstyvą prevenciją, rizikos mažinimą, sveikatos priežiūros prieinamumą, priklausomybių gydymą ir reintegraciją į visuomenę; primena, kad narkotikai vis labiau veikia visą visuomenę, sukelia priklausomybę ir reikalauja plataus masto susitelkimo, siekiant apsaugoti europiečių psichikos sveikatą;</w:t>
      </w:r>
    </w:p>
    <w:p w14:paraId="1F4CCD77" w14:textId="23A9D2A6" w:rsidR="006A6C55" w:rsidRPr="006D7090" w:rsidRDefault="003F2B59" w:rsidP="006A6C55">
      <w:pPr>
        <w:pStyle w:val="NormalHanging12a"/>
      </w:pPr>
      <w:r>
        <w:t>8</w:t>
      </w:r>
      <w:r w:rsidR="006A6C55" w:rsidRPr="006D7090">
        <w:t>.</w:t>
      </w:r>
      <w:r w:rsidR="006A6C55" w:rsidRPr="006D7090">
        <w:tab/>
        <w:t>pritaria Komisijos pasiūlymui stiprinti saugumą kovojant su prekyba narkotikais, įskaitant planuojamą esamo pamatinio sprendimo dėl prekybos narkotikais vertinimą iki 2026 m. ir kovos su organizuotu nusikalstamumu taisyklių modernizavimą; remia pagrindines priemones, pavyzdžiui, viešojo ir privačiojo sektorių bendradarbiavimo stiprinimą, siekiant pagerinti kontrabandinių narkotikų aptikimą pašto ir siuntinių pristatymo tarnybose, taip pat naujos Europos uostų strategijos, kuria siekiama padidinti uostų ir tiekimo grandinių saugumą ir atsparumą kovojant su prekyba narkotikais, kūrimą;</w:t>
      </w:r>
    </w:p>
    <w:p w14:paraId="60730168" w14:textId="4502F143" w:rsidR="006A6C55" w:rsidRPr="006D7090" w:rsidRDefault="003F2B59" w:rsidP="006A6C55">
      <w:pPr>
        <w:pStyle w:val="NormalHanging12a"/>
      </w:pPr>
      <w:r>
        <w:t>9</w:t>
      </w:r>
      <w:r w:rsidR="006A6C55" w:rsidRPr="006D7090">
        <w:t>.</w:t>
      </w:r>
      <w:r w:rsidR="006A6C55" w:rsidRPr="006D7090">
        <w:tab/>
        <w:t>palankiai vertina teisėsaugos, ginkluotųjų pajėgų, muitinės tarnybų ir teisėjų, visoje Europos Sąjungoje kovojančių su prekyba narkotikais, ryžtą; pripažįsta jų esminį indėlį į visuomenės saugumo užtikrinimą ir ragina proporcingai ir tinkamai stiprinti policijos pajėgoms ir teisminėms institucijoms skirtas priemones, kad būtų galima reaguoti į šios tarpvalstybinės grėsmės raidą;</w:t>
      </w:r>
    </w:p>
    <w:p w14:paraId="3709CEF2" w14:textId="71D94539" w:rsidR="006A6C55" w:rsidRPr="006D7090" w:rsidRDefault="00EC7BEE" w:rsidP="00973C40">
      <w:pPr>
        <w:pStyle w:val="NormalHanging12a"/>
      </w:pPr>
      <w:r>
        <w:t>10</w:t>
      </w:r>
      <w:r w:rsidR="006A6C55" w:rsidRPr="006D7090">
        <w:t>.</w:t>
      </w:r>
      <w:r w:rsidR="006A6C55" w:rsidRPr="006D7090">
        <w:tab/>
        <w:t xml:space="preserve">ragina stiprinti </w:t>
      </w:r>
      <w:r w:rsidR="00973C40">
        <w:t xml:space="preserve">žmogiškuosius, materialinius ir technologinius išteklius, skirtus išorės sienų kontrolei kovojant su prekyba ginklais, žmonėmis ir narkotikais, ir bendras </w:t>
      </w:r>
      <w:r w:rsidR="006A6C55" w:rsidRPr="006D7090">
        <w:t xml:space="preserve">tarpvalstybines teisėsaugos operacijas, ypač „karštuosiuose taškuose“, kaip antai Marselyje, Havre, Antverpene, Roterdame ir Hamburge, glaudžiai bendradarbiaujant su </w:t>
      </w:r>
      <w:r w:rsidR="00973C40" w:rsidRPr="00973C40">
        <w:t xml:space="preserve">Europos sienų ir pakrančių apsaugos agentūra, </w:t>
      </w:r>
      <w:r w:rsidR="006A6C55" w:rsidRPr="006D7090">
        <w:t>Europolu, Eurojustu ir EUDA, siekiant išardyti nusikalstamus tinklus, atsakingus už šaudymus, nužudymus ir bauginimus visoje Europoje;</w:t>
      </w:r>
    </w:p>
    <w:p w14:paraId="0E54DD6E" w14:textId="374192EC" w:rsidR="006A6C55" w:rsidRPr="006D7090" w:rsidRDefault="00967694" w:rsidP="006A6C55">
      <w:pPr>
        <w:pStyle w:val="NormalHanging12a"/>
      </w:pPr>
      <w:r>
        <w:t>1</w:t>
      </w:r>
      <w:r w:rsidR="003F2B59">
        <w:t>1</w:t>
      </w:r>
      <w:r w:rsidR="006A6C55" w:rsidRPr="006D7090">
        <w:t>.</w:t>
      </w:r>
      <w:r w:rsidR="006A6C55" w:rsidRPr="006D7090">
        <w:tab/>
        <w:t>pabrėžia, kad reikia stiprinti muitinių, teisėsaugos, teisminių ir administracinių institucijų bendradarbiavimą ir keitimąsi informacija, ir ragina Komisiją užtikrinti būtiną šių pastangų rėmimo sistemą, kartu užtikrinant pagrindines teises ir privatumo apsaugą;</w:t>
      </w:r>
    </w:p>
    <w:p w14:paraId="68BF6B52" w14:textId="69AE31D6" w:rsidR="006A6C55" w:rsidRPr="006D7090" w:rsidRDefault="00967694" w:rsidP="006A6C55">
      <w:pPr>
        <w:pStyle w:val="NormalHanging12a"/>
      </w:pPr>
      <w:r>
        <w:t>1</w:t>
      </w:r>
      <w:r w:rsidR="003F2B59">
        <w:t>2</w:t>
      </w:r>
      <w:r w:rsidR="006A6C55" w:rsidRPr="006D7090">
        <w:t>.</w:t>
      </w:r>
      <w:r w:rsidR="006A6C55" w:rsidRPr="006D7090">
        <w:tab/>
        <w:t>primena, kad kovojant su organizuotu nusikalstamumu turi būti sprendžiami klausimai, susiję su ekonominėmis ir finansinėmis prekybos narkotikais struktūromis, be kita ko, stiprinant nusikalstamu būdu įgyto turto konfiskavimo mechanizmus ir kovojant su mokesčių rojais; ragina Europos Sąjungą ir valstybes nares visapusiškai ir veiksmingai pasinaudoti naująja Direktyva (ES) 2024/1260 dėl turto susigrąžinimo ir konfiskavimo</w:t>
      </w:r>
      <w:r w:rsidR="006A6C55" w:rsidRPr="006D7090">
        <w:rPr>
          <w:rStyle w:val="FootnoteReference"/>
        </w:rPr>
        <w:footnoteReference w:id="7"/>
      </w:r>
      <w:r w:rsidR="006A6C55" w:rsidRPr="006D7090">
        <w:t xml:space="preserve"> ir imtis būtinų priemonių, kad konfiskuotą turtą būtų galima naudoti socialiniais tikslais, visų pirma konfiskuotą turtą patikint vietos organizacijoms, kovojančioms su teritorine prekybos narkotikais įtaka, kaip Italijoje, taip pat valdžios institucijoms, kurios labiausiai susiduria su smurtu, susijusiu su prekyba narkotikais, arba už tyrimus atsakingoms teisminėms ir muitinės tarnyboms; ragina Komisiją ir valstybes nares užtikrinti, kad į jų nacionalines turto susigrąžinimo strategijas būtų įtrauktos priemonės, susijusios su konfiskuoto turto panaudojimu visuomenės interesams arba socialiniais tikslais;</w:t>
      </w:r>
    </w:p>
    <w:p w14:paraId="128528FF" w14:textId="5ABAD13B" w:rsidR="006A6C55" w:rsidRPr="006D7090" w:rsidRDefault="00967694" w:rsidP="006A6C55">
      <w:pPr>
        <w:pStyle w:val="NormalHanging12a"/>
      </w:pPr>
      <w:r>
        <w:t>1</w:t>
      </w:r>
      <w:r w:rsidR="006B39B2">
        <w:t>3</w:t>
      </w:r>
      <w:r w:rsidR="006A6C55" w:rsidRPr="006D7090">
        <w:t>.</w:t>
      </w:r>
      <w:r w:rsidR="006A6C55" w:rsidRPr="006D7090">
        <w:tab/>
        <w:t>pabrėžia, kad svarbu įtraukti teisminio bendradarbiavimo ir skaidrumo reikalavimus į Sąjungos išorės santykius ir susitarimus su trečiosiomis valstybėmis, esančiomis prekybos narkotikais maršrutuose; pabrėžia, kad bendradarbiavimas su kai kuriomis iš šių valstybių yra vaisingas, tuo tarpu kai kitos atsisako visapusiškai bendradarbiauti su Europos valdžios institucijomis;</w:t>
      </w:r>
    </w:p>
    <w:p w14:paraId="198269F3" w14:textId="4BF9B341" w:rsidR="006A6C55" w:rsidRPr="006D7090" w:rsidRDefault="00967694" w:rsidP="006A6C55">
      <w:pPr>
        <w:pStyle w:val="NormalHanging12a"/>
      </w:pPr>
      <w:r>
        <w:t>1</w:t>
      </w:r>
      <w:r w:rsidR="006B39B2">
        <w:t>4</w:t>
      </w:r>
      <w:r w:rsidR="006A6C55" w:rsidRPr="006D7090">
        <w:t>.</w:t>
      </w:r>
      <w:r w:rsidR="006A6C55" w:rsidRPr="006D7090">
        <w:tab/>
        <w:t>džiaugiasi sėkmingu Eurojusto, Europolo ir Armėnijos, Bosnijos ir Hercegovinos ir Libano susitarimų sudarymu;</w:t>
      </w:r>
    </w:p>
    <w:p w14:paraId="3B27424E" w14:textId="455E90E4" w:rsidR="006A6C55" w:rsidRDefault="00967694" w:rsidP="006A6C55">
      <w:pPr>
        <w:pStyle w:val="NormalHanging12a"/>
      </w:pPr>
      <w:r>
        <w:t>1</w:t>
      </w:r>
      <w:r w:rsidR="006B39B2">
        <w:t>5</w:t>
      </w:r>
      <w:r w:rsidR="006A6C55" w:rsidRPr="006D7090">
        <w:t>.</w:t>
      </w:r>
      <w:r w:rsidR="006A6C55" w:rsidRPr="006D7090">
        <w:tab/>
        <w:t>pabrėžia, kad svarbu nuodugniai išnagrinėti nusikalstamų organizacijų taikomus metodus ir jų sparčią raidą, siekiant sukurti tinkamiausias teisines procedūras; ypač ragina taikyti bendrą požiūrį į organizuoto nusikalstamumo atstovų sulaikymą, apsvarstyti galimybę nustatyti bendradarbiaujančio liudininko statusą, apsaugoti į nusikaltėlių tinklus įtrauktus nepilnamečius, kovą su prekyba narkotikais suderinti su nuostatomis, susijusiomis su pinigų plovimu ir korupcija, turto prievartavimu, prekyba žmonėmis, nusikaltimais aplinkai ir prekyba ginklais; ragina išnagrinėti didesnį Europos prokuratūros vaidmenį kovojant su organizuotu nusikalstamumu;</w:t>
      </w:r>
    </w:p>
    <w:p w14:paraId="6C27788F" w14:textId="57E95138" w:rsidR="006A6C55" w:rsidRPr="006D7090" w:rsidRDefault="00967694" w:rsidP="006A6C55">
      <w:pPr>
        <w:pStyle w:val="NormalHanging12a"/>
      </w:pPr>
      <w:r>
        <w:t>1</w:t>
      </w:r>
      <w:r w:rsidR="006B39B2">
        <w:t>6</w:t>
      </w:r>
      <w:r w:rsidR="006A6C55" w:rsidRPr="006D7090">
        <w:t>.</w:t>
      </w:r>
      <w:r w:rsidR="006A6C55" w:rsidRPr="006D7090">
        <w:tab/>
        <w:t>įsipareigoja vykdyti glaudesnę ir gilesnę prekybos narkotikais ir kovos su tarpvalstybiniu organizuotu nusikalstamumu, susijusiu su narkotikais, parlamentinę kontrolę;</w:t>
      </w:r>
    </w:p>
    <w:p w14:paraId="4148F811" w14:textId="2CDDBBBE" w:rsidR="006A6C55" w:rsidRPr="006D7090" w:rsidRDefault="00967694" w:rsidP="006A6C55">
      <w:pPr>
        <w:pStyle w:val="NormalHanging12a"/>
      </w:pPr>
      <w:r>
        <w:t>1</w:t>
      </w:r>
      <w:r w:rsidR="006B39B2">
        <w:t>7</w:t>
      </w:r>
      <w:r w:rsidR="006A6C55" w:rsidRPr="006D7090">
        <w:t>.</w:t>
      </w:r>
      <w:r w:rsidR="006A6C55" w:rsidRPr="006D7090">
        <w:tab/>
        <w:t>ragina stiprinti žmogiškuosius išteklius, skirtus bendruomenės policijos ir specializuotoms policijos pajėgoms, taip pat specializuotiems jurisdikciją turintiems subjektams kovojant su prekyba narkotikais, įskaitant kovos su pinigų plovimu jurisdikciją turinčius subjektus;</w:t>
      </w:r>
    </w:p>
    <w:p w14:paraId="2761703B" w14:textId="51783F2A" w:rsidR="006A6C55" w:rsidRPr="006D7090" w:rsidRDefault="00967694" w:rsidP="006A6C55">
      <w:pPr>
        <w:pStyle w:val="NormalHanging12a"/>
      </w:pPr>
      <w:r>
        <w:t>1</w:t>
      </w:r>
      <w:r w:rsidR="006B39B2">
        <w:t>8</w:t>
      </w:r>
      <w:r w:rsidR="006A6C55" w:rsidRPr="006D7090">
        <w:t>.</w:t>
      </w:r>
      <w:r w:rsidR="006A6C55" w:rsidRPr="006D7090">
        <w:tab/>
        <w:t>skatina Europos Sąjungos institucijų, nacionalinių valdžios institucijų ir valstybių narių bendradarbiavimą policijos veiklos, teisminėje ir administracinėje srityse;</w:t>
      </w:r>
    </w:p>
    <w:p w14:paraId="601B48EB" w14:textId="0D1C119E" w:rsidR="006A6C55" w:rsidRPr="006D7090" w:rsidRDefault="00967694" w:rsidP="006A6C55">
      <w:pPr>
        <w:pStyle w:val="NormalHanging12a"/>
      </w:pPr>
      <w:r>
        <w:t>1</w:t>
      </w:r>
      <w:r w:rsidR="006B39B2">
        <w:t>9</w:t>
      </w:r>
      <w:r w:rsidR="006A6C55" w:rsidRPr="006D7090">
        <w:t>.</w:t>
      </w:r>
      <w:r w:rsidR="006A6C55" w:rsidRPr="006D7090">
        <w:tab/>
        <w:t>ragina kovą su prekyba narkotikais paversti vienu iš Europos uostų strategijos ramsčių ir sudaryti uostų, įskaitant jūrų ir upių uostus, aljansą, taip pat ragina parengti uostų darbuotojų mokymo, prevencijos ir apsaugos programas; ragina teikti paramą ir pagalbą dokų darbininkams ir žvejams, susiduriantiems su narkotikų prekybos tinklų daromu spaudimu, grasinimais ir bandymais šantažuoti; pabrėžia, kad svarbu dalytis informacija apie narkotikų, pirmtakų ir pagrindinių cheminių medžiagų konfiskavimą, taip pat svarbu naudoti strateginės infrastruktūros stebėjimo technologijas;</w:t>
      </w:r>
    </w:p>
    <w:p w14:paraId="11C95623" w14:textId="08DC8855" w:rsidR="006A6C55" w:rsidRDefault="006B39B2" w:rsidP="006A6C55">
      <w:pPr>
        <w:pStyle w:val="NormalHanging12a"/>
      </w:pPr>
      <w:r>
        <w:t>20</w:t>
      </w:r>
      <w:r w:rsidR="006A6C55" w:rsidRPr="006D7090">
        <w:t>.</w:t>
      </w:r>
      <w:r w:rsidR="006A6C55" w:rsidRPr="006D7090">
        <w:tab/>
        <w:t>ragina kovą su prekyba narkotikais padaryti vienu iš Sąjungos muitinės prioritetų, o muitinės agentūroms suteikti tokias pačias priemones, kaip ir uostų darbuotojams;</w:t>
      </w:r>
    </w:p>
    <w:p w14:paraId="5B553F01" w14:textId="6BB4D9DC" w:rsidR="006B39B2" w:rsidRPr="006D7090" w:rsidRDefault="006B39B2" w:rsidP="006A6C55">
      <w:pPr>
        <w:pStyle w:val="NormalHanging12a"/>
      </w:pPr>
      <w:r>
        <w:t>21</w:t>
      </w:r>
      <w:r w:rsidRPr="008C3AF0">
        <w:t>.</w:t>
      </w:r>
      <w:r w:rsidRPr="008C3AF0">
        <w:tab/>
        <w:t>pabrėžia, kad būsimos Europos iniciatyvos, pvz., Europos uostų aljansas, taip pat Europolo, Eurojusto ir Europos prokuratūros reformos turėtų padėti stiprinti Europos uostų vientisumą, skaidrumą ir atsparumą, visų pirma gerinant pirminės grandies pareigūnų ir darbuotojų apsaugą nuo bauginimo ir korupcijos rizikos;</w:t>
      </w:r>
    </w:p>
    <w:p w14:paraId="73FA2C5E" w14:textId="0F66E59F" w:rsidR="006A6C55" w:rsidRPr="006D7090" w:rsidRDefault="00967694" w:rsidP="006A6C55">
      <w:pPr>
        <w:pStyle w:val="NormalHanging12a"/>
      </w:pPr>
      <w:r>
        <w:t>2</w:t>
      </w:r>
      <w:r w:rsidR="006B39B2">
        <w:t>2</w:t>
      </w:r>
      <w:r w:rsidR="006A6C55" w:rsidRPr="006D7090">
        <w:t>.</w:t>
      </w:r>
      <w:r w:rsidR="006A6C55" w:rsidRPr="006D7090">
        <w:tab/>
        <w:t>akcentuoja esminį prevencijos vaidmenį, be kita ko, socialiniuose tinkluose ir skaitmeninėse platformose, ir ragina veiksmingai įgyvendinti esamas Europos taisykles, visų pirma Skaitmeninių paslaugų reglamentą, siekiant užkirsti kelią verbavimui, smurto kurstymui ir nusikalstamos veiklos organizavimui internete ir ištirti jų raidos poreikius; ragina valstybes į savo prevencijos politiką įtraukti aiškią informaciją, kuri leistų vartotojams suprasti, kad jie prisideda prie destruktyvių nusikaltėlių tinklų smurtinių veiksmų;</w:t>
      </w:r>
    </w:p>
    <w:p w14:paraId="5F850011" w14:textId="7983B5D6" w:rsidR="006A6C55" w:rsidRPr="006D7090" w:rsidRDefault="00967694" w:rsidP="006A6C55">
      <w:pPr>
        <w:pStyle w:val="NormalHanging12a"/>
      </w:pPr>
      <w:bookmarkStart w:id="7" w:name="_heading=h.wu2hczxpxd"/>
      <w:bookmarkEnd w:id="7"/>
      <w:r>
        <w:t>2</w:t>
      </w:r>
      <w:r w:rsidR="006B39B2">
        <w:t>3</w:t>
      </w:r>
      <w:r w:rsidR="006A6C55" w:rsidRPr="006D7090">
        <w:t>.</w:t>
      </w:r>
      <w:r w:rsidR="006A6C55" w:rsidRPr="006D7090">
        <w:tab/>
        <w:t>pabrėžia, kad nepilnamečių apsaugą nuo verbavimo nusikaltėlių tinkluose reikia visapusiškai integruoti į kovos su narkotikais politiką, laikantis Skaitmeninių paslaugų reglamento ir Europos Parlamento rezoliucijos dėl nepilnamečių apsaugos internete (2025/2060(INI)), be kita ko, bendradarbiaujant su skaitmeninėmis platformomis, vykdant tikslinę prevenciją ir ankstyvą nustatymą;</w:t>
      </w:r>
    </w:p>
    <w:p w14:paraId="0C607800" w14:textId="4CE3D1F8" w:rsidR="006A6C55" w:rsidRPr="006D7090" w:rsidRDefault="00967694" w:rsidP="006A6C55">
      <w:pPr>
        <w:pStyle w:val="NormalHanging12a"/>
      </w:pPr>
      <w:r>
        <w:t>2</w:t>
      </w:r>
      <w:r w:rsidR="006B39B2">
        <w:t>4</w:t>
      </w:r>
      <w:r w:rsidR="006A6C55" w:rsidRPr="006D7090">
        <w:t>.</w:t>
      </w:r>
      <w:r w:rsidR="006A6C55" w:rsidRPr="006D7090">
        <w:tab/>
        <w:t>pabrėžia ne tik saugumu ir teisėsaugos veiksmais grindžiamo požiūrio, bet ir struktūrinių veiksmų, susijusių su socialiniais, ekonominiais ir teritoriniais veiksniais, kurie skatina tvarų šios nusikalstamos veiklos vykdymą, ypač palankių sąlygų neturinčiuose miestų rajonuose, svarbą; šiuo atžvilgiu pabrėžia esminį Sąjungos biudžeto priemonių, visų pirma Europos regioninės plėtros fondo (ERPF), Sanglaudos fondo ir „Europos socialinio fondo +“ (ESF+), vaidmenį remiant ilgalaikes investicijas į galimybes įsidarbinti, miestų atnaujinimą, vietos viešąsias paslaugas, švietimą, prevenciją ir socialinę sanglaudą, taip prisidedant prie šių teritorijų atsparumo neteisėtai ekonomikai ir bendruomenių pasipriešinimo nusikalstamoms organizacijoms stiprinimo;</w:t>
      </w:r>
    </w:p>
    <w:p w14:paraId="6BE85A16" w14:textId="5AFB016A" w:rsidR="006A6C55" w:rsidRPr="006D7090" w:rsidRDefault="00967694" w:rsidP="006A6C55">
      <w:pPr>
        <w:pStyle w:val="NormalHanging12a"/>
      </w:pPr>
      <w:r>
        <w:t>2</w:t>
      </w:r>
      <w:r w:rsidR="006B39B2">
        <w:t>5</w:t>
      </w:r>
      <w:r w:rsidR="006A6C55" w:rsidRPr="006D7090">
        <w:t>.</w:t>
      </w:r>
      <w:r w:rsidR="006A6C55" w:rsidRPr="006D7090">
        <w:tab/>
        <w:t>vis dėlto reiškia didelį susirūpinimą dėl Komisijos numatytų 2028–2034 m. daugiametės finansinės programos krypčių, visų pirma dėl tolesnio sanglaudos politikos renacionalizavimo, sanglaudos fondų sujungimo su kitomis priemonėmis ir finansavimo sutelkimo tik į mažiausiai išsivysčiusius regionus rizikos; įspėja, kad dėl šių pokyčių gali atsirasti žalinga konkurencija tarp prioritetų ir teritorijų, o tai pakenktų būtinoms investicijoms į sunkumų patiriančias miestų teritorijas, esančias tarpiniuose ar labiau išsivysčiusiuose regionuose, nors šiuose rajonuose neretai stebimas didelis socialinis pažeidžiamumas ir susiduriama su dideliu prekybos narkotikais pavojumi;</w:t>
      </w:r>
    </w:p>
    <w:p w14:paraId="4BD4DFC6" w14:textId="6A72360B" w:rsidR="006A6C55" w:rsidRPr="006D7090" w:rsidRDefault="00967694" w:rsidP="006A6C55">
      <w:pPr>
        <w:pStyle w:val="NormalHanging12a"/>
      </w:pPr>
      <w:r>
        <w:t>2</w:t>
      </w:r>
      <w:r w:rsidR="006B39B2">
        <w:t>6</w:t>
      </w:r>
      <w:r w:rsidR="006A6C55" w:rsidRPr="006D7090">
        <w:t>.</w:t>
      </w:r>
      <w:r w:rsidR="006A6C55" w:rsidRPr="006D7090">
        <w:tab/>
        <w:t>pabrėžia, kad neseniai Komisijos priimta nauja Europos Sąjungos miestų darbotvarkė duos konkrečių rezultatų tik tuo atveju, jei ji bus visiškai integruota į būsimas nacionalines ir regionines partnerystės programas; atsižvelgdamas į tai, ragina į šiuos planus įtraukti konkrečias, atpažįstamas ir pakankamai išteklių turinčias priemones, skirtas viešosioms investicijoms į neturtingesnius rajonus, kad būtų išvengta jų ilgalaikio marginalizavimo ir užkirstas kelias nusikaltėlių tinklų vykdomam jų užgrobimui; primygtinai reikalauja užtikrinti teritorinį, integruotą ir įtraukų sanglaudos požiūrį, nes tai būtina siekiant nepalikti nuošalyje jokios teritorijos ir tvariai stiprinti saugumą, socialinį teisingumą ir sanglaudą Europos Sąjungoje;</w:t>
      </w:r>
    </w:p>
    <w:p w14:paraId="40998A6B" w14:textId="3A902B79" w:rsidR="006A6C55" w:rsidRPr="006D7090" w:rsidRDefault="00967694" w:rsidP="006A6C55">
      <w:pPr>
        <w:pStyle w:val="NormalHanging12a"/>
      </w:pPr>
      <w:r>
        <w:t>2</w:t>
      </w:r>
      <w:r w:rsidR="006B39B2">
        <w:t>7</w:t>
      </w:r>
      <w:r w:rsidR="006A6C55" w:rsidRPr="006D7090">
        <w:t>.</w:t>
      </w:r>
      <w:r w:rsidR="006A6C55" w:rsidRPr="006D7090">
        <w:tab/>
        <w:t>primena, kad Italijos kovos su mafija strategijos sėkmę daugiausia lėmė pilietinės visuomenės sutelkimas; todėl ragina į kovą su organizuotu nusikalstamumu ir prekyba narkotikais visapusiškai integruoti pilietinę visuomenę, ypač visuomenines asociacijas;</w:t>
      </w:r>
    </w:p>
    <w:p w14:paraId="5D5FFC64" w14:textId="47E094E0" w:rsidR="006A6C55" w:rsidRPr="006D7090" w:rsidRDefault="00967694" w:rsidP="006A6C55">
      <w:pPr>
        <w:pStyle w:val="NormalHanging12a"/>
      </w:pPr>
      <w:r>
        <w:t>2</w:t>
      </w:r>
      <w:r w:rsidR="006B39B2">
        <w:t>8</w:t>
      </w:r>
      <w:r w:rsidR="006A6C55" w:rsidRPr="006D7090">
        <w:t>.</w:t>
      </w:r>
      <w:r w:rsidR="006A6C55" w:rsidRPr="006D7090">
        <w:tab/>
        <w:t>pabrėžia, kad rengiant, įgyvendinant ir vertinant Europos kovos su narkotikais politiką, didžiausią dėmesį reikia skirti aukų šeimų patirčiai ir balsui, pripažįstant jų esminį vaidmenį vykdant su rizikos grupei priklausančiais asmenimis susijusią prevenciją ir teikiant jiems paramą; todėl ragina juos visapusiškai integruoti į tolesnius Europos Sąjungos ir valstybių narių veiksmus kovojant su prekyba narkotikais;</w:t>
      </w:r>
    </w:p>
    <w:p w14:paraId="46627A25" w14:textId="0DBC4000" w:rsidR="006A6C55" w:rsidRPr="006D7090" w:rsidRDefault="00967694" w:rsidP="006A6C55">
      <w:pPr>
        <w:pStyle w:val="NormalHanging12a"/>
      </w:pPr>
      <w:r>
        <w:t>2</w:t>
      </w:r>
      <w:r w:rsidR="006B39B2">
        <w:t>9</w:t>
      </w:r>
      <w:r w:rsidR="006A6C55" w:rsidRPr="006D7090">
        <w:t>.</w:t>
      </w:r>
      <w:r w:rsidR="006A6C55" w:rsidRPr="006D7090">
        <w:tab/>
        <w:t>ragina kovos su narkotikais strategijos valdymo organus, susijusius suinteresuotųjų subjektų komitetus ir valstybes nares struktūriškai integruoti aukų ir jų šeimų atstovus;</w:t>
      </w:r>
    </w:p>
    <w:p w14:paraId="4AF4B3E9" w14:textId="09F005B0" w:rsidR="006A6C55" w:rsidRPr="006D7090" w:rsidRDefault="006B39B2" w:rsidP="006A6C55">
      <w:pPr>
        <w:pStyle w:val="NormalHanging12a"/>
      </w:pPr>
      <w:r>
        <w:t>30</w:t>
      </w:r>
      <w:r w:rsidR="006A6C55" w:rsidRPr="006D7090">
        <w:t>.</w:t>
      </w:r>
      <w:r w:rsidR="006A6C55" w:rsidRPr="006D7090">
        <w:tab/>
        <w:t xml:space="preserve">reiškia paramą visiems veikėjams vietoje, įskaitant </w:t>
      </w:r>
      <w:r w:rsidR="00DF5480" w:rsidRPr="00DF5480">
        <w:t xml:space="preserve">teisėsaugos pareigūnus, </w:t>
      </w:r>
      <w:r w:rsidR="006A6C55" w:rsidRPr="006D7090">
        <w:t>asociacijas, pedagogus, socialinius darbuotojus ir vietos valdžios institucijas; pabrėžia pakankamos Europos finansinės paramos šioms iniciatyvoms svarbą ir pažymi, kad šiomis aplinkybėmis galėtų būti mobilizuojami ir socialinių veiksmų fondai, ir fondai, numatyti pasiūlyme dėl reglamento, kuriuo nustatoma Sąjungos parama vidaus saugumui 2028–2034 m., (COM(2025)0542);</w:t>
      </w:r>
    </w:p>
    <w:p w14:paraId="28A6BCA6" w14:textId="5816E191" w:rsidR="006A6C55" w:rsidRPr="006D7090" w:rsidRDefault="006B39B2" w:rsidP="006A6C55">
      <w:pPr>
        <w:pStyle w:val="NormalHanging12a"/>
      </w:pPr>
      <w:r>
        <w:t>31</w:t>
      </w:r>
      <w:r w:rsidR="006A6C55" w:rsidRPr="006D7090">
        <w:t>.</w:t>
      </w:r>
      <w:r w:rsidR="006A6C55" w:rsidRPr="006D7090">
        <w:tab/>
        <w:t>ragina Komisiją ir valstybes nares plėtoti Europos gerosios praktikos, susijusios su aukų ir liudininkų apsauga, koordinavimą, atsižvelgiant į dažnai neužtikrintą atitinkamų šeimų socialinę ir ekonominę padėtį;</w:t>
      </w:r>
    </w:p>
    <w:p w14:paraId="1F9FFF54" w14:textId="00D84D19" w:rsidR="006A6C55" w:rsidRPr="006D7090" w:rsidRDefault="00967694" w:rsidP="006A6C55">
      <w:pPr>
        <w:pStyle w:val="NormalHanging12a"/>
      </w:pPr>
      <w:r>
        <w:t>3</w:t>
      </w:r>
      <w:r w:rsidR="006B39B2">
        <w:t>2</w:t>
      </w:r>
      <w:r w:rsidR="006A6C55" w:rsidRPr="006D7090">
        <w:t>.</w:t>
      </w:r>
      <w:r w:rsidR="006A6C55" w:rsidRPr="006D7090">
        <w:tab/>
        <w:t>ragina valstybes nares užtikrinti nuo prekybos narkotikais nukentėjusių šeimų apgyvendinimą kitoje vietoje ir jų galimybes įsidarbinti, siekiant užtikrinti jų saugumą, ir ragina Komisiją šį aspektą įtraukti į savo būsto planą;</w:t>
      </w:r>
    </w:p>
    <w:p w14:paraId="5812F6E1" w14:textId="05126E42" w:rsidR="006A6C55" w:rsidRPr="006D7090" w:rsidRDefault="00967694" w:rsidP="006A6C55">
      <w:pPr>
        <w:pStyle w:val="NormalHanging12a"/>
      </w:pPr>
      <w:r>
        <w:t>3</w:t>
      </w:r>
      <w:r w:rsidR="006B39B2">
        <w:t>3</w:t>
      </w:r>
      <w:r w:rsidR="006A6C55" w:rsidRPr="006D7090">
        <w:t>.</w:t>
      </w:r>
      <w:r w:rsidR="006A6C55" w:rsidRPr="006D7090">
        <w:tab/>
        <w:t>ragina valstybes nares remti savo poziciją prieš organizuotą nusikalstamumą reiškiančius asmenis, tokius kaip Amine Kessaci arba Roberto Saviano, ir padaryti juos teisinės valstybės ir saviraiškos laisvės gynimo ramsčiu;</w:t>
      </w:r>
    </w:p>
    <w:p w14:paraId="6A960CDF" w14:textId="2F1C99F8" w:rsidR="006D7090" w:rsidRPr="006D7090" w:rsidRDefault="00967694" w:rsidP="006D7090">
      <w:pPr>
        <w:pStyle w:val="NormalHanging12a"/>
      </w:pPr>
      <w:r>
        <w:t>3</w:t>
      </w:r>
      <w:r w:rsidR="006B39B2">
        <w:t>4</w:t>
      </w:r>
      <w:r w:rsidR="006A6C55" w:rsidRPr="006D7090">
        <w:t>.</w:t>
      </w:r>
      <w:r w:rsidR="006A6C55" w:rsidRPr="006D7090">
        <w:tab/>
        <w:t>paveda Pirmininkei perduoti šią rezoliuciją Tarybai, Komisijai, valstybių narių vyriausybėms ir parlamentams, taip pat susijusioms institucijoms ir tarptautinėms organizacijoms.</w:t>
      </w:r>
    </w:p>
    <w:p w14:paraId="32F9D3F9" w14:textId="1649F1C9" w:rsidR="00E365E1" w:rsidRPr="006D7090" w:rsidRDefault="00E365E1" w:rsidP="00D171AA"/>
    <w:sectPr w:rsidR="00E365E1" w:rsidRPr="006D7090" w:rsidSect="006D709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49B37" w14:textId="77777777" w:rsidR="00D171AA" w:rsidRPr="006D7090" w:rsidRDefault="00D171AA">
      <w:r w:rsidRPr="006D7090">
        <w:separator/>
      </w:r>
    </w:p>
  </w:endnote>
  <w:endnote w:type="continuationSeparator" w:id="0">
    <w:p w14:paraId="7EC314C8" w14:textId="77777777" w:rsidR="00D171AA" w:rsidRPr="006D7090" w:rsidRDefault="00D171AA">
      <w:r w:rsidRPr="006D70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057A90" w14:textId="77777777" w:rsidR="00D171AA" w:rsidRPr="006D7090" w:rsidRDefault="00D171AA">
      <w:r w:rsidRPr="006D7090">
        <w:separator/>
      </w:r>
    </w:p>
  </w:footnote>
  <w:footnote w:type="continuationSeparator" w:id="0">
    <w:p w14:paraId="56E2F9E0" w14:textId="77777777" w:rsidR="00D171AA" w:rsidRPr="006D7090" w:rsidRDefault="00D171AA">
      <w:r w:rsidRPr="006D7090">
        <w:continuationSeparator/>
      </w:r>
    </w:p>
  </w:footnote>
  <w:footnote w:id="1">
    <w:p w14:paraId="7ED108C5" w14:textId="6B260AC3" w:rsidR="006A6C55" w:rsidRPr="00ED6991" w:rsidRDefault="006A6C55" w:rsidP="006D7090">
      <w:pPr>
        <w:pStyle w:val="FootnoteText"/>
        <w:ind w:left="567" w:hanging="567"/>
        <w:rPr>
          <w:sz w:val="24"/>
          <w:szCs w:val="24"/>
          <w:lang w:val="lt-LT"/>
        </w:rPr>
      </w:pPr>
      <w:r w:rsidRPr="00ED6991">
        <w:rPr>
          <w:rStyle w:val="FootnoteReference"/>
          <w:sz w:val="24"/>
          <w:szCs w:val="24"/>
          <w:lang w:val="lt-LT"/>
        </w:rPr>
        <w:footnoteRef/>
      </w:r>
      <w:r w:rsidR="006D7090" w:rsidRPr="00ED6991">
        <w:rPr>
          <w:sz w:val="24"/>
          <w:szCs w:val="24"/>
          <w:lang w:val="lt-LT"/>
        </w:rPr>
        <w:t xml:space="preserve"> </w:t>
      </w:r>
      <w:r w:rsidR="006D7090" w:rsidRPr="00ED6991">
        <w:rPr>
          <w:sz w:val="24"/>
          <w:szCs w:val="24"/>
          <w:lang w:val="lt-LT"/>
        </w:rPr>
        <w:tab/>
      </w:r>
      <w:r w:rsidRPr="00ED6991">
        <w:rPr>
          <w:sz w:val="24"/>
          <w:szCs w:val="24"/>
          <w:lang w:val="lt-LT"/>
        </w:rPr>
        <w:t>OL L 315, 2012 11 14, p. 57, ELI: </w:t>
      </w:r>
      <w:hyperlink r:id="rId1" w:tooltip="Prieiga prie šio dokumento suteikiama per ELI sistemoje jam suteiktą URI." w:history="1">
        <w:r w:rsidRPr="00ED6991">
          <w:rPr>
            <w:rStyle w:val="Hyperlink"/>
            <w:sz w:val="24"/>
            <w:szCs w:val="24"/>
            <w:lang w:val="lt-LT"/>
          </w:rPr>
          <w:t>http://data.europa.eu/eli/dir/2012/29/oj</w:t>
        </w:r>
      </w:hyperlink>
      <w:r w:rsidRPr="00ED6991">
        <w:rPr>
          <w:sz w:val="24"/>
          <w:szCs w:val="24"/>
          <w:lang w:val="lt-LT"/>
        </w:rPr>
        <w:t>.</w:t>
      </w:r>
    </w:p>
  </w:footnote>
  <w:footnote w:id="2">
    <w:p w14:paraId="344A63CE" w14:textId="67C258C6" w:rsidR="006A6C55" w:rsidRPr="00ED6991" w:rsidRDefault="006A6C55" w:rsidP="006D7090">
      <w:pPr>
        <w:pStyle w:val="FootnoteText"/>
        <w:ind w:left="567" w:hanging="567"/>
        <w:rPr>
          <w:sz w:val="24"/>
          <w:szCs w:val="24"/>
          <w:lang w:val="lt-LT"/>
        </w:rPr>
      </w:pPr>
      <w:r w:rsidRPr="00ED6991">
        <w:rPr>
          <w:rStyle w:val="FootnoteReference"/>
          <w:sz w:val="24"/>
          <w:szCs w:val="24"/>
          <w:lang w:val="lt-LT"/>
        </w:rPr>
        <w:footnoteRef/>
      </w:r>
      <w:r w:rsidR="006D7090" w:rsidRPr="00ED6991">
        <w:rPr>
          <w:sz w:val="24"/>
          <w:szCs w:val="24"/>
          <w:lang w:val="lt-LT"/>
        </w:rPr>
        <w:t xml:space="preserve"> </w:t>
      </w:r>
      <w:r w:rsidR="006D7090" w:rsidRPr="00ED6991">
        <w:rPr>
          <w:sz w:val="24"/>
          <w:szCs w:val="24"/>
          <w:lang w:val="lt-LT"/>
        </w:rPr>
        <w:tab/>
      </w:r>
      <w:r w:rsidRPr="00ED6991">
        <w:rPr>
          <w:sz w:val="24"/>
          <w:szCs w:val="24"/>
          <w:lang w:val="lt-LT"/>
        </w:rPr>
        <w:t>OL C 65, 2016 2 19, p. 16.</w:t>
      </w:r>
    </w:p>
  </w:footnote>
  <w:footnote w:id="3">
    <w:p w14:paraId="24E3A197" w14:textId="662006C2" w:rsidR="006A6C55" w:rsidRPr="00ED6991" w:rsidRDefault="006A6C55" w:rsidP="006D7090">
      <w:pPr>
        <w:pStyle w:val="FootnoteText"/>
        <w:ind w:left="567" w:hanging="567"/>
        <w:rPr>
          <w:sz w:val="24"/>
          <w:szCs w:val="24"/>
          <w:lang w:val="lt-LT"/>
        </w:rPr>
      </w:pPr>
      <w:r w:rsidRPr="00ED6991">
        <w:rPr>
          <w:rStyle w:val="FootnoteReference"/>
          <w:sz w:val="24"/>
          <w:szCs w:val="24"/>
          <w:lang w:val="lt-LT"/>
        </w:rPr>
        <w:footnoteRef/>
      </w:r>
      <w:r w:rsidR="006D7090" w:rsidRPr="00ED6991">
        <w:rPr>
          <w:sz w:val="24"/>
          <w:szCs w:val="24"/>
          <w:lang w:val="lt-LT"/>
        </w:rPr>
        <w:t xml:space="preserve"> </w:t>
      </w:r>
      <w:r w:rsidR="006D7090" w:rsidRPr="00ED6991">
        <w:rPr>
          <w:sz w:val="24"/>
          <w:szCs w:val="24"/>
          <w:lang w:val="lt-LT"/>
        </w:rPr>
        <w:tab/>
      </w:r>
      <w:r w:rsidRPr="00ED6991">
        <w:rPr>
          <w:sz w:val="24"/>
          <w:szCs w:val="24"/>
          <w:lang w:val="lt-LT"/>
        </w:rPr>
        <w:t>OL L, 2024/1624, 2024 6 19, ELI: </w:t>
      </w:r>
      <w:hyperlink r:id="rId2" w:tgtFrame="_blank" w:tooltip="Prieiga prie šio dokumento suteikiama per ELI sistemoje jam suteiktą URI." w:history="1">
        <w:r w:rsidRPr="00ED6991">
          <w:rPr>
            <w:rStyle w:val="Hyperlink"/>
            <w:sz w:val="24"/>
            <w:szCs w:val="24"/>
            <w:lang w:val="lt-LT"/>
          </w:rPr>
          <w:t>http://data.europa.eu/eli/reg/2024/1624/oj</w:t>
        </w:r>
      </w:hyperlink>
      <w:r w:rsidRPr="00ED6991">
        <w:rPr>
          <w:sz w:val="24"/>
          <w:szCs w:val="24"/>
          <w:lang w:val="lt-LT"/>
        </w:rPr>
        <w:t>.</w:t>
      </w:r>
    </w:p>
  </w:footnote>
  <w:footnote w:id="4">
    <w:p w14:paraId="4BBAE9D5" w14:textId="04AE5066" w:rsidR="006A6C55" w:rsidRPr="00ED6991" w:rsidRDefault="006A6C55" w:rsidP="006D7090">
      <w:pPr>
        <w:pStyle w:val="FootnoteText"/>
        <w:ind w:left="567" w:hanging="567"/>
        <w:rPr>
          <w:sz w:val="24"/>
          <w:szCs w:val="24"/>
          <w:lang w:val="lt-LT"/>
        </w:rPr>
      </w:pPr>
      <w:r w:rsidRPr="00ED6991">
        <w:rPr>
          <w:rStyle w:val="FootnoteReference"/>
          <w:sz w:val="24"/>
          <w:szCs w:val="24"/>
          <w:lang w:val="lt-LT"/>
        </w:rPr>
        <w:footnoteRef/>
      </w:r>
      <w:r w:rsidR="006D7090" w:rsidRPr="00ED6991">
        <w:rPr>
          <w:sz w:val="24"/>
          <w:szCs w:val="24"/>
          <w:lang w:val="lt-LT"/>
        </w:rPr>
        <w:t xml:space="preserve"> </w:t>
      </w:r>
      <w:r w:rsidR="006D7090" w:rsidRPr="00ED6991">
        <w:rPr>
          <w:sz w:val="24"/>
          <w:szCs w:val="24"/>
          <w:lang w:val="lt-LT"/>
        </w:rPr>
        <w:tab/>
      </w:r>
      <w:r w:rsidRPr="00ED6991">
        <w:rPr>
          <w:sz w:val="24"/>
          <w:szCs w:val="24"/>
          <w:lang w:val="lt-LT"/>
        </w:rPr>
        <w:t>OL L, 2024/1640, 2024 6 19, ELI: </w:t>
      </w:r>
      <w:hyperlink r:id="rId3" w:tgtFrame="_blank" w:tooltip="Prieiga prie šio dokumento suteikiama per jo ELI URI." w:history="1">
        <w:r w:rsidRPr="00ED6991">
          <w:rPr>
            <w:rStyle w:val="Hyperlink"/>
            <w:sz w:val="24"/>
            <w:szCs w:val="24"/>
            <w:lang w:val="lt-LT"/>
          </w:rPr>
          <w:t>http://data.europa.eu/eli/dir/2024/1640/oj</w:t>
        </w:r>
      </w:hyperlink>
      <w:r w:rsidRPr="00ED6991">
        <w:rPr>
          <w:sz w:val="24"/>
          <w:szCs w:val="24"/>
          <w:lang w:val="lt-LT"/>
        </w:rPr>
        <w:t>.</w:t>
      </w:r>
    </w:p>
  </w:footnote>
  <w:footnote w:id="5">
    <w:p w14:paraId="5CA97142" w14:textId="270B6CD3" w:rsidR="006A6C55" w:rsidRPr="00ED6991" w:rsidRDefault="006A6C55" w:rsidP="006D7090">
      <w:pPr>
        <w:pStyle w:val="FootnoteText"/>
        <w:ind w:left="567" w:hanging="567"/>
        <w:rPr>
          <w:sz w:val="24"/>
          <w:szCs w:val="24"/>
          <w:lang w:val="lt-LT"/>
        </w:rPr>
      </w:pPr>
      <w:r w:rsidRPr="00ED6991">
        <w:rPr>
          <w:rStyle w:val="FootnoteReference"/>
          <w:sz w:val="24"/>
          <w:szCs w:val="24"/>
          <w:lang w:val="lt-LT"/>
        </w:rPr>
        <w:footnoteRef/>
      </w:r>
      <w:r w:rsidR="006D7090" w:rsidRPr="00ED6991">
        <w:rPr>
          <w:sz w:val="24"/>
          <w:szCs w:val="24"/>
          <w:lang w:val="lt-LT"/>
        </w:rPr>
        <w:t xml:space="preserve"> </w:t>
      </w:r>
      <w:r w:rsidR="006D7090" w:rsidRPr="00ED6991">
        <w:rPr>
          <w:sz w:val="24"/>
          <w:szCs w:val="24"/>
          <w:lang w:val="lt-LT"/>
        </w:rPr>
        <w:tab/>
      </w:r>
      <w:r w:rsidRPr="00ED6991">
        <w:rPr>
          <w:sz w:val="24"/>
          <w:szCs w:val="24"/>
          <w:lang w:val="lt-LT"/>
        </w:rPr>
        <w:t>OL L, 2024/1712, 2024 6 24, ELI: </w:t>
      </w:r>
      <w:hyperlink r:id="rId4" w:tgtFrame="_blank" w:tooltip="Prieiga prie šio dokumento suteikiama per ELI sistemoje jam suteiktą URI." w:history="1">
        <w:r w:rsidRPr="00ED6991">
          <w:rPr>
            <w:rStyle w:val="Hyperlink"/>
            <w:sz w:val="24"/>
            <w:szCs w:val="24"/>
            <w:lang w:val="lt-LT"/>
          </w:rPr>
          <w:t>http://data.europa.eu/eli/dir/2024/1712/oj</w:t>
        </w:r>
      </w:hyperlink>
      <w:r w:rsidRPr="00ED6991">
        <w:rPr>
          <w:sz w:val="24"/>
          <w:szCs w:val="24"/>
          <w:lang w:val="lt-LT"/>
        </w:rPr>
        <w:t>.</w:t>
      </w:r>
    </w:p>
  </w:footnote>
  <w:footnote w:id="6">
    <w:p w14:paraId="08628627" w14:textId="4FF45209" w:rsidR="003F2B59" w:rsidRPr="00FD6FD7" w:rsidRDefault="003F2B59" w:rsidP="003F2B59">
      <w:pPr>
        <w:pStyle w:val="FootnoteText"/>
        <w:ind w:left="567" w:hanging="567"/>
        <w:rPr>
          <w:sz w:val="24"/>
          <w:szCs w:val="24"/>
          <w:lang w:val="lt-LT"/>
        </w:rPr>
      </w:pPr>
      <w:r w:rsidRPr="00FD6FD7">
        <w:rPr>
          <w:rStyle w:val="FootnoteReference"/>
          <w:sz w:val="24"/>
          <w:szCs w:val="24"/>
        </w:rPr>
        <w:footnoteRef/>
      </w:r>
      <w:r w:rsidRPr="00FD6FD7">
        <w:rPr>
          <w:sz w:val="24"/>
          <w:szCs w:val="24"/>
          <w:lang w:val="lt-LT"/>
        </w:rPr>
        <w:t xml:space="preserve"> </w:t>
      </w:r>
      <w:r w:rsidRPr="00FD6FD7">
        <w:rPr>
          <w:sz w:val="24"/>
          <w:szCs w:val="24"/>
          <w:lang w:val="lt-LT"/>
        </w:rPr>
        <w:tab/>
      </w:r>
      <w:r w:rsidRPr="00FD6FD7">
        <w:rPr>
          <w:sz w:val="24"/>
          <w:szCs w:val="24"/>
          <w:lang w:val="lt-LT"/>
        </w:rPr>
        <w:t xml:space="preserve">2006 m. gruodžio 20 d. Europos Parlamento ir Tarybos direktyva 2006/126/EB dėl vairuotojo pažymėjimų (OL L 403, 2006 12 30, p. 18, </w:t>
      </w:r>
      <w:r w:rsidRPr="005A0DC5">
        <w:rPr>
          <w:rStyle w:val="Hyperlink"/>
          <w:color w:val="auto"/>
          <w:sz w:val="24"/>
          <w:szCs w:val="24"/>
          <w:u w:val="none"/>
          <w:lang w:val="lt-LT"/>
        </w:rPr>
        <w:t>ELI:</w:t>
      </w:r>
      <w:r w:rsidR="005A0DC5" w:rsidRPr="00ED6991">
        <w:rPr>
          <w:sz w:val="24"/>
          <w:szCs w:val="24"/>
          <w:lang w:val="lt-LT"/>
        </w:rPr>
        <w:t> </w:t>
      </w:r>
      <w:r w:rsidRPr="00FD6FD7">
        <w:rPr>
          <w:rStyle w:val="Hyperlink"/>
          <w:sz w:val="24"/>
          <w:szCs w:val="24"/>
          <w:lang w:val="lt-LT"/>
        </w:rPr>
        <w:t>http://data.europa.eu/eli/dir/2006/126/oj</w:t>
      </w:r>
      <w:r w:rsidRPr="00FD6FD7">
        <w:rPr>
          <w:sz w:val="24"/>
          <w:szCs w:val="24"/>
          <w:lang w:val="lt-LT"/>
        </w:rPr>
        <w:t>).</w:t>
      </w:r>
    </w:p>
  </w:footnote>
  <w:footnote w:id="7">
    <w:p w14:paraId="6B6AEBDB" w14:textId="3D0AAB9F" w:rsidR="006A6C55" w:rsidRPr="00ED6991" w:rsidRDefault="006A6C55" w:rsidP="006D7090">
      <w:pPr>
        <w:pStyle w:val="FootnoteText"/>
        <w:ind w:left="567" w:hanging="567"/>
        <w:rPr>
          <w:sz w:val="24"/>
          <w:szCs w:val="24"/>
          <w:lang w:val="lt-LT"/>
        </w:rPr>
      </w:pPr>
      <w:r w:rsidRPr="00ED6991">
        <w:rPr>
          <w:rStyle w:val="FootnoteReference"/>
          <w:sz w:val="24"/>
          <w:szCs w:val="24"/>
          <w:lang w:val="lt-LT"/>
        </w:rPr>
        <w:footnoteRef/>
      </w:r>
      <w:r w:rsidR="006D7090" w:rsidRPr="00ED6991">
        <w:rPr>
          <w:sz w:val="24"/>
          <w:szCs w:val="24"/>
          <w:lang w:val="lt-LT"/>
        </w:rPr>
        <w:t xml:space="preserve"> </w:t>
      </w:r>
      <w:r w:rsidR="006D7090" w:rsidRPr="00ED6991">
        <w:rPr>
          <w:sz w:val="24"/>
          <w:szCs w:val="24"/>
          <w:lang w:val="lt-LT"/>
        </w:rPr>
        <w:tab/>
      </w:r>
      <w:r w:rsidRPr="00ED6991">
        <w:rPr>
          <w:sz w:val="24"/>
          <w:szCs w:val="24"/>
          <w:lang w:val="lt-LT"/>
        </w:rPr>
        <w:t>OL L, 2024/1260, 2024 5 2, ELI: </w:t>
      </w:r>
      <w:hyperlink r:id="rId5" w:tgtFrame="_blank" w:tooltip="Prieiga prie šio dokumento suteikiama per ELI sistemoje jam suteiktą URI." w:history="1">
        <w:r w:rsidRPr="00ED6991">
          <w:rPr>
            <w:rStyle w:val="Hyperlink"/>
            <w:sz w:val="24"/>
            <w:szCs w:val="24"/>
            <w:lang w:val="lt-LT"/>
          </w:rPr>
          <w:t>http://data.europa.eu/eli/dir/2024/1260/oj</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43960011">
    <w:abstractNumId w:val="9"/>
  </w:num>
  <w:num w:numId="2" w16cid:durableId="1948349264">
    <w:abstractNumId w:val="9"/>
  </w:num>
  <w:num w:numId="3" w16cid:durableId="1500391531">
    <w:abstractNumId w:val="7"/>
  </w:num>
  <w:num w:numId="4" w16cid:durableId="1194806499">
    <w:abstractNumId w:val="7"/>
  </w:num>
  <w:num w:numId="5" w16cid:durableId="924460897">
    <w:abstractNumId w:val="6"/>
  </w:num>
  <w:num w:numId="6" w16cid:durableId="950743212">
    <w:abstractNumId w:val="6"/>
  </w:num>
  <w:num w:numId="7" w16cid:durableId="57166836">
    <w:abstractNumId w:val="5"/>
  </w:num>
  <w:num w:numId="8" w16cid:durableId="458453469">
    <w:abstractNumId w:val="5"/>
  </w:num>
  <w:num w:numId="9" w16cid:durableId="752510894">
    <w:abstractNumId w:val="4"/>
  </w:num>
  <w:num w:numId="10" w16cid:durableId="337855667">
    <w:abstractNumId w:val="4"/>
  </w:num>
  <w:num w:numId="11" w16cid:durableId="2097240727">
    <w:abstractNumId w:val="8"/>
  </w:num>
  <w:num w:numId="12" w16cid:durableId="676229130">
    <w:abstractNumId w:val="8"/>
  </w:num>
  <w:num w:numId="13" w16cid:durableId="58138753">
    <w:abstractNumId w:val="3"/>
  </w:num>
  <w:num w:numId="14" w16cid:durableId="1930459882">
    <w:abstractNumId w:val="3"/>
  </w:num>
  <w:num w:numId="15" w16cid:durableId="195696534">
    <w:abstractNumId w:val="2"/>
  </w:num>
  <w:num w:numId="16" w16cid:durableId="163864589">
    <w:abstractNumId w:val="2"/>
  </w:num>
  <w:num w:numId="17" w16cid:durableId="2095395480">
    <w:abstractNumId w:val="1"/>
  </w:num>
  <w:num w:numId="18" w16cid:durableId="37245503">
    <w:abstractNumId w:val="1"/>
  </w:num>
  <w:num w:numId="19" w16cid:durableId="181670863">
    <w:abstractNumId w:val="0"/>
  </w:num>
  <w:num w:numId="20" w16cid:durableId="265162894">
    <w:abstractNumId w:val="0"/>
  </w:num>
  <w:num w:numId="21" w16cid:durableId="1305348976">
    <w:abstractNumId w:val="9"/>
  </w:num>
  <w:num w:numId="22" w16cid:durableId="1423644770">
    <w:abstractNumId w:val="7"/>
  </w:num>
  <w:num w:numId="23" w16cid:durableId="1399672375">
    <w:abstractNumId w:val="6"/>
  </w:num>
  <w:num w:numId="24" w16cid:durableId="753164278">
    <w:abstractNumId w:val="5"/>
  </w:num>
  <w:num w:numId="25" w16cid:durableId="1930846393">
    <w:abstractNumId w:val="4"/>
  </w:num>
  <w:num w:numId="26" w16cid:durableId="1910260978">
    <w:abstractNumId w:val="8"/>
  </w:num>
  <w:num w:numId="27" w16cid:durableId="437453808">
    <w:abstractNumId w:val="3"/>
  </w:num>
  <w:num w:numId="28" w16cid:durableId="1719549266">
    <w:abstractNumId w:val="2"/>
  </w:num>
  <w:num w:numId="29" w16cid:durableId="428426074">
    <w:abstractNumId w:val="1"/>
  </w:num>
  <w:num w:numId="30" w16cid:durableId="58022136">
    <w:abstractNumId w:val="0"/>
  </w:num>
  <w:num w:numId="31" w16cid:durableId="1040202445">
    <w:abstractNumId w:val="9"/>
  </w:num>
  <w:num w:numId="32" w16cid:durableId="541552781">
    <w:abstractNumId w:val="7"/>
  </w:num>
  <w:num w:numId="33" w16cid:durableId="1919317078">
    <w:abstractNumId w:val="6"/>
  </w:num>
  <w:num w:numId="34" w16cid:durableId="599875339">
    <w:abstractNumId w:val="5"/>
  </w:num>
  <w:num w:numId="35" w16cid:durableId="1492019568">
    <w:abstractNumId w:val="4"/>
  </w:num>
  <w:num w:numId="36" w16cid:durableId="147290050">
    <w:abstractNumId w:val="8"/>
  </w:num>
  <w:num w:numId="37" w16cid:durableId="224344467">
    <w:abstractNumId w:val="3"/>
  </w:num>
  <w:num w:numId="38" w16cid:durableId="1298758718">
    <w:abstractNumId w:val="2"/>
  </w:num>
  <w:num w:numId="39" w16cid:durableId="321547003">
    <w:abstractNumId w:val="1"/>
  </w:num>
  <w:num w:numId="40" w16cid:durableId="1163349876">
    <w:abstractNumId w:val="0"/>
  </w:num>
  <w:num w:numId="41" w16cid:durableId="1971130251">
    <w:abstractNumId w:val="10"/>
  </w:num>
  <w:num w:numId="42" w16cid:durableId="1044914228">
    <w:abstractNumId w:val="10"/>
  </w:num>
  <w:num w:numId="43" w16cid:durableId="416444086">
    <w:abstractNumId w:val="10"/>
  </w:num>
  <w:num w:numId="44" w16cid:durableId="19013988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57/2026"/>
    <w:docVar w:name="dvlangue" w:val="LT"/>
    <w:docVar w:name="dvnumam" w:val="0"/>
    <w:docVar w:name="dvpe" w:val="782.012"/>
    <w:docVar w:name="dvtitre" w:val="2026 m. sausio 20 d. Europos Parlamento rezoliucija Mehdi Kessaci nužudymas: neatidėliotinas poreikis imtis plataus užmojo Europos veiksmų kovojant su prekyba narkotikais(2025/3020(RSP))"/>
  </w:docVars>
  <w:rsids>
    <w:rsidRoot w:val="00D171AA"/>
    <w:rsid w:val="00002272"/>
    <w:rsid w:val="00064002"/>
    <w:rsid w:val="000677B9"/>
    <w:rsid w:val="000831BA"/>
    <w:rsid w:val="000A42CC"/>
    <w:rsid w:val="000E7DD9"/>
    <w:rsid w:val="0010095E"/>
    <w:rsid w:val="00125B37"/>
    <w:rsid w:val="00187494"/>
    <w:rsid w:val="001F32AE"/>
    <w:rsid w:val="002716AA"/>
    <w:rsid w:val="002767FF"/>
    <w:rsid w:val="002B18FE"/>
    <w:rsid w:val="002B5493"/>
    <w:rsid w:val="00343214"/>
    <w:rsid w:val="00361C00"/>
    <w:rsid w:val="00395FA1"/>
    <w:rsid w:val="0039654C"/>
    <w:rsid w:val="003E15D4"/>
    <w:rsid w:val="003F2B59"/>
    <w:rsid w:val="00411CCE"/>
    <w:rsid w:val="0041666E"/>
    <w:rsid w:val="00421060"/>
    <w:rsid w:val="004430C0"/>
    <w:rsid w:val="00471C19"/>
    <w:rsid w:val="004861EE"/>
    <w:rsid w:val="004867E3"/>
    <w:rsid w:val="00494A28"/>
    <w:rsid w:val="004C0004"/>
    <w:rsid w:val="004C5D52"/>
    <w:rsid w:val="0050519A"/>
    <w:rsid w:val="005072A1"/>
    <w:rsid w:val="00514517"/>
    <w:rsid w:val="00545827"/>
    <w:rsid w:val="00560270"/>
    <w:rsid w:val="005A0DC5"/>
    <w:rsid w:val="005C2568"/>
    <w:rsid w:val="005F1B17"/>
    <w:rsid w:val="006037C0"/>
    <w:rsid w:val="00647DE5"/>
    <w:rsid w:val="006631B6"/>
    <w:rsid w:val="00680577"/>
    <w:rsid w:val="006A6C55"/>
    <w:rsid w:val="006A6D02"/>
    <w:rsid w:val="006B39B2"/>
    <w:rsid w:val="006D7090"/>
    <w:rsid w:val="006F74FA"/>
    <w:rsid w:val="00731ADD"/>
    <w:rsid w:val="00734777"/>
    <w:rsid w:val="00747932"/>
    <w:rsid w:val="00751A4A"/>
    <w:rsid w:val="00756632"/>
    <w:rsid w:val="00762C74"/>
    <w:rsid w:val="00766F7A"/>
    <w:rsid w:val="00786EC0"/>
    <w:rsid w:val="007D1690"/>
    <w:rsid w:val="007E22AD"/>
    <w:rsid w:val="00817416"/>
    <w:rsid w:val="00842779"/>
    <w:rsid w:val="00865F67"/>
    <w:rsid w:val="00881A7B"/>
    <w:rsid w:val="008840E5"/>
    <w:rsid w:val="00887B3E"/>
    <w:rsid w:val="008C2AC6"/>
    <w:rsid w:val="008C3AF0"/>
    <w:rsid w:val="008E5D61"/>
    <w:rsid w:val="00930C23"/>
    <w:rsid w:val="0093193B"/>
    <w:rsid w:val="009509D8"/>
    <w:rsid w:val="00950B64"/>
    <w:rsid w:val="00967694"/>
    <w:rsid w:val="00973C40"/>
    <w:rsid w:val="00981893"/>
    <w:rsid w:val="009E1A3C"/>
    <w:rsid w:val="00A1687D"/>
    <w:rsid w:val="00A43E52"/>
    <w:rsid w:val="00A45966"/>
    <w:rsid w:val="00A4678D"/>
    <w:rsid w:val="00A51F3E"/>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71AA"/>
    <w:rsid w:val="00D56C11"/>
    <w:rsid w:val="00D834A0"/>
    <w:rsid w:val="00D872DF"/>
    <w:rsid w:val="00D91E21"/>
    <w:rsid w:val="00DA7FCD"/>
    <w:rsid w:val="00DD7548"/>
    <w:rsid w:val="00DF5480"/>
    <w:rsid w:val="00E365E1"/>
    <w:rsid w:val="00E51284"/>
    <w:rsid w:val="00E820A4"/>
    <w:rsid w:val="00EB006A"/>
    <w:rsid w:val="00EB4772"/>
    <w:rsid w:val="00EC7BEE"/>
    <w:rsid w:val="00ED169E"/>
    <w:rsid w:val="00ED4235"/>
    <w:rsid w:val="00ED6991"/>
    <w:rsid w:val="00F04346"/>
    <w:rsid w:val="00F075DC"/>
    <w:rsid w:val="00F149E9"/>
    <w:rsid w:val="00F502E9"/>
    <w:rsid w:val="00F5134D"/>
    <w:rsid w:val="00F67D37"/>
    <w:rsid w:val="00F74202"/>
    <w:rsid w:val="00F87713"/>
    <w:rsid w:val="00FB1C4E"/>
    <w:rsid w:val="00FB4360"/>
    <w:rsid w:val="00FB7E61"/>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6F545D"/>
  <w15:chartTrackingRefBased/>
  <w15:docId w15:val="{A46A5C2E-2810-4DF0-B262-5073C90C0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A6C55"/>
    <w:pPr>
      <w:spacing w:before="480" w:after="240"/>
    </w:pPr>
  </w:style>
  <w:style w:type="paragraph" w:customStyle="1" w:styleId="NormalHanging12a">
    <w:name w:val="NormalHanging12a"/>
    <w:basedOn w:val="Normal"/>
    <w:rsid w:val="006A6C55"/>
    <w:pPr>
      <w:spacing w:after="240"/>
      <w:ind w:left="567" w:hanging="567"/>
    </w:pPr>
  </w:style>
  <w:style w:type="character" w:styleId="Hyperlink">
    <w:name w:val="Hyperlink"/>
    <w:basedOn w:val="DefaultParagraphFont"/>
    <w:uiPriority w:val="99"/>
    <w:unhideWhenUsed/>
    <w:rsid w:val="006A6C55"/>
    <w:rPr>
      <w:color w:val="0563C1" w:themeColor="hyperlink"/>
      <w:u w:val="single"/>
    </w:rPr>
  </w:style>
  <w:style w:type="paragraph" w:styleId="Revision">
    <w:name w:val="Revision"/>
    <w:hidden/>
    <w:uiPriority w:val="99"/>
    <w:semiHidden/>
    <w:rsid w:val="006A6D02"/>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640/oj" TargetMode="External"/><Relationship Id="rId2" Type="http://schemas.openxmlformats.org/officeDocument/2006/relationships/hyperlink" Target="http://data.europa.eu/eli/reg/2024/1624/oj" TargetMode="External"/><Relationship Id="rId1" Type="http://schemas.openxmlformats.org/officeDocument/2006/relationships/hyperlink" Target="http://data.europa.eu/eli/dir/2012/29/oj" TargetMode="External"/><Relationship Id="rId5" Type="http://schemas.openxmlformats.org/officeDocument/2006/relationships/hyperlink" Target="http://data.europa.eu/eli/dir/2024/1260/oj" TargetMode="External"/><Relationship Id="rId4" Type="http://schemas.openxmlformats.org/officeDocument/2006/relationships/hyperlink" Target="http://data.europa.eu/eli/dir/2024/1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3186</Words>
  <Characters>22736</Characters>
  <Application>Microsoft Office Word</Application>
  <DocSecurity>0</DocSecurity>
  <Lines>189</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2026-01-20T16:02:00Z</dcterms:created>
  <dcterms:modified xsi:type="dcterms:W3CDTF">2026-01-20T16:02:00Z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B10-0057/2026</vt:lpwstr>
  </property>
  <property fmtid="{D5CDD505-2E9C-101B-9397-08002B2CF9AE}" pid="4" name="&lt;Type&gt;">
    <vt:lpwstr>RR</vt:lpwstr>
  </property>
</Properties>
</file>