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7E33" w14:paraId="4EAE4128" w14:textId="77777777" w:rsidTr="0010095E">
        <w:trPr>
          <w:trHeight w:hRule="exact" w:val="1418"/>
        </w:trPr>
        <w:tc>
          <w:tcPr>
            <w:tcW w:w="6804" w:type="dxa"/>
            <w:shd w:val="clear" w:color="auto" w:fill="auto"/>
            <w:vAlign w:val="center"/>
          </w:tcPr>
          <w:p w14:paraId="247A0396" w14:textId="05D19B37" w:rsidR="00751A4A" w:rsidRPr="00307E33" w:rsidRDefault="00413A3E" w:rsidP="0010095E">
            <w:pPr>
              <w:pStyle w:val="EPName"/>
            </w:pPr>
            <w:r w:rsidRPr="00307E33">
              <w:t>Europees Parlement</w:t>
            </w:r>
          </w:p>
          <w:p w14:paraId="77E85047" w14:textId="77777777" w:rsidR="00751A4A" w:rsidRPr="00307E33" w:rsidRDefault="005F1B17" w:rsidP="005F1B17">
            <w:pPr>
              <w:pStyle w:val="EPTerm"/>
              <w:rPr>
                <w:rStyle w:val="HideTWBExt"/>
                <w:noProof w:val="0"/>
                <w:vanish w:val="0"/>
                <w:color w:val="auto"/>
              </w:rPr>
            </w:pPr>
            <w:r w:rsidRPr="00307E33">
              <w:t>2024</w:t>
            </w:r>
            <w:r w:rsidR="00817416" w:rsidRPr="00307E33">
              <w:t>-202</w:t>
            </w:r>
            <w:r w:rsidRPr="00307E33">
              <w:t>9</w:t>
            </w:r>
          </w:p>
        </w:tc>
        <w:tc>
          <w:tcPr>
            <w:tcW w:w="2268" w:type="dxa"/>
            <w:shd w:val="clear" w:color="auto" w:fill="auto"/>
          </w:tcPr>
          <w:p w14:paraId="265CBC3D" w14:textId="77777777" w:rsidR="00751A4A" w:rsidRPr="00307E33" w:rsidRDefault="00187494" w:rsidP="0010095E">
            <w:pPr>
              <w:pStyle w:val="EPLogo"/>
            </w:pPr>
            <w:r w:rsidRPr="00307E33">
              <w:rPr>
                <w:noProof/>
                <w:lang w:eastAsia="ja-JP"/>
              </w:rPr>
              <w:drawing>
                <wp:inline distT="0" distB="0" distL="0" distR="0" wp14:anchorId="110A3B9B" wp14:editId="509D70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0682F0" w14:textId="77777777" w:rsidR="00D058B8" w:rsidRPr="00307E33" w:rsidRDefault="00D058B8" w:rsidP="004C5D52">
      <w:pPr>
        <w:pStyle w:val="LineTop"/>
      </w:pPr>
    </w:p>
    <w:p w14:paraId="2AD9D7C7" w14:textId="05D1BF8A" w:rsidR="00680577" w:rsidRPr="00307E33" w:rsidRDefault="00413A3E" w:rsidP="00680577">
      <w:pPr>
        <w:pStyle w:val="EPBodyTA1"/>
      </w:pPr>
      <w:r w:rsidRPr="00307E33">
        <w:t>AANGENOMEN TEKSTEN</w:t>
      </w:r>
    </w:p>
    <w:p w14:paraId="0237B5AE" w14:textId="77777777" w:rsidR="00D058B8" w:rsidRPr="00307E33" w:rsidRDefault="00D058B8" w:rsidP="00D058B8">
      <w:pPr>
        <w:pStyle w:val="LineBottom"/>
      </w:pPr>
    </w:p>
    <w:p w14:paraId="720A5BF0" w14:textId="3409EF26" w:rsidR="00413A3E" w:rsidRPr="00307E33" w:rsidRDefault="00413A3E" w:rsidP="00413A3E">
      <w:pPr>
        <w:pStyle w:val="ATHeading1"/>
      </w:pPr>
      <w:bookmarkStart w:id="0" w:name="TANumber"/>
      <w:r w:rsidRPr="00307E33">
        <w:t>P10_TA(2026)000</w:t>
      </w:r>
      <w:r w:rsidR="001659E8" w:rsidRPr="00307E33">
        <w:t>7</w:t>
      </w:r>
      <w:bookmarkEnd w:id="0"/>
    </w:p>
    <w:p w14:paraId="4FDBE08B" w14:textId="77777777" w:rsidR="00413A3E" w:rsidRPr="00307E33" w:rsidRDefault="00413A3E" w:rsidP="00413A3E">
      <w:pPr>
        <w:pStyle w:val="ATHeading2"/>
      </w:pPr>
      <w:bookmarkStart w:id="1" w:name="title"/>
      <w:r w:rsidRPr="00307E33">
        <w:t>De moord op Mehdi Kessaci: Europa moet dringend ambitieuze maatregelen tegen drugshandel nemen</w:t>
      </w:r>
      <w:bookmarkEnd w:id="1"/>
    </w:p>
    <w:p w14:paraId="70EF0B8B" w14:textId="77777777" w:rsidR="00413A3E" w:rsidRPr="00307E33" w:rsidRDefault="00413A3E" w:rsidP="00413A3E">
      <w:pPr>
        <w:rPr>
          <w:i/>
          <w:vanish/>
        </w:rPr>
      </w:pPr>
      <w:r w:rsidRPr="00307E33">
        <w:rPr>
          <w:i/>
        </w:rPr>
        <w:fldChar w:fldCharType="begin"/>
      </w:r>
      <w:r w:rsidRPr="00307E33">
        <w:rPr>
          <w:i/>
        </w:rPr>
        <w:instrText xml:space="preserve"> TC"(</w:instrText>
      </w:r>
      <w:bookmarkStart w:id="2" w:name="DocNumber"/>
      <w:r w:rsidRPr="00307E33">
        <w:rPr>
          <w:i/>
        </w:rPr>
        <w:instrText>B10-0057/2026</w:instrText>
      </w:r>
      <w:bookmarkEnd w:id="2"/>
      <w:r w:rsidRPr="00307E33">
        <w:rPr>
          <w:i/>
        </w:rPr>
        <w:instrText xml:space="preserve">)"\l3 \n&gt; \* MERGEFORMAT </w:instrText>
      </w:r>
      <w:r w:rsidRPr="00307E33">
        <w:rPr>
          <w:i/>
        </w:rPr>
        <w:fldChar w:fldCharType="end"/>
      </w:r>
    </w:p>
    <w:p w14:paraId="0FBCCB58" w14:textId="77777777" w:rsidR="00413A3E" w:rsidRPr="00307E33" w:rsidRDefault="00413A3E" w:rsidP="00413A3E">
      <w:pPr>
        <w:rPr>
          <w:vanish/>
        </w:rPr>
      </w:pPr>
      <w:bookmarkStart w:id="3" w:name="PE"/>
      <w:r w:rsidRPr="00307E33">
        <w:rPr>
          <w:vanish/>
        </w:rPr>
        <w:t>PE782.012</w:t>
      </w:r>
      <w:bookmarkEnd w:id="3"/>
    </w:p>
    <w:p w14:paraId="0D16CD09" w14:textId="4FBA5194" w:rsidR="00413A3E" w:rsidRPr="00307E33" w:rsidRDefault="00413A3E" w:rsidP="00413A3E">
      <w:pPr>
        <w:pStyle w:val="ATHeading3"/>
      </w:pPr>
      <w:bookmarkStart w:id="4" w:name="Sujet"/>
      <w:r w:rsidRPr="00307E33">
        <w:t xml:space="preserve">Resolutie van het Europees Parlement van </w:t>
      </w:r>
      <w:r w:rsidR="00B47A08" w:rsidRPr="00307E33">
        <w:t>20 januari</w:t>
      </w:r>
      <w:r w:rsidRPr="00307E33">
        <w:t xml:space="preserve"> 2026 over de moord op Mehdi Kessaci: Europa moet dringend ambitieuze maatregelen tegen drugshandel nemen</w:t>
      </w:r>
      <w:bookmarkEnd w:id="4"/>
      <w:r w:rsidRPr="00307E33">
        <w:t xml:space="preserve"> </w:t>
      </w:r>
      <w:bookmarkStart w:id="5" w:name="References"/>
      <w:r w:rsidRPr="00307E33">
        <w:t>(2025/3020(RSP))</w:t>
      </w:r>
      <w:bookmarkEnd w:id="5"/>
    </w:p>
    <w:p w14:paraId="50FBF9EC" w14:textId="77777777" w:rsidR="007B1477" w:rsidRPr="00307E33" w:rsidRDefault="007B1477" w:rsidP="007B1477">
      <w:pPr>
        <w:pStyle w:val="EPComma"/>
      </w:pPr>
      <w:bookmarkStart w:id="6" w:name="TextBodyBegin"/>
      <w:bookmarkEnd w:id="6"/>
      <w:r w:rsidRPr="00307E33">
        <w:rPr>
          <w:i/>
        </w:rPr>
        <w:t>Het Europees Parlement</w:t>
      </w:r>
      <w:r w:rsidRPr="00307E33">
        <w:t>,</w:t>
      </w:r>
    </w:p>
    <w:p w14:paraId="6DAFB0C4" w14:textId="77777777" w:rsidR="007B1477" w:rsidRPr="00307E33" w:rsidRDefault="007B1477" w:rsidP="007B1477">
      <w:pPr>
        <w:pStyle w:val="NormalHanging12a"/>
      </w:pPr>
      <w:r w:rsidRPr="00307E33">
        <w:t>–</w:t>
      </w:r>
      <w:r w:rsidRPr="00307E33">
        <w:tab/>
        <w:t>gezien het Verdrag betreffende de Europese Unie (VEU) en het Verdrag betreffende de werking van de Europese Unie (VWEU), en met name de bepalingen over de ruimte van vrijheid, veiligheid en recht,</w:t>
      </w:r>
    </w:p>
    <w:p w14:paraId="081D4DD6" w14:textId="77777777" w:rsidR="007B1477" w:rsidRPr="00307E33" w:rsidRDefault="007B1477" w:rsidP="007B1477">
      <w:pPr>
        <w:pStyle w:val="NormalHanging12a"/>
        <w:rPr>
          <w:szCs w:val="24"/>
        </w:rPr>
      </w:pPr>
      <w:r w:rsidRPr="00307E33">
        <w:t>–</w:t>
      </w:r>
      <w:r w:rsidRPr="00307E33">
        <w:tab/>
        <w:t>gezien het Handvest van de grondrechten van de Europese Unie, en met name de artikelen over menselijke waardigheid, het recht op leven, de vrijheid van meningsuiting, de rechten van slachtoffers en de bescherming van persoonsgegevens,</w:t>
      </w:r>
    </w:p>
    <w:p w14:paraId="673FBD51" w14:textId="77777777" w:rsidR="007B1477" w:rsidRPr="00307E33" w:rsidRDefault="007B1477" w:rsidP="007B1477">
      <w:pPr>
        <w:pStyle w:val="NormalHanging12a"/>
      </w:pPr>
      <w:r w:rsidRPr="00307E33">
        <w:t>–</w:t>
      </w:r>
      <w:r w:rsidRPr="00307E33">
        <w:tab/>
        <w:t>gezien de EU-drugsstrategieën en de meest recente versie daarvan, die samen met het Europees actieplan tegen drugshandel voor de periode 2026-2030 is gepubliceerd,</w:t>
      </w:r>
    </w:p>
    <w:p w14:paraId="134EBD92" w14:textId="77777777" w:rsidR="007B1477" w:rsidRPr="00307E33" w:rsidRDefault="007B1477" w:rsidP="007B1477">
      <w:pPr>
        <w:pStyle w:val="NormalHanging12a"/>
      </w:pPr>
      <w:r w:rsidRPr="00307E33">
        <w:t>–</w:t>
      </w:r>
      <w:r w:rsidRPr="00307E33">
        <w:tab/>
        <w:t>gezien de werkzaamheden van de Horizontale Groep drugs (HDG) van de Raad, die in 1997 is opgericht om het EU-optreden op het gebied van drugs te coördineren,</w:t>
      </w:r>
    </w:p>
    <w:p w14:paraId="4ECB4827" w14:textId="77777777" w:rsidR="007B1477" w:rsidRPr="00307E33" w:rsidRDefault="007B1477" w:rsidP="007B1477">
      <w:pPr>
        <w:pStyle w:val="NormalHanging12a"/>
      </w:pPr>
      <w:r w:rsidRPr="00307E33">
        <w:t>–</w:t>
      </w:r>
      <w:r w:rsidRPr="00307E33">
        <w:tab/>
        <w:t>gezien de verslagen en analyses van het Drugsagentschap van de Europese Unie (EUDA), en met name het Europees Drugsrapport 2025,</w:t>
      </w:r>
    </w:p>
    <w:p w14:paraId="679BF042" w14:textId="77777777" w:rsidR="007B1477" w:rsidRPr="00307E33" w:rsidRDefault="007B1477" w:rsidP="007B1477">
      <w:pPr>
        <w:pStyle w:val="NormalHanging12a"/>
      </w:pPr>
      <w:r w:rsidRPr="00307E33">
        <w:t>–</w:t>
      </w:r>
      <w:r w:rsidRPr="00307E33">
        <w:tab/>
        <w:t>gezien de oprichting van de Europese alliantie tegen drugs, die meer dan 40 landen samenbrengt en tot doel heeft de internationale samenwerking in de strijd tegen drugshandel te versterken,</w:t>
      </w:r>
    </w:p>
    <w:p w14:paraId="645D09FD" w14:textId="77777777" w:rsidR="007B1477" w:rsidRPr="00307E33" w:rsidRDefault="007B1477" w:rsidP="007B1477">
      <w:pPr>
        <w:pStyle w:val="NormalHanging12a"/>
      </w:pPr>
      <w:r w:rsidRPr="00307E33">
        <w:t>–</w:t>
      </w:r>
      <w:r w:rsidRPr="00307E33">
        <w:tab/>
        <w:t>gezien de werkzaamheden van de Pompidou-groep van de Raad van Europa over het beleid op het gebied van drugs en preventie,</w:t>
      </w:r>
    </w:p>
    <w:p w14:paraId="60550BF8" w14:textId="77777777" w:rsidR="007B1477" w:rsidRPr="00307E33" w:rsidRDefault="007B1477" w:rsidP="007B1477">
      <w:pPr>
        <w:pStyle w:val="NormalHanging12a"/>
      </w:pPr>
      <w:r w:rsidRPr="00307E33">
        <w:t>–</w:t>
      </w:r>
      <w:r w:rsidRPr="00307E33">
        <w:tab/>
        <w:t>gezien het Verdrag van de Verenigde Naties tegen de sluikhandel in verdovende middelen en psychotrope stoffen van 1988 en de werkzaamheden van het Bureau van de Verenigde Naties voor drugs- en misdaadbestrijding (UNODC),</w:t>
      </w:r>
    </w:p>
    <w:p w14:paraId="39B919DD" w14:textId="77777777" w:rsidR="007B1477" w:rsidRPr="00307E33" w:rsidRDefault="007B1477" w:rsidP="007B1477">
      <w:pPr>
        <w:pStyle w:val="NormalHanging12a"/>
      </w:pPr>
      <w:r w:rsidRPr="00307E33">
        <w:t>–</w:t>
      </w:r>
      <w:r w:rsidRPr="00307E33">
        <w:tab/>
        <w:t xml:space="preserve">gezien het Verdrag van de Verenigde Naties tegen grensoverschrijdende georganiseerde misdaad, dat in 2000 werd ondertekend in Palermo, en de bijbehorende protocollen, en </w:t>
      </w:r>
      <w:r w:rsidRPr="00307E33">
        <w:lastRenderedPageBreak/>
        <w:t>het Verdrag van de Verenigde Naties tegen corruptie,</w:t>
      </w:r>
    </w:p>
    <w:p w14:paraId="0D21F4ED" w14:textId="77777777" w:rsidR="007B1477" w:rsidRPr="00307E33" w:rsidRDefault="007B1477" w:rsidP="007B1477">
      <w:pPr>
        <w:pStyle w:val="NormalHanging12a"/>
      </w:pPr>
      <w:r w:rsidRPr="00307E33">
        <w:t>–</w:t>
      </w:r>
      <w:r w:rsidRPr="00307E33">
        <w:tab/>
        <w:t>gezien de verschillende maatregelen die door Europese en internationale instanties zijn genomen om het witwassen van geld en de financiering van georganiseerde misdaad te voorkomen en te bestrijden,</w:t>
      </w:r>
    </w:p>
    <w:p w14:paraId="6ABDE011" w14:textId="77777777" w:rsidR="007B1477" w:rsidRPr="00307E33" w:rsidRDefault="007B1477" w:rsidP="007B1477">
      <w:pPr>
        <w:pStyle w:val="NormalHanging12a"/>
      </w:pPr>
      <w:r w:rsidRPr="00307E33">
        <w:t>–</w:t>
      </w:r>
      <w:r w:rsidRPr="00307E33">
        <w:tab/>
        <w:t>gezien Richtlijn 2012/29/EU van het Europees Parlement en de Raad van 25 oktober 2012 tot vaststelling van minimumnormen voor de rechten, de ondersteuning en de bescherming van slachtoffers van strafbare feiten</w:t>
      </w:r>
      <w:r w:rsidRPr="00307E33">
        <w:rPr>
          <w:rStyle w:val="FootnoteReference"/>
          <w:rFonts w:eastAsia="Arial"/>
        </w:rPr>
        <w:footnoteReference w:id="1"/>
      </w:r>
      <w:r w:rsidRPr="00307E33">
        <w:t>,</w:t>
      </w:r>
    </w:p>
    <w:p w14:paraId="1149E051" w14:textId="77777777" w:rsidR="007B1477" w:rsidRPr="00307E33" w:rsidRDefault="007B1477" w:rsidP="007B1477">
      <w:pPr>
        <w:pStyle w:val="NormalHanging12a"/>
      </w:pPr>
      <w:r w:rsidRPr="00307E33">
        <w:t>–</w:t>
      </w:r>
      <w:r w:rsidRPr="00307E33">
        <w:tab/>
        <w:t>gezien het Verdrag inzake de rechten van het kind, dat op 20 november 1989 door de Algemene Vergadering van de Verenigde Naties werd aangenomen,</w:t>
      </w:r>
    </w:p>
    <w:p w14:paraId="5A2F4BBB" w14:textId="77777777" w:rsidR="007B1477" w:rsidRPr="00307E33" w:rsidRDefault="007B1477" w:rsidP="007B1477">
      <w:pPr>
        <w:pStyle w:val="NormalHanging12a"/>
      </w:pPr>
      <w:r w:rsidRPr="00307E33">
        <w:t>–</w:t>
      </w:r>
      <w:r w:rsidRPr="00307E33">
        <w:tab/>
        <w:t>gezien de resolutie van het Europees Parlement van 11 juni 2013 over georganiseerde misdaad, corruptie en witwassen</w:t>
      </w:r>
      <w:r w:rsidRPr="00307E33">
        <w:rPr>
          <w:rStyle w:val="FootnoteReference"/>
          <w:rFonts w:eastAsia="Arial"/>
        </w:rPr>
        <w:footnoteReference w:id="2"/>
      </w:r>
      <w:r w:rsidRPr="00307E33">
        <w:t>,</w:t>
      </w:r>
    </w:p>
    <w:p w14:paraId="637929A3" w14:textId="77777777" w:rsidR="007B1477" w:rsidRPr="00307E33" w:rsidRDefault="007B1477" w:rsidP="007B1477">
      <w:pPr>
        <w:pStyle w:val="NormalHanging12a"/>
      </w:pPr>
      <w:r w:rsidRPr="00307E33">
        <w:t>–</w:t>
      </w:r>
      <w:r w:rsidRPr="00307E33">
        <w:tab/>
        <w:t>gezien de inzet van EU-organen in de strijd tegen drugshandel, met name het EUDA, Europol en Eurojust,</w:t>
      </w:r>
    </w:p>
    <w:p w14:paraId="3A3F30DA" w14:textId="77777777" w:rsidR="007B1477" w:rsidRPr="00307E33" w:rsidRDefault="007B1477" w:rsidP="007B1477">
      <w:pPr>
        <w:pStyle w:val="NormalHanging12a"/>
      </w:pPr>
      <w:r w:rsidRPr="00307E33">
        <w:t>–</w:t>
      </w:r>
      <w:r w:rsidRPr="00307E33">
        <w:tab/>
        <w:t>gezien het wetgevingspakket van de Europese Unie van 2024 betreffende de bestrijding van witwassen en terrorismefinanciering, waaronder met name Verordening (EU) 2024/1624</w:t>
      </w:r>
      <w:r w:rsidRPr="00307E33">
        <w:rPr>
          <w:rStyle w:val="FootnoteReference"/>
          <w:rFonts w:eastAsia="Arial"/>
        </w:rPr>
        <w:footnoteReference w:id="3"/>
      </w:r>
      <w:r w:rsidRPr="00307E33">
        <w:t>, Richtlijn (EU) 2024/1640</w:t>
      </w:r>
      <w:r w:rsidRPr="00307E33">
        <w:rPr>
          <w:rStyle w:val="FootnoteReference"/>
          <w:rFonts w:eastAsia="Arial"/>
        </w:rPr>
        <w:footnoteReference w:id="4"/>
      </w:r>
      <w:r w:rsidRPr="00307E33">
        <w:t xml:space="preserve"> en de oprichting van de Autoriteit voor de bestrijding van witwassen en terrorismefinanciering (AMLA),</w:t>
      </w:r>
    </w:p>
    <w:p w14:paraId="2541DE7C" w14:textId="77777777" w:rsidR="007B1477" w:rsidRPr="00307E33" w:rsidRDefault="007B1477" w:rsidP="007B1477">
      <w:pPr>
        <w:pStyle w:val="NormalHanging12a"/>
      </w:pPr>
      <w:r w:rsidRPr="00307E33">
        <w:t>–</w:t>
      </w:r>
      <w:r w:rsidRPr="00307E33">
        <w:tab/>
        <w:t>gezien Richtlijn (EU) 2024/1712 van het Europees Parlement en de Raad van 13 juni 2024 tot wijziging van Richtlijn 2011/36/EU inzake de voorkoming en bestrijding van mensenhandel en de bescherming van slachtoffers daarvan</w:t>
      </w:r>
      <w:r w:rsidRPr="00307E33">
        <w:rPr>
          <w:rStyle w:val="FootnoteReference"/>
          <w:rFonts w:eastAsia="Arial"/>
        </w:rPr>
        <w:footnoteReference w:id="5"/>
      </w:r>
      <w:r w:rsidRPr="00307E33">
        <w:t>,</w:t>
      </w:r>
    </w:p>
    <w:p w14:paraId="6B00F2DE" w14:textId="77777777" w:rsidR="007B1477" w:rsidRPr="00307E33" w:rsidRDefault="007B1477" w:rsidP="007B1477">
      <w:pPr>
        <w:pStyle w:val="NormalHanging12a"/>
      </w:pPr>
      <w:r w:rsidRPr="00307E33">
        <w:t>–</w:t>
      </w:r>
      <w:r w:rsidRPr="00307E33">
        <w:tab/>
        <w:t>gezien de werkzaamheden van het Drugsforum van het maatschappelijk middenveld en de jongerenafdeling daarvan,</w:t>
      </w:r>
    </w:p>
    <w:p w14:paraId="1E7214DA" w14:textId="77777777" w:rsidR="007B1477" w:rsidRPr="00307E33" w:rsidRDefault="007B1477" w:rsidP="007B1477">
      <w:pPr>
        <w:pStyle w:val="NormalHanging12a"/>
      </w:pPr>
      <w:r w:rsidRPr="00307E33">
        <w:t>–</w:t>
      </w:r>
      <w:r w:rsidRPr="00307E33">
        <w:tab/>
        <w:t>gezien de bijzonder kritieke situatie in de ultraperifere gebieden,</w:t>
      </w:r>
    </w:p>
    <w:p w14:paraId="1996BFBF" w14:textId="77777777" w:rsidR="007B1477" w:rsidRPr="00307E33" w:rsidRDefault="007B1477" w:rsidP="007B1477">
      <w:pPr>
        <w:pStyle w:val="NormalHanging12a"/>
      </w:pPr>
      <w:r w:rsidRPr="00307E33">
        <w:t>–</w:t>
      </w:r>
      <w:r w:rsidRPr="00307E33">
        <w:tab/>
        <w:t>gezien het boek van antidrugsactivist Amine Kessaci “Marseille, essuie tes larmes” (Marseille, droog je tranen), zijn pleidooi om de drugshandel het hoofd te bieden en zijn oproep aan de bevolking om in opstand te komen,</w:t>
      </w:r>
    </w:p>
    <w:p w14:paraId="4746BFFA" w14:textId="77777777" w:rsidR="007B1477" w:rsidRPr="00307E33" w:rsidRDefault="007B1477" w:rsidP="007B1477">
      <w:pPr>
        <w:pStyle w:val="NormalHanging12a"/>
      </w:pPr>
      <w:r w:rsidRPr="00307E33">
        <w:t>–</w:t>
      </w:r>
      <w:r w:rsidRPr="00307E33">
        <w:tab/>
        <w:t>gezien artikel 136, lid 2, van zijn Reglement,</w:t>
      </w:r>
    </w:p>
    <w:p w14:paraId="003FBF81" w14:textId="77777777" w:rsidR="007B1477" w:rsidRPr="00307E33" w:rsidRDefault="007B1477" w:rsidP="007B1477">
      <w:pPr>
        <w:pStyle w:val="NormalHanging12a"/>
      </w:pPr>
      <w:r w:rsidRPr="00307E33">
        <w:t>A.</w:t>
      </w:r>
      <w:r w:rsidRPr="00307E33">
        <w:tab/>
        <w:t>overwegende dat de twintigjarige Fransman Mehdi Kessaci, die alleen bekend was bij de politie omdat hij zich had aangeboden als straatagent, op 13 november 2025 op klaarlichte dag en midden op straat werd vermoord in Marseille, in een context van drugsgerelateerd geweld, hetgeen de toenemende wreedheid van criminele netwerken en de rechtstreekse gevolgen van dergelijk geweld voor gezinnen en lokale gemeenschappen illustreert;</w:t>
      </w:r>
    </w:p>
    <w:p w14:paraId="28A257A2" w14:textId="77777777" w:rsidR="007B1477" w:rsidRPr="00307E33" w:rsidRDefault="007B1477" w:rsidP="007B1477">
      <w:pPr>
        <w:pStyle w:val="NormalHanging12a"/>
        <w:widowControl/>
      </w:pPr>
      <w:r w:rsidRPr="00307E33">
        <w:lastRenderedPageBreak/>
        <w:t>B.</w:t>
      </w:r>
      <w:r w:rsidRPr="00307E33">
        <w:tab/>
        <w:t>overwegende dat Mehdi Kessaci de broer was van Amine Kessaci, antidrugsactivist en schrijver, erkend vanwege zijn inspanningen om burgers te mobiliseren tegen de georganiseerde misdaad; overwegende dat Mehdi Kessaci zonder enige twijfel is vermoord vanwege deze familieband; overwegende dat de moord een rechtstreekse aanval vormt op de vrijheid van meningsuiting en vermoedelijk deel uitmaakt van een methode van intimidatie die doet denken aan de praktijken van georganiseerde maffianetwerken; overwegende dat dit misdrijf nationale protesten heeft uitgelokt waarbij 10 000 mensen overal in het land bijeenkwamen om hun steun te betuigen aan Amine Kessaci en zijn familie en de democratie, de vrijheid van meningsuiting en de rechtsstaat te verdedigen tegen de drugshandel;</w:t>
      </w:r>
    </w:p>
    <w:p w14:paraId="7708BC4A" w14:textId="77777777" w:rsidR="007B1477" w:rsidRPr="00307E33" w:rsidRDefault="007B1477" w:rsidP="007B1477">
      <w:pPr>
        <w:pStyle w:val="NormalHanging12a"/>
      </w:pPr>
      <w:r w:rsidRPr="00307E33">
        <w:t>C.</w:t>
      </w:r>
      <w:r w:rsidRPr="00307E33">
        <w:tab/>
        <w:t>overwegende dat de moord deel uitmaakt van een reeks drugsgerelateerde gewelddaden in Marseille, met 24 moorden in 2024 en 49 slachtoffers in 2023, waarbij steeds meer minderjarigen en onschuldige mensen werden getroffen; overwegende dat deze plaag veel Europese steden treft en een bedreiging vormt voor de sociale cohesie, de gezondheid en veiligheid van burgers en de rechtsstaat; overwegende dat de situatie in de ultraperifere gebieden bijzonder kritiek is en dat alleen al in 2025 op Guadeloupe en Martinique bijna 90 drugsgerelateerde moorden werden opgetekend;</w:t>
      </w:r>
    </w:p>
    <w:p w14:paraId="252C5454" w14:textId="705A0C94" w:rsidR="007B1477" w:rsidRPr="00307E33" w:rsidRDefault="00B47A08" w:rsidP="007B1477">
      <w:pPr>
        <w:pStyle w:val="NormalHanging12a"/>
      </w:pPr>
      <w:r w:rsidRPr="00307E33">
        <w:t>D</w:t>
      </w:r>
      <w:r w:rsidR="007B1477" w:rsidRPr="00307E33">
        <w:t>.</w:t>
      </w:r>
      <w:r w:rsidR="007B1477" w:rsidRPr="00307E33">
        <w:tab/>
        <w:t>overwegende dat drugshandel een van de ernstigste bedreigingen voor de interne veiligheid van de Europese Unie vormt en een voedingsbodem voor georganiseerde misdaad, geweld en corruptie is, en overwegende dat volgens Europol bijna 50 % van de meest bedreigende criminele netwerken in Europa betrokken is bij drugshandel, waarvan meer dan een derde zich exclusief hiermee bezighoudt;</w:t>
      </w:r>
    </w:p>
    <w:p w14:paraId="30ABCE4B" w14:textId="49A1743D" w:rsidR="007B1477" w:rsidRPr="00307E33" w:rsidRDefault="00B47A08" w:rsidP="007B1477">
      <w:pPr>
        <w:pStyle w:val="NormalHanging12a"/>
      </w:pPr>
      <w:r w:rsidRPr="00307E33">
        <w:t>E</w:t>
      </w:r>
      <w:r w:rsidR="007B1477" w:rsidRPr="00307E33">
        <w:t>.</w:t>
      </w:r>
      <w:r w:rsidR="007B1477" w:rsidRPr="00307E33">
        <w:tab/>
        <w:t>overwegende dat drugsgerelateerd geweld in Europa de afgelopen jaren is toegenomen en dat criminele organisaties steeds vaker vuurwapens gebruiken, en overwegende dat er bij gemiddeld 28 % van de inbeslaggenomen vuurwapens in Europa een link is met drugshandel, hetgeen aantoont dat er een rechtstreeks verband bestaat tussen drugshandel en ernstige bedreigingen voor de openbare veiligheid;</w:t>
      </w:r>
    </w:p>
    <w:p w14:paraId="4A15DA6D" w14:textId="51F52658" w:rsidR="007B1477" w:rsidRPr="00307E33" w:rsidRDefault="00B47A08" w:rsidP="007B1477">
      <w:pPr>
        <w:pStyle w:val="NormalHanging12a"/>
      </w:pPr>
      <w:r w:rsidRPr="00307E33">
        <w:t>F</w:t>
      </w:r>
      <w:r w:rsidR="007B1477" w:rsidRPr="00307E33">
        <w:t>.</w:t>
      </w:r>
      <w:r w:rsidR="007B1477" w:rsidRPr="00307E33">
        <w:tab/>
        <w:t>overwegende dat de productie van drugs, de drugshandel en het drugsgebruik in de EU snel toenemen en ongekende hoogtes bereiken; overwegende dat volgens cijfers van het EUDA in 2023 in de EU 752 ton cannabis en 419 ton cocaïne in beslag zijn genomen en 2,7 miljoen jongvolwassenen in de leeftijdsgroep van 15 tot 34 jaar aangaven in het afgelopen jaar deze stoffen te hebben gebruikt; overwegende dat op het grondgebied van de EU jaarlijks bijna 500 laboratoria voor synthetische drugs worden ontmanteld en dat het aantal drugsgerelateerde sterfgevallen in 2023 bijna 7 500 bedroeg; overwegende dat deze ontwikkelingen erop wijzen dat het verschijnsel steeds algemener wordt en alle gebieden, generaties en maatschappelijke groepen treft;</w:t>
      </w:r>
    </w:p>
    <w:p w14:paraId="436976DE" w14:textId="44CCE42C" w:rsidR="007B1477" w:rsidRPr="00307E33" w:rsidRDefault="00B47A08" w:rsidP="007B1477">
      <w:pPr>
        <w:pStyle w:val="NormalHanging12a"/>
      </w:pPr>
      <w:r w:rsidRPr="00307E33">
        <w:t>G</w:t>
      </w:r>
      <w:r w:rsidR="007B1477" w:rsidRPr="00307E33">
        <w:t>.</w:t>
      </w:r>
      <w:r w:rsidR="007B1477" w:rsidRPr="00307E33">
        <w:tab/>
        <w:t>overwegende dat Europese havens belangrijke strategische toegangspunten voor illegale drugs zijn, dat ongeveer 70 % van de door de douane inbeslaggenomen drugs wordt onderschept in haveninfrastructuur en dat criminele netwerken misbruik maken van de logistieke en menselijke kwetsbaarheden van deze platforms;</w:t>
      </w:r>
    </w:p>
    <w:p w14:paraId="4001F25F" w14:textId="035A3C89" w:rsidR="007B1477" w:rsidRPr="00307E33" w:rsidRDefault="00B47A08" w:rsidP="007B1477">
      <w:pPr>
        <w:pStyle w:val="NormalHanging12a"/>
      </w:pPr>
      <w:r w:rsidRPr="00307E33">
        <w:t>H</w:t>
      </w:r>
      <w:r w:rsidR="007B1477" w:rsidRPr="00307E33">
        <w:t>.</w:t>
      </w:r>
      <w:r w:rsidR="007B1477" w:rsidRPr="00307E33">
        <w:tab/>
        <w:t>overwegende dat mensen die in de visserij- en de havensector werken, zoals vissers en dokwerkers, het doelwit zijn van drugsnetwerken, die de aard van hun activiteiten uitbuiten om drugs in de EU binnen te brengen;</w:t>
      </w:r>
    </w:p>
    <w:p w14:paraId="25BC0A8B" w14:textId="37D1115D" w:rsidR="007B1477" w:rsidRPr="00307E33" w:rsidRDefault="00B47A08" w:rsidP="007B1477">
      <w:pPr>
        <w:pStyle w:val="NormalHanging12a"/>
      </w:pPr>
      <w:r w:rsidRPr="00307E33">
        <w:t>I</w:t>
      </w:r>
      <w:r w:rsidR="007B1477" w:rsidRPr="00307E33">
        <w:t>.</w:t>
      </w:r>
      <w:r w:rsidR="007B1477" w:rsidRPr="00307E33">
        <w:tab/>
        <w:t xml:space="preserve">overwegende dat de enorme toename van het drugsgebruik rechtstreeks van invloed is op de drugshandel en enorme winsten oplevert voor drugshandelaren, die hierdoor een </w:t>
      </w:r>
      <w:r w:rsidR="007B1477" w:rsidRPr="00307E33">
        <w:lastRenderedPageBreak/>
        <w:t>financiële draagkracht verwerven die de democratie in gevaar kan brengen; overwegende dat de Franse nationale commissie voor campagne- en politieke financiering heeft gewaarschuwd voor de invloed van drugsnetwerken op de komende lokale verkiezingen;</w:t>
      </w:r>
    </w:p>
    <w:p w14:paraId="5C2A27DE" w14:textId="5D10BC93" w:rsidR="00AB2409" w:rsidRPr="00307E33" w:rsidRDefault="000A6209" w:rsidP="007B1477">
      <w:pPr>
        <w:pStyle w:val="NormalHanging12a"/>
      </w:pPr>
      <w:r w:rsidRPr="00307E33">
        <w:t>J.</w:t>
      </w:r>
      <w:r w:rsidR="00AB2409" w:rsidRPr="00307E33">
        <w:tab/>
      </w:r>
      <w:r w:rsidR="000769F3" w:rsidRPr="00307E33">
        <w:t>overwegende dat drugshandel een van de meest lucratieve activiteiten van de georganiseerde misdaad is en goed is voor ongeveer een vijfde van de wereldwijde opbrengsten van misdrijven, en overwegende dat de EU wordt geconfronteerd met een ongekende toename van de beschikbaarheid van illegale drugs, met name cocaïne uit Zuid-Amerika;</w:t>
      </w:r>
    </w:p>
    <w:p w14:paraId="39ED3CC8" w14:textId="357ED07B" w:rsidR="007B1477" w:rsidRPr="00307E33" w:rsidRDefault="000A6209" w:rsidP="007B1477">
      <w:pPr>
        <w:pStyle w:val="NormalHanging12a"/>
        <w:widowControl/>
      </w:pPr>
      <w:r w:rsidRPr="00307E33">
        <w:t>K</w:t>
      </w:r>
      <w:r w:rsidR="007B1477" w:rsidRPr="00307E33">
        <w:t>.</w:t>
      </w:r>
      <w:r w:rsidR="007B1477" w:rsidRPr="00307E33">
        <w:tab/>
      </w:r>
      <w:r w:rsidR="000769F3" w:rsidRPr="00307E33">
        <w:t>overwegende dat netwerken voor drugshandel mogelijk druk of een ongepaste invloed proberen uit te oefenen op lokale gekozen vertegenwoordigers en kiezers, met name op gemeentelijk niveau, waardoor de integriteit van democratische processen wordt ondermijnd;</w:t>
      </w:r>
    </w:p>
    <w:p w14:paraId="5D4186AB" w14:textId="456F9794" w:rsidR="007B1477" w:rsidRPr="00307E33" w:rsidRDefault="0048515C" w:rsidP="007B1477">
      <w:pPr>
        <w:pStyle w:val="NormalHanging12a"/>
      </w:pPr>
      <w:r w:rsidRPr="00307E33">
        <w:t>L</w:t>
      </w:r>
      <w:r w:rsidR="007B1477" w:rsidRPr="00307E33">
        <w:t>.</w:t>
      </w:r>
      <w:r w:rsidR="007B1477" w:rsidRPr="00307E33">
        <w:tab/>
        <w:t>overwegende dat de financiële draagkracht die drugshandelaren verwerven de democratie in gevaar brengt door middel van witwaspraktijken, corruptie en infiltratie in de legale economie en doordat criminele netwerken in staat worden gesteld territoriale invloed te verkrijgen en uit te breiden, ook binnen de Europese Unie;</w:t>
      </w:r>
    </w:p>
    <w:p w14:paraId="35D828EF" w14:textId="6516E334" w:rsidR="007B1477" w:rsidRPr="00307E33" w:rsidRDefault="0048515C" w:rsidP="007B1477">
      <w:pPr>
        <w:pStyle w:val="NormalHanging12a"/>
      </w:pPr>
      <w:r w:rsidRPr="00307E33">
        <w:t>M</w:t>
      </w:r>
      <w:r w:rsidR="007B1477" w:rsidRPr="00307E33">
        <w:t>.</w:t>
      </w:r>
      <w:r w:rsidR="007B1477" w:rsidRPr="00307E33">
        <w:tab/>
        <w:t>overwegende dat de bestrijding van het witwassen van geld, belastingparadijzen en infiltratie in de legale economie door criminele organisaties dan ook een cruciale hefboom is om drugsnetwerken blijvend te verzwakken;</w:t>
      </w:r>
    </w:p>
    <w:p w14:paraId="70F7B832" w14:textId="6300E93F" w:rsidR="0062777C" w:rsidRPr="00307E33" w:rsidRDefault="0048515C" w:rsidP="007B1477">
      <w:pPr>
        <w:pStyle w:val="NormalHanging12a"/>
      </w:pPr>
      <w:r w:rsidRPr="00307E33">
        <w:t>N.</w:t>
      </w:r>
      <w:r w:rsidR="0062777C" w:rsidRPr="00307E33">
        <w:tab/>
        <w:t>overwegende dat in het Europees schild voor de democratie wordt benadrukt dat georganiseerde misdaad en corruptie een directe bedreiging vormen voor de rechtsstaat en onze democratische instellingen;</w:t>
      </w:r>
    </w:p>
    <w:p w14:paraId="40A7385C" w14:textId="3A1724F2" w:rsidR="007B1477" w:rsidRPr="00307E33" w:rsidRDefault="0048515C" w:rsidP="007B1477">
      <w:pPr>
        <w:pStyle w:val="NormalHanging12a"/>
      </w:pPr>
      <w:r w:rsidRPr="00307E33">
        <w:t>O</w:t>
      </w:r>
      <w:r w:rsidR="007B1477" w:rsidRPr="00307E33">
        <w:t>.</w:t>
      </w:r>
      <w:r w:rsidR="007B1477" w:rsidRPr="00307E33">
        <w:tab/>
        <w:t>overwegende dat steeds vaker digitale instrumenten en sociale media worden gebruikt voor geweldgerelateerde rekrutering en het coördineren en plegen van gewelddaden, waarbij vooral minderjarigen worden geviseerd, wat vraagt om een gecoördineerde Europese respons die de grondrechten eerbiedigt;</w:t>
      </w:r>
    </w:p>
    <w:p w14:paraId="6A29EB99" w14:textId="24F136B3" w:rsidR="007B1477" w:rsidRPr="00307E33" w:rsidRDefault="0048515C" w:rsidP="007B1477">
      <w:pPr>
        <w:pStyle w:val="NormalHanging12a"/>
      </w:pPr>
      <w:r w:rsidRPr="00307E33">
        <w:t>P</w:t>
      </w:r>
      <w:r w:rsidR="007B1477" w:rsidRPr="00307E33">
        <w:t>.</w:t>
      </w:r>
      <w:r w:rsidR="007B1477" w:rsidRPr="00307E33">
        <w:tab/>
        <w:t>overwegende dat criminele organisaties en hun praktijken veranderen, met name door de digitalisering van hun strategieën, en dat de onderzoeks-, justitiële en sociale structuren voor de EU-respons op deze plaag dus mee moeten veranderen;</w:t>
      </w:r>
    </w:p>
    <w:p w14:paraId="6540460A" w14:textId="54CC4240" w:rsidR="007B1477" w:rsidRPr="00307E33" w:rsidRDefault="0048515C" w:rsidP="007B1477">
      <w:pPr>
        <w:pStyle w:val="NormalHanging12a"/>
      </w:pPr>
      <w:r w:rsidRPr="00307E33">
        <w:t>Q</w:t>
      </w:r>
      <w:r w:rsidR="007B1477" w:rsidRPr="00307E33">
        <w:t>.</w:t>
      </w:r>
      <w:r w:rsidR="007B1477" w:rsidRPr="00307E33">
        <w:tab/>
        <w:t xml:space="preserve"> overwegende dat de prevalentie van nieuwe psychoactieve stoffen in Europa toeneemt, waaronder krachtige synthetische cannabinoïden, cathinonen en synthetische opioïden, die vaak binnen de EU worden geproduceerd of gedistribueerd en gedeeltelijk buiten het bereik van internationale en nationale controles blijven; overwegende dat hun zeer krachtige werking en het geringe volume dat ervan nodig is, in combinatie met de mogelijkheid om hun chemische structuur licht te wijzigen om de wetgeving te omzeilen, een snel groeiende en zeer lucratieve markt voor drugshandelaren creëren, hetgeen aanzienlijke risico’s inhoudt voor de volksgezondheid en de veiligheid; overwegende dat het van belang is te beschikken over robuuste systemen voor vroegtijdige waarschuwing, verbeterde opsporingscapaciteiten en een gecoördineerde respons op EU-niveau om de veranderende dreiging van nieuwe psychoactieve stoffen het hoofd te bieden;</w:t>
      </w:r>
    </w:p>
    <w:p w14:paraId="6DCBD854" w14:textId="3B166732" w:rsidR="007B1477" w:rsidRPr="00307E33" w:rsidRDefault="0048515C" w:rsidP="007B1477">
      <w:pPr>
        <w:pStyle w:val="NormalHanging12a"/>
      </w:pPr>
      <w:r w:rsidRPr="00307E33">
        <w:t>R</w:t>
      </w:r>
      <w:r w:rsidR="007B1477" w:rsidRPr="00307E33">
        <w:t>.</w:t>
      </w:r>
      <w:r w:rsidR="007B1477" w:rsidRPr="00307E33">
        <w:tab/>
        <w:t xml:space="preserve">overwegende dat drugsnetwerken vaak worden ontwikkeld en zich duurzaam gaan </w:t>
      </w:r>
      <w:r w:rsidR="007B1477" w:rsidRPr="00307E33">
        <w:lastRenderedPageBreak/>
        <w:t>vestigen in een context die wordt gekenmerkt door hardnekkige sociale en territoriale ongelijkheden, onvoldoende toegang tot werkgelegenheid, openbare diensten en onderwijsmogelijkheden, en een gevoel van institutionele verwaarlozing, met name in bepaalde achtergestelde stadswijken, en overwegende dat deze kwetsbaarheden een voedingsbodem vormen voor de criminele economie en structurele factoren zijn die door drugsnetwerken worden uitgebuit om kwetsbare, vaak jonge arbeidskrachten te rekruteren;</w:t>
      </w:r>
    </w:p>
    <w:p w14:paraId="40370188" w14:textId="6581A9C0" w:rsidR="007B1477" w:rsidRPr="00307E33" w:rsidRDefault="0048515C" w:rsidP="007B1477">
      <w:pPr>
        <w:pStyle w:val="NormalHanging12a"/>
      </w:pPr>
      <w:r w:rsidRPr="00307E33">
        <w:t>S</w:t>
      </w:r>
      <w:r w:rsidR="007B1477" w:rsidRPr="00307E33">
        <w:t>.</w:t>
      </w:r>
      <w:r w:rsidR="007B1477" w:rsidRPr="00307E33">
        <w:tab/>
        <w:t>overwegende dat het cohesiebeleid van de EU via de bijbehorende financiële instrumenten van oudsher bijdraagt tot het verkleinen van territoriale verschillen, het versterken van de sociale cohesie en het ondersteunen van structurele investeringen in stedelijke probleemwijken, en overwegende dat de door de Europese Commissie beoogde richtsnoeren voor het meerjarig financieel kader 2028-2034, samen met de uitvoering van de nieuwe EU-agenda voor steden, een bepalende invloed zullen hebben op het vermogen van de EU om op duurzame wijze te voorkomen dat illegale handel blijvend voet aan de grond krijgt in deze gebieden;</w:t>
      </w:r>
    </w:p>
    <w:p w14:paraId="1942915B" w14:textId="3A5A1A9E" w:rsidR="007B1477" w:rsidRPr="00307E33" w:rsidRDefault="0048515C" w:rsidP="007B1477">
      <w:pPr>
        <w:pStyle w:val="NormalHanging12a"/>
      </w:pPr>
      <w:r w:rsidRPr="00307E33">
        <w:t>T</w:t>
      </w:r>
      <w:r w:rsidR="007B1477" w:rsidRPr="00307E33">
        <w:t>.</w:t>
      </w:r>
      <w:r w:rsidR="007B1477" w:rsidRPr="00307E33">
        <w:tab/>
        <w:t>overwegende dat criminele netwerken geldsommen weten te vergaren door corruptie en dat corruptie hierdoor nog kan worden versterkt, en overwegende dat criminele netwerken door hun financiële draagkracht in een toenemend aantal gebieden in staat zijn om de bewoners zowel dienstverlening aan te bieden als angst aan te jagen, waardoor lokale gemeenschappen in een soort verdoofde toestand verkeren en steeds minder weerstand bieden tegen de plaag van de drugshandel; overwegende dat de moord op Mehdi Kessaci deel uitmaakt van dit soort intimidatiestrategieën; overwegende dat de waarschuwingen over de invloed van drugshandel op verkiezingen ons met de neus op de feiten drukt over de bedreiging die de drugshandel inhoudt voor de grondrechten, de democratie en de rechtsstaat;</w:t>
      </w:r>
    </w:p>
    <w:p w14:paraId="29CF0675" w14:textId="2DBC0082" w:rsidR="007B1477" w:rsidRPr="00307E33" w:rsidRDefault="0048515C" w:rsidP="007B1477">
      <w:pPr>
        <w:pStyle w:val="NormalHanging12a"/>
      </w:pPr>
      <w:r w:rsidRPr="00307E33">
        <w:t>U</w:t>
      </w:r>
      <w:r w:rsidR="007B1477" w:rsidRPr="00307E33">
        <w:t>.</w:t>
      </w:r>
      <w:r w:rsidR="007B1477" w:rsidRPr="00307E33">
        <w:tab/>
        <w:t>overwegende dat de families van slachtoffers, en met name de moeders en naasten van personen die door criminele netwerken zijn gedood of gerekruteerd, vaak een essentiële rol vervullen bij preventie en bewustmaking en het begeleiden van jongeren die met drugshandel in aanraking komen; overwegende dat de families van slachtoffers van drugshandel echter niet betrokken worden bij de ontwikkeling van Europees en nationaal antidrugsbeleid of bij het Drugsforum van het maatschappelijk middenveld;</w:t>
      </w:r>
    </w:p>
    <w:p w14:paraId="06378B67" w14:textId="206C3E4A" w:rsidR="007B1477" w:rsidRPr="00307E33" w:rsidRDefault="0048515C" w:rsidP="007B1477">
      <w:pPr>
        <w:pStyle w:val="NormalHanging12a"/>
      </w:pPr>
      <w:r w:rsidRPr="00307E33">
        <w:t>V</w:t>
      </w:r>
      <w:r w:rsidR="007B1477" w:rsidRPr="00307E33">
        <w:t>.</w:t>
      </w:r>
      <w:r w:rsidR="007B1477" w:rsidRPr="00307E33">
        <w:tab/>
        <w:t>overwegende dat uit eerdere strategieën is gebleken dat er een beter evenwicht moet worden gevonden tussen een repressieve respons en beleid gericht op preventie, risicovermindering en sociale rechtvaardigheid;</w:t>
      </w:r>
    </w:p>
    <w:p w14:paraId="1BEB9A2E" w14:textId="739E6629" w:rsidR="007B1477" w:rsidRPr="00307E33" w:rsidRDefault="0048515C" w:rsidP="007B1477">
      <w:pPr>
        <w:pStyle w:val="NormalHanging12a"/>
      </w:pPr>
      <w:r w:rsidRPr="00307E33">
        <w:t>W</w:t>
      </w:r>
      <w:r w:rsidR="007B1477" w:rsidRPr="00307E33">
        <w:t>.</w:t>
      </w:r>
      <w:r w:rsidR="007B1477" w:rsidRPr="00307E33">
        <w:tab/>
        <w:t>overwegende dat de EU-drugsstrategie gebaseerd is op essentiële pijlers die een combinatie van volksgezondheid, preventie, justitiële en politiële samenwerking en samenwerking met derde landen omvatten, en dat het nuttig zou zijn deze strategie aan te vullen met een component die gewijd is aan de sociale veerkracht van gebieden en aan gemeenschappen die worden gemobiliseerd tegen drugshandel;</w:t>
      </w:r>
    </w:p>
    <w:p w14:paraId="38868D2F" w14:textId="1EC22576" w:rsidR="007B1477" w:rsidRPr="00307E33" w:rsidRDefault="0048515C" w:rsidP="007B1477">
      <w:pPr>
        <w:pStyle w:val="NormalHanging12a"/>
      </w:pPr>
      <w:r w:rsidRPr="00307E33">
        <w:t>X</w:t>
      </w:r>
      <w:r w:rsidR="007B1477" w:rsidRPr="00307E33">
        <w:t>.</w:t>
      </w:r>
      <w:r w:rsidR="007B1477" w:rsidRPr="00307E33">
        <w:tab/>
        <w:t>overwegende dat de verspreiding van drugshandel een Europees verschijnsel is en een eensgezinde en kordate respons vereist; overwegende dat de Europese instanties moeten aantonen dat zij in staat zijn zich te organiseren om ervoor te zorgen dat er geen levens meer verloren gaan;</w:t>
      </w:r>
    </w:p>
    <w:p w14:paraId="1CE31FF0" w14:textId="77777777" w:rsidR="007B1477" w:rsidRPr="00307E33" w:rsidRDefault="007B1477" w:rsidP="007B1477">
      <w:pPr>
        <w:pStyle w:val="NormalHanging12a"/>
      </w:pPr>
      <w:r w:rsidRPr="00307E33">
        <w:t>1.</w:t>
      </w:r>
      <w:r w:rsidRPr="00307E33">
        <w:tab/>
        <w:t xml:space="preserve">veroordeelt de moord op Mehdi Kessaci in de krachtigste bewoordingen; betuigt zijn diepste medeleven en innige deelneming aan zijn ouders en familie, zijn naasten en, via </w:t>
      </w:r>
      <w:r w:rsidRPr="00307E33">
        <w:lastRenderedPageBreak/>
        <w:t>hen, alle directe en indirecte slachtoffers van drugshandel in Europa en de rest van de wereld;</w:t>
      </w:r>
    </w:p>
    <w:p w14:paraId="504D0830" w14:textId="77777777" w:rsidR="007B1477" w:rsidRPr="00307E33" w:rsidRDefault="007B1477" w:rsidP="007B1477">
      <w:pPr>
        <w:pStyle w:val="NormalHanging12a"/>
      </w:pPr>
      <w:r w:rsidRPr="00307E33">
        <w:t>2.</w:t>
      </w:r>
      <w:r w:rsidRPr="00307E33">
        <w:tab/>
        <w:t>brengt hulde aan de inzet van Amine Kessaci, de vereniging Conscience en alle activisten die de drugshandel bestrijden, vaak met gevaar voor hun veiligheid; prijst de moed van Amine Kessaci, die het hoofd blijft bieden aan drugshandelaren, ondanks de bedreigingen die hij te verwerken krijgt; erkent dat de moord op Mehdi Kessaci een frontale aanval is op de vrijheid van meningsuiting, de creatieve vrijheid en de rechtsstaat;</w:t>
      </w:r>
    </w:p>
    <w:p w14:paraId="363FF6A6" w14:textId="77777777" w:rsidR="007B1477" w:rsidRPr="00307E33" w:rsidRDefault="007B1477" w:rsidP="007B1477">
      <w:pPr>
        <w:pStyle w:val="NormalHanging12a"/>
      </w:pPr>
      <w:r w:rsidRPr="00307E33">
        <w:t>3.</w:t>
      </w:r>
      <w:r w:rsidRPr="00307E33">
        <w:tab/>
        <w:t>herinnert eraan dat de acties van gemeenschapsorganisaties bijdragen tot de bescherming van jongeren, sociale cohesie en democratische vitaliteit en vaak weinig erkenning, ondersteuning of bescherming krijgen;</w:t>
      </w:r>
    </w:p>
    <w:p w14:paraId="4EE616A5" w14:textId="77777777" w:rsidR="007B1477" w:rsidRPr="00307E33" w:rsidRDefault="007B1477" w:rsidP="007B1477">
      <w:pPr>
        <w:pStyle w:val="NormalHanging12a"/>
      </w:pPr>
      <w:r w:rsidRPr="00307E33">
        <w:t>4.</w:t>
      </w:r>
      <w:r w:rsidRPr="00307E33">
        <w:tab/>
        <w:t>benadrukt dat de strijd tegen drugshandel en georganiseerde misdaad een grote uitdaging vormt voor de EU als geheel, zowel wat veiligheid betreft als op het gebied van volksgezondheid, sociale rechtvaardigheid en eerbiediging van de rechtsstaat;</w:t>
      </w:r>
    </w:p>
    <w:p w14:paraId="6BFF97B3" w14:textId="77777777" w:rsidR="007B1477" w:rsidRPr="00307E33" w:rsidRDefault="007B1477" w:rsidP="007B1477">
      <w:pPr>
        <w:pStyle w:val="NormalHanging12a"/>
      </w:pPr>
      <w:r w:rsidRPr="00307E33">
        <w:t>5.</w:t>
      </w:r>
      <w:r w:rsidRPr="00307E33">
        <w:tab/>
        <w:t>is ingenomen met de goedkeuring van de nieuwe EU-drugsstrategie en het bijbehorende actieplan en herhaalt voorstander te zijn van een evenwichtige aanpak die berust op het terugdringen van de vraag, justitiële en politiële samenwerking, samenwerking met derde landen en preventie, met name online; herinnert eraan dat eerdere plannen onvoldoende in staat zijn gebleken om de plaag van de drugshandel onder controle te krijgen, maar dat het ieders verantwoordelijkheid is om deze uitdaging aan te gaan;</w:t>
      </w:r>
    </w:p>
    <w:p w14:paraId="3E1C3BF5" w14:textId="7F0D1D53" w:rsidR="001659E8" w:rsidRPr="00307E33" w:rsidRDefault="0048515C" w:rsidP="007B1477">
      <w:pPr>
        <w:pStyle w:val="NormalHanging12a"/>
      </w:pPr>
      <w:r w:rsidRPr="00307E33">
        <w:t>6.</w:t>
      </w:r>
      <w:r w:rsidR="001659E8" w:rsidRPr="00307E33">
        <w:tab/>
        <w:t>herinnert eraan dat de lidstaten er in de nieuwe strategie voor drugsbestrijding toe worden opgeroepen een nultolerantiebeleid te voeren ten aanzien van het rijden onder invloed van drugs, in overeenstemming met Richtlijn 2006/126/EG betreffende het rijbewijs</w:t>
      </w:r>
      <w:r w:rsidR="001659E8" w:rsidRPr="00307E33">
        <w:rPr>
          <w:rStyle w:val="FootnoteReference"/>
        </w:rPr>
        <w:footnoteReference w:id="6"/>
      </w:r>
      <w:r w:rsidR="001659E8" w:rsidRPr="00307E33">
        <w:t>, en ten volle gebruik te maken van de beschikbare grensoverschrijdende instrumenten om deze regels te handhaven;</w:t>
      </w:r>
    </w:p>
    <w:p w14:paraId="476B8D1C" w14:textId="1923EF5E" w:rsidR="007B1477" w:rsidRPr="00307E33" w:rsidRDefault="0048515C" w:rsidP="007B1477">
      <w:pPr>
        <w:pStyle w:val="NormalHanging12a"/>
      </w:pPr>
      <w:r w:rsidRPr="00307E33">
        <w:t>7</w:t>
      </w:r>
      <w:r w:rsidR="007B1477" w:rsidRPr="00307E33">
        <w:t>.</w:t>
      </w:r>
      <w:r w:rsidR="007B1477" w:rsidRPr="00307E33">
        <w:tab/>
        <w:t>staat volledig achter de pijler volksgezondheid en preventie van de EU-drugsstrategie, bestaande uit vroegtijdige preventie, risicovermindering, toegang tot zorg, behandeling van verslavingen en sociale re-integratie; wijst erop dat drugs in toenemende mate de samenleving als geheel treffen waardoor deze in een positie van afhankelijkheid terechtkomt, en dringt erop aan de grote middelen in te zetten om de geestelijke gezondheid van de Europeanen te waarborgen;</w:t>
      </w:r>
    </w:p>
    <w:p w14:paraId="04115859" w14:textId="07842814" w:rsidR="007B1477" w:rsidRPr="00307E33" w:rsidRDefault="0048515C" w:rsidP="007B1477">
      <w:pPr>
        <w:pStyle w:val="NormalHanging12a"/>
      </w:pPr>
      <w:r w:rsidRPr="00307E33">
        <w:t>8</w:t>
      </w:r>
      <w:r w:rsidR="007B1477" w:rsidRPr="00307E33">
        <w:t>.</w:t>
      </w:r>
      <w:r w:rsidR="007B1477" w:rsidRPr="00307E33">
        <w:tab/>
        <w:t>steunt het voorstel van de Commissie om in de strijd tegen drugshandel te zorgen voor versterking van de veiligheid, onder meer in het kader van de in 2026 geplande evaluatie van het bestaande kaderbesluit inzake drugshandel en de modernisering van de regels op het gebied van georganiseerde misdaad; steunt belangrijke maatregelen zoals het versterken van publiek-private samenwerking om de opsporing van drugs die via post- en pakketdiensten worden binnengesmokkeld te verbeteren, alsook de ontwikkeling van een nieuwe Europese strategie voor havens die erop gericht is de veiligheid van havens en toeleveringsketens en hun weerstand tegen drugshandel te vergroten;</w:t>
      </w:r>
    </w:p>
    <w:p w14:paraId="2876F466" w14:textId="74024827" w:rsidR="007B1477" w:rsidRPr="00307E33" w:rsidRDefault="0048515C" w:rsidP="007B1477">
      <w:pPr>
        <w:pStyle w:val="NormalHanging12a"/>
      </w:pPr>
      <w:r w:rsidRPr="00307E33">
        <w:lastRenderedPageBreak/>
        <w:t>9</w:t>
      </w:r>
      <w:r w:rsidR="007B1477" w:rsidRPr="00307E33">
        <w:t>.</w:t>
      </w:r>
      <w:r w:rsidR="007B1477" w:rsidRPr="00307E33">
        <w:tab/>
        <w:t>is ingenomen met de inzet van rechtshandhavingsinstanties, strijdkrachten, douanediensten en magistraten in de hele Europese Unie in de strijd tegen drugshandel; erkent hun essentiële bijdrage aan de bescherming van de openbare veiligheid en dringt aan op een evenredige en aangepaste versterking van de middelen waarover de politiediensten en justitiële autoriteiten beschikken om deze veranderende transnationale dreiging het hoofd te kunnen bieden;</w:t>
      </w:r>
    </w:p>
    <w:p w14:paraId="768AAB04" w14:textId="1696E58C" w:rsidR="007B1477" w:rsidRPr="00307E33" w:rsidRDefault="0048515C" w:rsidP="007B1477">
      <w:pPr>
        <w:pStyle w:val="NormalHanging12a"/>
      </w:pPr>
      <w:r w:rsidRPr="00307E33">
        <w:t>10</w:t>
      </w:r>
      <w:r w:rsidR="007B1477" w:rsidRPr="00307E33">
        <w:t>.</w:t>
      </w:r>
      <w:r w:rsidR="007B1477" w:rsidRPr="00307E33">
        <w:tab/>
        <w:t xml:space="preserve">dringt aan op de versterking van </w:t>
      </w:r>
      <w:r w:rsidR="001659E8" w:rsidRPr="00307E33">
        <w:t xml:space="preserve">de personele, materiële en technologische middelen die worden toegewezen voor controles aan de buitengrenzen in de strijd tegen wapen-, mensen- en drugshandel, en van </w:t>
      </w:r>
      <w:r w:rsidR="007B1477" w:rsidRPr="00307E33">
        <w:t xml:space="preserve">gezamenlijke grensoverschrijdende rechtshandhavingsoperaties, met name in hotspots zoals Marseille, Le Havre, Antwerpen, Rotterdam en Hamburg, in nauwe samenwerking met </w:t>
      </w:r>
      <w:r w:rsidR="001659E8" w:rsidRPr="00307E33">
        <w:t xml:space="preserve">het Europees Grens- en kustwachtagentschap, </w:t>
      </w:r>
      <w:r w:rsidR="007B1477" w:rsidRPr="00307E33">
        <w:t>Europol, Eurojust en het EUDA, om de criminele netwerken achter schietpartijen, moorden en intimidatiepraktijken in heel Europa te ontmantelen;</w:t>
      </w:r>
    </w:p>
    <w:p w14:paraId="40CFC0F9" w14:textId="35F0FC8F" w:rsidR="007B1477" w:rsidRPr="00307E33" w:rsidRDefault="0048515C" w:rsidP="007B1477">
      <w:pPr>
        <w:pStyle w:val="NormalHanging12a"/>
      </w:pPr>
      <w:r w:rsidRPr="00307E33">
        <w:t>11</w:t>
      </w:r>
      <w:r w:rsidR="007B1477" w:rsidRPr="00307E33">
        <w:t>.</w:t>
      </w:r>
      <w:r w:rsidR="007B1477" w:rsidRPr="00307E33">
        <w:tab/>
        <w:t>benadrukt dat de samenwerking en informatie-uitwisseling tussen douane-, rechtshandhavings-, justitiële en administratieve autoriteiten moeten worden versterkt, en verzoekt de Commissie te zorgen voor het nodige kader om deze inspanningen te ondersteunen, met inachtneming van de grondrechten en de bescherming van de privacy;</w:t>
      </w:r>
    </w:p>
    <w:p w14:paraId="7D2AE87F" w14:textId="7915C579" w:rsidR="007B1477" w:rsidRPr="00307E33" w:rsidRDefault="0048515C" w:rsidP="007B1477">
      <w:pPr>
        <w:pStyle w:val="NormalHanging12a"/>
      </w:pPr>
      <w:r w:rsidRPr="00307E33">
        <w:t>12</w:t>
      </w:r>
      <w:r w:rsidR="007B1477" w:rsidRPr="00307E33">
        <w:t>.</w:t>
      </w:r>
      <w:r w:rsidR="007B1477" w:rsidRPr="00307E33">
        <w:tab/>
        <w:t>herinnert eraan dat de strijd tegen de georganiseerde misdaad gericht moet zijn op de economische en financiële structuren van de drugshandel, onder meer door de regelingen voor de confiscatie van criminele vermogensbestanddelen te versterken en de strijd tegen belastingparadijzen op te voeren; verzoekt de EU en de lidstaten ten volle en doeltreffend gebruik te maken van de nieuwe Richtlijn (EU) 2024/1260 betreffende ontneming en confiscatie van vermogensbestanddelen</w:t>
      </w:r>
      <w:r w:rsidR="007B1477" w:rsidRPr="00307E33">
        <w:rPr>
          <w:rStyle w:val="FootnoteReference"/>
        </w:rPr>
        <w:footnoteReference w:id="7"/>
      </w:r>
      <w:r w:rsidR="007B1477" w:rsidRPr="00307E33">
        <w:t>, en de nodige maatregelen te nemen om de toewijzing van geconfisqueerde goederen voor maatschappelijke doeleinden mogelijk te maken, onder meer door geconfisqueerde goederen toe te wijzen aan gemeenschapsorganisaties die de territoriale invloed van de drugshandel bestrijden, zoals het geval is in Italië, alsook aan de autoriteiten die het meest zijn blootgesteld aan drugsgerelateerd geweld of aan gerechtelijke en douanediensten die belast zijn met onderzoek; verzoekt de Commissie en de lidstaten ervoor te zorgen dat maatregelen die erop gericht zijn geconfisqueerde goederen in het algemeen belang of voor sociale doeleinden te gebruiken, worden opgenomen in hun nationale strategieën voor de ontneming van vermogensbestanddelen;</w:t>
      </w:r>
    </w:p>
    <w:p w14:paraId="72263A62" w14:textId="5345B6C1" w:rsidR="007B1477" w:rsidRPr="00307E33" w:rsidRDefault="0048515C" w:rsidP="007B1477">
      <w:pPr>
        <w:pStyle w:val="NormalHanging12a"/>
      </w:pPr>
      <w:r w:rsidRPr="00307E33">
        <w:t>13</w:t>
      </w:r>
      <w:r w:rsidR="007B1477" w:rsidRPr="00307E33">
        <w:t>.</w:t>
      </w:r>
      <w:r w:rsidR="007B1477" w:rsidRPr="00307E33">
        <w:tab/>
        <w:t>benadrukt dat het belangrijk is vereisten inzake justitiële samenwerking en transparantie op te nemen in de externe betrekkingen en de overeenkomsten van de EU met derde landen die betrokken zijn bij drugssmokkelroutes; benadrukt dat de samenwerking met sommige van deze landen succesvol verloopt, maar dat andere weigeren de Europese autoriteiten hun volledige medewerking te verlenen;</w:t>
      </w:r>
    </w:p>
    <w:p w14:paraId="3F9AB152" w14:textId="3480F76F" w:rsidR="007B1477" w:rsidRPr="00307E33" w:rsidRDefault="0048515C" w:rsidP="007B1477">
      <w:pPr>
        <w:pStyle w:val="NormalHanging12a"/>
      </w:pPr>
      <w:r w:rsidRPr="00307E33">
        <w:t>14</w:t>
      </w:r>
      <w:r w:rsidR="007B1477" w:rsidRPr="00307E33">
        <w:t>.</w:t>
      </w:r>
      <w:r w:rsidR="007B1477" w:rsidRPr="00307E33">
        <w:tab/>
        <w:t>is ingenomen met de succesvolle sluiting van overeenkomsten op grond waarvan Eurojust en Europol gaan samenwerken met Armenië, Bosnië en Herzegovina en Libanon;</w:t>
      </w:r>
    </w:p>
    <w:p w14:paraId="2C916A09" w14:textId="52A137B0" w:rsidR="007B1477" w:rsidRPr="00307E33" w:rsidRDefault="0048515C" w:rsidP="007B1477">
      <w:pPr>
        <w:pStyle w:val="NormalHanging12a"/>
      </w:pPr>
      <w:r w:rsidRPr="00307E33">
        <w:t>15</w:t>
      </w:r>
      <w:r w:rsidR="007B1477" w:rsidRPr="00307E33">
        <w:t>.</w:t>
      </w:r>
      <w:r w:rsidR="007B1477" w:rsidRPr="00307E33">
        <w:tab/>
        <w:t xml:space="preserve">benadrukt het belang van een grondig onderzoek naar de methoden van criminele organisaties en de snelheid waarmee die veranderen, om gerechtelijke procedures te ontwikkelen die hier zo goed mogelijk op zijn afgestemd; dringt er met name op aan een </w:t>
      </w:r>
      <w:r w:rsidR="007B1477" w:rsidRPr="00307E33">
        <w:lastRenderedPageBreak/>
        <w:t>gemeenschappelijke aanpak te hanteren ten aanzien van de georganiseerde misdaad, de invoering van de status van spijtoptant te overwegen, minderjarigen die deel uitmaken van criminele netwerken te beschermen en de strijd tegen drugshandel te koppelen aan bepalingen inzake het witwassen van geld en corruptie, afpersing, mensenhandel, milieucriminaliteit en wapenhandel; dringt erop aan na te gaan of het Europees Openbaar Ministerie een grotere rol kan spelen in de strijd tegen de georganiseerde misdaad;</w:t>
      </w:r>
    </w:p>
    <w:p w14:paraId="619DAD8A" w14:textId="0DE23707" w:rsidR="007B1477" w:rsidRPr="00307E33" w:rsidRDefault="0048515C" w:rsidP="007B1477">
      <w:pPr>
        <w:pStyle w:val="NormalHanging12a"/>
      </w:pPr>
      <w:r w:rsidRPr="00307E33">
        <w:t>16</w:t>
      </w:r>
      <w:r w:rsidR="007B1477" w:rsidRPr="00307E33">
        <w:t>.</w:t>
      </w:r>
      <w:r w:rsidR="007B1477" w:rsidRPr="00307E33">
        <w:tab/>
        <w:t>verbindt zich ertoe ervoor te zorgen dat het Parlement nauwlettender en grondiger toezicht houdt op drugshandel en de bestrijding van grensoverschrijdende drugsgerelateerde georganiseerde misdaad;</w:t>
      </w:r>
    </w:p>
    <w:p w14:paraId="791771E7" w14:textId="3A65C416" w:rsidR="007B1477" w:rsidRPr="00307E33" w:rsidRDefault="0048515C" w:rsidP="007B1477">
      <w:pPr>
        <w:pStyle w:val="NormalHanging12a"/>
      </w:pPr>
      <w:r w:rsidRPr="00307E33">
        <w:t>17</w:t>
      </w:r>
      <w:r w:rsidR="007B1477" w:rsidRPr="00307E33">
        <w:t>.</w:t>
      </w:r>
      <w:r w:rsidR="007B1477" w:rsidRPr="00307E33">
        <w:tab/>
        <w:t>dringt erop aan dat er meer personele middelen worden toegewezen aan de lokale politie, gespecialiseerde politiediensten en gespecialiseerde rechtbanken voor de behandeling van drugszaken, met inbegrip van rechtbanken voor de bestrijding van witwaspraktijken;</w:t>
      </w:r>
    </w:p>
    <w:p w14:paraId="1379A4E7" w14:textId="6D2050D6" w:rsidR="007B1477" w:rsidRPr="00307E33" w:rsidRDefault="0048515C" w:rsidP="007B1477">
      <w:pPr>
        <w:pStyle w:val="NormalHanging12a"/>
        <w:widowControl/>
      </w:pPr>
      <w:r w:rsidRPr="00307E33">
        <w:t>18</w:t>
      </w:r>
      <w:r w:rsidR="007B1477" w:rsidRPr="00307E33">
        <w:t>.</w:t>
      </w:r>
      <w:r w:rsidR="007B1477" w:rsidRPr="00307E33">
        <w:tab/>
        <w:t>moedigt EU-organen, nationale autoriteiten en de lidstaten aan samen te werken op politieel, justitieel en administratief gebied;</w:t>
      </w:r>
    </w:p>
    <w:p w14:paraId="3CB800AB" w14:textId="0BCA2193" w:rsidR="007B1477" w:rsidRPr="00307E33" w:rsidRDefault="0048515C" w:rsidP="007B1477">
      <w:pPr>
        <w:pStyle w:val="NormalHanging12a"/>
      </w:pPr>
      <w:r w:rsidRPr="00307E33">
        <w:t>19</w:t>
      </w:r>
      <w:r w:rsidR="007B1477" w:rsidRPr="00307E33">
        <w:t>.</w:t>
      </w:r>
      <w:r w:rsidR="007B1477" w:rsidRPr="00307E33">
        <w:tab/>
        <w:t>dringt erop aan om van de bestrijding van drugshandel een pijler te maken van de EU</w:t>
      </w:r>
      <w:r w:rsidR="007B1477" w:rsidRPr="00307E33">
        <w:noBreakHyphen/>
        <w:t>havenstrategie en de Europese havenalliantie, waarin zowel zeehavens als rivierhavens worden geïntegreerd, en om opleidings-, preventie- en beschermingsmaatregelen voor havenpersoneel in te voeren; dringt aan op ondersteuning en begeleiding van dokwerkers en vissers die door drugsnetwerken worden benaderd en te maken krijgen met druk, bedreigingen en pogingen tot chantage; benadrukt dat het van belang is inlichtingen te delen over inbeslagnames van drugs, precursoren en essentiële chemische stoffen, en gebruik te maken van surveillancetechnologieën die gericht zijn op strategische infrastructuur;</w:t>
      </w:r>
    </w:p>
    <w:p w14:paraId="79FE7649" w14:textId="6476B361" w:rsidR="007B1477" w:rsidRPr="00307E33" w:rsidRDefault="0048515C" w:rsidP="007B1477">
      <w:pPr>
        <w:pStyle w:val="NormalHanging12a"/>
      </w:pPr>
      <w:r w:rsidRPr="00307E33">
        <w:t>20</w:t>
      </w:r>
      <w:r w:rsidR="007B1477" w:rsidRPr="00307E33">
        <w:t>.</w:t>
      </w:r>
      <w:r w:rsidR="007B1477" w:rsidRPr="00307E33">
        <w:tab/>
        <w:t>dringt erop aan dat de bestrijding van drugshandel een prioriteit wordt voor de douaneautoriteit van de Europese Unie en dat de douaneagentschappen over dezelfde instrumenten kunnen beschikken als havenpersoneel;</w:t>
      </w:r>
    </w:p>
    <w:p w14:paraId="03226585" w14:textId="5FF45554" w:rsidR="001659E8" w:rsidRPr="00307E33" w:rsidRDefault="0048515C" w:rsidP="007B1477">
      <w:pPr>
        <w:pStyle w:val="NormalHanging12a"/>
      </w:pPr>
      <w:r w:rsidRPr="00307E33">
        <w:t>21.</w:t>
      </w:r>
      <w:r w:rsidR="001659E8" w:rsidRPr="00307E33">
        <w:tab/>
        <w:t>benadrukt dat toekomstige Europese initiatieven, zoals de Europese havenalliantie en de hervormingen van Europol, Eurojust en het Europees Openbaar Ministerie, moeten bijdragen tot de versterking van de integriteit, transparantie en veerkracht van de Europese havens, onder meer door eerstelijnswerkers beter te beschermen tegen de risico’s van intimidatie en corruptie;</w:t>
      </w:r>
    </w:p>
    <w:p w14:paraId="320CCA61" w14:textId="38CC8C2C" w:rsidR="007B1477" w:rsidRPr="00307E33" w:rsidRDefault="0048515C" w:rsidP="007B1477">
      <w:pPr>
        <w:pStyle w:val="NormalHanging12a"/>
      </w:pPr>
      <w:r w:rsidRPr="00307E33">
        <w:t>22</w:t>
      </w:r>
      <w:r w:rsidR="007B1477" w:rsidRPr="00307E33">
        <w:t>.</w:t>
      </w:r>
      <w:r w:rsidR="007B1477" w:rsidRPr="00307E33">
        <w:tab/>
        <w:t>benadrukt de centrale rol van preventie, onder meer op sociale media en digitale platforms, en dringt aan op een doeltreffende uitvoering van de bestaande EU-regels, met name de digitaledienstenverordening, om onlinerekrutering, het aanzetten tot geweld en de organisatie van criminele activiteiten te voorkomen en na te gaan of het nodig is deze regels aan te passen; verzoekt de lidstaten in hun preventiebeleid duidelijke communicatie op te nemen die consumenten in staat stelt te begrijpen dat zij bijdragen aan de gewelddadige acties van destructieve criminele netwerken;</w:t>
      </w:r>
    </w:p>
    <w:p w14:paraId="2FBCA875" w14:textId="74E23C12" w:rsidR="007B1477" w:rsidRPr="00307E33" w:rsidRDefault="0048515C" w:rsidP="007B1477">
      <w:pPr>
        <w:pStyle w:val="NormalHanging12a"/>
      </w:pPr>
      <w:bookmarkStart w:id="7" w:name="_heading=h.wu2hczxpxd"/>
      <w:bookmarkEnd w:id="7"/>
      <w:r w:rsidRPr="00307E33">
        <w:t>23</w:t>
      </w:r>
      <w:r w:rsidR="007B1477" w:rsidRPr="00307E33">
        <w:t>.</w:t>
      </w:r>
      <w:r w:rsidR="007B1477" w:rsidRPr="00307E33">
        <w:tab/>
        <w:t>benadrukt dat de bescherming van minderjarigen tegen rekrutering door criminele netwerken volledig moet worden geïntegreerd in het drugsbeleid, in overeenstemming met de digitaledienstenverordening en de resolutie van het Europees Parlement over de bescherming van minderjarigen online (2025/2060(INI)</w:t>
      </w:r>
      <w:r w:rsidR="001B1BAA">
        <w:t>)</w:t>
      </w:r>
      <w:r w:rsidR="007B1477" w:rsidRPr="00307E33">
        <w:t xml:space="preserve">, onder meer door </w:t>
      </w:r>
      <w:r w:rsidR="007B1477" w:rsidRPr="00307E33">
        <w:lastRenderedPageBreak/>
        <w:t>samenwerking met digitale platforms, gerichte preventie en vroegtijdige opsporing;</w:t>
      </w:r>
    </w:p>
    <w:p w14:paraId="73975356" w14:textId="60B6CED4" w:rsidR="007B1477" w:rsidRPr="00307E33" w:rsidRDefault="0048515C" w:rsidP="007B1477">
      <w:pPr>
        <w:pStyle w:val="NormalHanging12a"/>
      </w:pPr>
      <w:r w:rsidRPr="00307E33">
        <w:t>24</w:t>
      </w:r>
      <w:r w:rsidR="007B1477" w:rsidRPr="00307E33">
        <w:t>.</w:t>
      </w:r>
      <w:r w:rsidR="007B1477" w:rsidRPr="00307E33">
        <w:tab/>
        <w:t>benadrukt dat het van cruciaal belang is om naast een op veiligheid en rechtshandhaving gerichte aanpak structurele maatregelen te nemen met betrekking tot de sociale, economische en territoriale factoren die de duurzame vestiging van deze criminele activiteiten bevorderen, met name in achtergestelde stadswijken; wijst in dit verband op de essentiële rol van EU-begrotingsinstrumenten, waaronder het Europees Fonds voor regionale ontwikkeling (EFRO), het Cohesiefonds en het Europees Sociaal Fonds Plus (ESF+), bij het ondersteunen van langetermijninvesteringen op het gebied van toegang tot werkgelegenheid, stadsvernieuwing, lokale openbare voorzieningen, onderwijs, preventie en sociale cohesie, waardoor de veerkracht van deze gebieden tegen illegale economieën en de weerstand van gemeenschappen tegen criminele organisaties worden versterkt;</w:t>
      </w:r>
    </w:p>
    <w:p w14:paraId="0F650B59" w14:textId="60297A3F" w:rsidR="007B1477" w:rsidRPr="00307E33" w:rsidRDefault="0048515C" w:rsidP="007B1477">
      <w:pPr>
        <w:pStyle w:val="NormalHanging12a"/>
      </w:pPr>
      <w:r w:rsidRPr="00307E33">
        <w:t>25</w:t>
      </w:r>
      <w:r w:rsidR="007B1477" w:rsidRPr="00307E33">
        <w:t>.</w:t>
      </w:r>
      <w:r w:rsidR="007B1477" w:rsidRPr="00307E33">
        <w:tab/>
        <w:t>uit echter zijn ernstige bezorgdheid over de door de Commissie voorgenomen richtsnoeren voor het meerjarig financieel kader 2028-2034, met name de risico’s van toegenomen hernationalisering van het cohesiebeleid, het samenvoegen van cohesiefondsen met andere instrumenten en het uitsluitend concentreren van financiering op minder ontwikkelde regio’s; waarschuwt dat deze ontwikkelingen kunnen leiden tot schadelijke concurrentie tussen prioriteiten en gebieden, ten koste van de investeringen die nodig zijn in stedelijke probleemgebieden in overgangsregio’s of meer ontwikkelde regio’s, ook al is in deze wijken vaak sprake van acute sociale kwetsbaarheden en sterke blootstelling aan drugshandel;</w:t>
      </w:r>
    </w:p>
    <w:p w14:paraId="3271079C" w14:textId="3243BDEC" w:rsidR="007B1477" w:rsidRPr="00307E33" w:rsidRDefault="0048515C" w:rsidP="007B1477">
      <w:pPr>
        <w:pStyle w:val="NormalHanging12a"/>
      </w:pPr>
      <w:r w:rsidRPr="00307E33">
        <w:t>26</w:t>
      </w:r>
      <w:r w:rsidR="007B1477" w:rsidRPr="00307E33">
        <w:t>.</w:t>
      </w:r>
      <w:r w:rsidR="007B1477" w:rsidRPr="00307E33">
        <w:tab/>
        <w:t>benadrukt dat de recente goedkeuring door de Commissie van de nieuwe EU-agenda voor steden alleen concrete resultaten zal opleveren als deze volledig wordt geïntegreerd in de toekomstige nationale en regionale partnerschapsprogramma’s; dringt er in dit verband op aan dat deze plannen specifieke, identificeerbare en van voldoende middelen voorziene maatregelen voor overheidsinvesteringen in volksbuurten omvatten om te voorkomen dat deze buurten blijvend gemarginaliseerd worden en te verhinderen dat zij worden ingepalmd door criminele netwerken; benadrukt dat moet worden gezorgd voor een plaatsgebonden, geïntegreerde en inclusieve benadering van cohesie, hetgeen onontbeerlijk is om geen enkel gebied aan zijn lot over te laten en om de veiligheid, sociale rechtvaardigheid en cohesie binnen de EU op duurzame wijze te versterken;</w:t>
      </w:r>
    </w:p>
    <w:p w14:paraId="353DC0F1" w14:textId="6BD9C3F3" w:rsidR="007B1477" w:rsidRPr="00307E33" w:rsidRDefault="0048515C" w:rsidP="007B1477">
      <w:pPr>
        <w:pStyle w:val="NormalHanging12a"/>
      </w:pPr>
      <w:r w:rsidRPr="00307E33">
        <w:t>27</w:t>
      </w:r>
      <w:r w:rsidR="007B1477" w:rsidRPr="00307E33">
        <w:t>.</w:t>
      </w:r>
      <w:r w:rsidR="007B1477" w:rsidRPr="00307E33">
        <w:tab/>
        <w:t>herinnert eraan dat het succes van de Italiaanse strategie ter bestrijding van de maffia grotendeels gebaseerd is op het mobiliseren van het maatschappelijk middenveld; dringt daarom aan op de volledige integratie van het maatschappelijk middenveld, en met name gemeenschapsorganisaties, in de strijd tegen de georganiseerde misdaad en de drugshandel;</w:t>
      </w:r>
    </w:p>
    <w:p w14:paraId="1D1FAC27" w14:textId="1C3F2A7B" w:rsidR="007B1477" w:rsidRPr="00307E33" w:rsidRDefault="0048515C" w:rsidP="007B1477">
      <w:pPr>
        <w:pStyle w:val="NormalHanging12a"/>
      </w:pPr>
      <w:r w:rsidRPr="00307E33">
        <w:t>28</w:t>
      </w:r>
      <w:r w:rsidR="007B1477" w:rsidRPr="00307E33">
        <w:t>.</w:t>
      </w:r>
      <w:r w:rsidR="007B1477" w:rsidRPr="00307E33">
        <w:tab/>
        <w:t>benadrukt dat de ervaring en de stem van de families van slachtoffers centraal moeten staan bij de ontwikkeling, uitvoering en evaluatie van het Europees antidrugsbeleid, en dat moet worden erkend dat zij een essentiële rol vervullen bij preventie en de ondersteuning van personen die risico lopen; dringt er daarom op aan dat zij volledig betrokken worden bij de toekomstige acties van de Europese Unie en de lidstaten in de strijd tegen drugshandel;</w:t>
      </w:r>
    </w:p>
    <w:p w14:paraId="631C1C66" w14:textId="3E4D650F" w:rsidR="007B1477" w:rsidRPr="00307E33" w:rsidRDefault="0048515C" w:rsidP="007B1477">
      <w:pPr>
        <w:pStyle w:val="NormalHanging12a"/>
      </w:pPr>
      <w:r w:rsidRPr="00307E33">
        <w:t>29</w:t>
      </w:r>
      <w:r w:rsidR="007B1477" w:rsidRPr="00307E33">
        <w:t>.</w:t>
      </w:r>
      <w:r w:rsidR="007B1477" w:rsidRPr="00307E33">
        <w:tab/>
        <w:t>dringt erop aan dat de bestuursorganen van de drugsstrategie, de comités van betrokken belanghebbenden en de lidstaten vertegenwoordigers van slachtoffers en getroffen families op gestructureerde wijze betrekken bij hun activiteiten;</w:t>
      </w:r>
    </w:p>
    <w:p w14:paraId="487A52CA" w14:textId="3A2AC904" w:rsidR="007B1477" w:rsidRPr="00307E33" w:rsidRDefault="0048515C" w:rsidP="007B1477">
      <w:pPr>
        <w:pStyle w:val="NormalHanging12a"/>
      </w:pPr>
      <w:r w:rsidRPr="00307E33">
        <w:lastRenderedPageBreak/>
        <w:t>30</w:t>
      </w:r>
      <w:r w:rsidR="007B1477" w:rsidRPr="00307E33">
        <w:t>.</w:t>
      </w:r>
      <w:r w:rsidR="007B1477" w:rsidRPr="00307E33">
        <w:tab/>
        <w:t xml:space="preserve">spreekt zijn steun uit voor alle lokale actoren, waaronder </w:t>
      </w:r>
      <w:r w:rsidR="001659E8" w:rsidRPr="00307E33">
        <w:t xml:space="preserve">rechtshandhavers, </w:t>
      </w:r>
      <w:r w:rsidR="007B1477" w:rsidRPr="00307E33">
        <w:t>verenigingen, vormingswerkers, maatschappelijk werkers en lokale overheden; benadrukt het belang van adequate financiële steun van de EU voor deze initiatieven en merkt op dat in dit verband zowel de middelen voor sociale maatregelen als de middelen van het voorstel voor een verordening tot vaststelling van de steun van de Unie voor interne veiligheid voor de periode 2028-2034 (COM(2025)0542) kunnen worden ingezet;</w:t>
      </w:r>
    </w:p>
    <w:p w14:paraId="17C6F224" w14:textId="166E6CC2" w:rsidR="007B1477" w:rsidRPr="00307E33" w:rsidRDefault="0048515C" w:rsidP="007B1477">
      <w:pPr>
        <w:pStyle w:val="NormalHanging12a"/>
      </w:pPr>
      <w:r w:rsidRPr="00307E33">
        <w:t>31</w:t>
      </w:r>
      <w:r w:rsidR="007B1477" w:rsidRPr="00307E33">
        <w:t>.</w:t>
      </w:r>
      <w:r w:rsidR="007B1477" w:rsidRPr="00307E33">
        <w:tab/>
        <w:t>verzoekt de Commissie en de lidstaten een regeling uit te werken voor Europese coördinatie van beste praktijken inzake de bescherming van slachtoffers en getuigen, rekening houdend met de vaak precaire sociale en economische situatie van de betrokken gezinnen;</w:t>
      </w:r>
    </w:p>
    <w:p w14:paraId="464411FD" w14:textId="254EFAD6" w:rsidR="007B1477" w:rsidRPr="00307E33" w:rsidRDefault="0048515C" w:rsidP="007B1477">
      <w:pPr>
        <w:pStyle w:val="NormalHanging12a"/>
      </w:pPr>
      <w:r w:rsidRPr="00307E33">
        <w:t>32</w:t>
      </w:r>
      <w:r w:rsidR="007B1477" w:rsidRPr="00307E33">
        <w:t>.</w:t>
      </w:r>
      <w:r w:rsidR="007B1477" w:rsidRPr="00307E33">
        <w:tab/>
        <w:t>verzoekt de lidstaten de herplaatsing van gezinnen die het slachtoffer zijn van drugshandel en hun toegang tot werk te waarborgen met het oog op hun veiligheid, en verzoekt de Commissie deze dimensie op te nemen in haar huisvestingsplan;</w:t>
      </w:r>
    </w:p>
    <w:p w14:paraId="3C72F89E" w14:textId="61F9AB99" w:rsidR="007B1477" w:rsidRPr="00307E33" w:rsidRDefault="0048515C" w:rsidP="007B1477">
      <w:pPr>
        <w:pStyle w:val="NormalHanging12a"/>
        <w:widowControl/>
      </w:pPr>
      <w:r w:rsidRPr="00307E33">
        <w:t>33</w:t>
      </w:r>
      <w:r w:rsidR="007B1477" w:rsidRPr="00307E33">
        <w:t>.</w:t>
      </w:r>
      <w:r w:rsidR="007B1477" w:rsidRPr="00307E33">
        <w:tab/>
        <w:t>roept de lidstaten op steun te verlenen aan personen die zich uitspreken tegen de georganiseerde misdaad, zoals Amine Kessaci en Roberto Saviano, en hiervan een pijler van de verdediging van de rechtsstaat en de vrijheid van meningsuiting te maken;</w:t>
      </w:r>
    </w:p>
    <w:p w14:paraId="21B899D8" w14:textId="4238EDD7" w:rsidR="00AD051B" w:rsidRPr="00307E33" w:rsidRDefault="0048515C" w:rsidP="00AD051B">
      <w:pPr>
        <w:pStyle w:val="NormalHanging12a"/>
      </w:pPr>
      <w:r w:rsidRPr="00307E33">
        <w:t>34</w:t>
      </w:r>
      <w:r w:rsidR="007B1477" w:rsidRPr="00307E33">
        <w:t>.</w:t>
      </w:r>
      <w:r w:rsidR="007B1477" w:rsidRPr="00307E33">
        <w:tab/>
        <w:t>verzoekt zijn Voorzitter deze resolutie te doen toekomen aan de Raad, de Commissie en de regeringen en parlementen van de lidstaten, alsook aan de betrokken internationale instellingen en organisaties.</w:t>
      </w:r>
    </w:p>
    <w:sectPr w:rsidR="00AD051B" w:rsidRPr="00307E33" w:rsidSect="00AD051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E1058" w14:textId="77777777" w:rsidR="00413A3E" w:rsidRPr="00AD051B" w:rsidRDefault="00413A3E">
      <w:r w:rsidRPr="00AD051B">
        <w:separator/>
      </w:r>
    </w:p>
  </w:endnote>
  <w:endnote w:type="continuationSeparator" w:id="0">
    <w:p w14:paraId="6F3FE5DD" w14:textId="77777777" w:rsidR="00413A3E" w:rsidRPr="00AD051B" w:rsidRDefault="00413A3E">
      <w:r w:rsidRPr="00AD05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A2B0B" w14:textId="77777777" w:rsidR="00413A3E" w:rsidRPr="00AD051B" w:rsidRDefault="00413A3E">
      <w:r w:rsidRPr="00AD051B">
        <w:separator/>
      </w:r>
    </w:p>
  </w:footnote>
  <w:footnote w:type="continuationSeparator" w:id="0">
    <w:p w14:paraId="5F5E5879" w14:textId="77777777" w:rsidR="00413A3E" w:rsidRPr="00AD051B" w:rsidRDefault="00413A3E">
      <w:r w:rsidRPr="00AD051B">
        <w:continuationSeparator/>
      </w:r>
    </w:p>
  </w:footnote>
  <w:footnote w:id="1">
    <w:p w14:paraId="190ED4A5" w14:textId="1A1A6D2E" w:rsidR="007B1477" w:rsidRPr="00AD051B" w:rsidRDefault="007B1477" w:rsidP="00AD051B">
      <w:pPr>
        <w:pStyle w:val="FootnoteText"/>
        <w:ind w:left="567" w:hanging="567"/>
        <w:rPr>
          <w:sz w:val="24"/>
          <w:lang w:val="nl-NL"/>
        </w:rPr>
      </w:pPr>
      <w:r w:rsidRPr="00AD051B">
        <w:rPr>
          <w:rStyle w:val="FootnoteReference"/>
          <w:sz w:val="24"/>
          <w:lang w:val="nl-NL"/>
        </w:rPr>
        <w:footnoteRef/>
      </w:r>
      <w:r w:rsidR="00AD051B" w:rsidRPr="00AD051B">
        <w:rPr>
          <w:sz w:val="24"/>
          <w:lang w:val="nl-NL"/>
        </w:rPr>
        <w:t xml:space="preserve"> </w:t>
      </w:r>
      <w:r w:rsidR="00AD051B" w:rsidRPr="00AD051B">
        <w:rPr>
          <w:sz w:val="24"/>
          <w:lang w:val="nl-NL"/>
        </w:rPr>
        <w:tab/>
      </w:r>
      <w:r w:rsidRPr="00AD051B">
        <w:rPr>
          <w:sz w:val="24"/>
          <w:lang w:val="nl-NL"/>
        </w:rPr>
        <w:t>PB L 315 van 14.11.2012, blz. 57, ELI: </w:t>
      </w:r>
      <w:hyperlink r:id="rId1" w:tooltip="Geeft toegang tot dit document via de ELI-URI." w:history="1">
        <w:r w:rsidRPr="00AD051B">
          <w:rPr>
            <w:rStyle w:val="Hyperlink"/>
            <w:sz w:val="24"/>
            <w:lang w:val="nl-NL"/>
          </w:rPr>
          <w:t>http://data.europa.eu/eli/dir/2012/29/oj</w:t>
        </w:r>
      </w:hyperlink>
      <w:r w:rsidRPr="00AD051B">
        <w:rPr>
          <w:sz w:val="24"/>
          <w:lang w:val="nl-NL"/>
        </w:rPr>
        <w:t>.</w:t>
      </w:r>
    </w:p>
  </w:footnote>
  <w:footnote w:id="2">
    <w:p w14:paraId="69007131" w14:textId="2D6556D6" w:rsidR="007B1477" w:rsidRPr="00AD051B" w:rsidRDefault="007B1477" w:rsidP="00AD051B">
      <w:pPr>
        <w:pStyle w:val="FootnoteText"/>
        <w:ind w:left="567" w:hanging="567"/>
        <w:rPr>
          <w:sz w:val="24"/>
          <w:lang w:val="nl-NL"/>
        </w:rPr>
      </w:pPr>
      <w:r w:rsidRPr="00AD051B">
        <w:rPr>
          <w:rStyle w:val="FootnoteReference"/>
          <w:sz w:val="24"/>
          <w:lang w:val="nl-NL"/>
        </w:rPr>
        <w:footnoteRef/>
      </w:r>
      <w:r w:rsidR="00AD051B" w:rsidRPr="00AD051B">
        <w:rPr>
          <w:sz w:val="24"/>
          <w:lang w:val="nl-NL"/>
        </w:rPr>
        <w:t xml:space="preserve"> </w:t>
      </w:r>
      <w:r w:rsidR="00AD051B" w:rsidRPr="00AD051B">
        <w:rPr>
          <w:sz w:val="24"/>
          <w:lang w:val="nl-NL"/>
        </w:rPr>
        <w:tab/>
      </w:r>
      <w:r w:rsidRPr="00AD051B">
        <w:rPr>
          <w:sz w:val="24"/>
          <w:lang w:val="nl-NL"/>
        </w:rPr>
        <w:t>PB C 65 van 19.2.2016, blz. 16.</w:t>
      </w:r>
    </w:p>
  </w:footnote>
  <w:footnote w:id="3">
    <w:p w14:paraId="510347EE" w14:textId="41F27DFF" w:rsidR="007B1477" w:rsidRPr="000A6209" w:rsidRDefault="007B1477" w:rsidP="00AD051B">
      <w:pPr>
        <w:pStyle w:val="FootnoteText"/>
        <w:ind w:left="567" w:hanging="567"/>
        <w:rPr>
          <w:sz w:val="24"/>
          <w:lang w:val="nl-NL"/>
        </w:rPr>
      </w:pPr>
      <w:r w:rsidRPr="00AD051B">
        <w:rPr>
          <w:rStyle w:val="FootnoteReference"/>
          <w:sz w:val="24"/>
          <w:lang w:val="nl-NL"/>
        </w:rPr>
        <w:footnoteRef/>
      </w:r>
      <w:r w:rsidR="00AD051B" w:rsidRPr="000A6209">
        <w:rPr>
          <w:sz w:val="24"/>
          <w:lang w:val="nl-NL"/>
        </w:rPr>
        <w:t xml:space="preserve"> </w:t>
      </w:r>
      <w:r w:rsidR="00AD051B" w:rsidRPr="000A6209">
        <w:rPr>
          <w:sz w:val="24"/>
          <w:lang w:val="nl-NL"/>
        </w:rPr>
        <w:tab/>
      </w:r>
      <w:r w:rsidRPr="000A6209">
        <w:rPr>
          <w:sz w:val="24"/>
          <w:lang w:val="nl-NL"/>
        </w:rPr>
        <w:t>PB L, 2024/1624, 19.6.2024, ELI: </w:t>
      </w:r>
      <w:hyperlink r:id="rId2" w:tgtFrame="_blank" w:tooltip="Geeft toegang tot dit document via de ELI‑URI." w:history="1">
        <w:r w:rsidRPr="000A6209">
          <w:rPr>
            <w:rStyle w:val="Hyperlink"/>
            <w:sz w:val="24"/>
            <w:lang w:val="nl-NL"/>
          </w:rPr>
          <w:t>http://data.europa.eu/eli/reg/2024/1624/oj</w:t>
        </w:r>
      </w:hyperlink>
      <w:r w:rsidRPr="000A6209">
        <w:rPr>
          <w:sz w:val="24"/>
          <w:lang w:val="nl-NL"/>
        </w:rPr>
        <w:t>.</w:t>
      </w:r>
    </w:p>
  </w:footnote>
  <w:footnote w:id="4">
    <w:p w14:paraId="05EB5B38" w14:textId="22B323BE" w:rsidR="007B1477" w:rsidRPr="000A6209" w:rsidRDefault="007B1477" w:rsidP="00AD051B">
      <w:pPr>
        <w:pStyle w:val="FootnoteText"/>
        <w:ind w:left="567" w:hanging="567"/>
        <w:rPr>
          <w:sz w:val="24"/>
          <w:lang w:val="da-DK"/>
        </w:rPr>
      </w:pPr>
      <w:r w:rsidRPr="00AD051B">
        <w:rPr>
          <w:rStyle w:val="FootnoteReference"/>
          <w:sz w:val="24"/>
          <w:lang w:val="nl-NL"/>
        </w:rPr>
        <w:footnoteRef/>
      </w:r>
      <w:r w:rsidR="00AD051B" w:rsidRPr="000A6209">
        <w:rPr>
          <w:sz w:val="24"/>
          <w:lang w:val="da-DK"/>
        </w:rPr>
        <w:t xml:space="preserve"> </w:t>
      </w:r>
      <w:r w:rsidR="00AD051B" w:rsidRPr="000A6209">
        <w:rPr>
          <w:sz w:val="24"/>
          <w:lang w:val="da-DK"/>
        </w:rPr>
        <w:tab/>
      </w:r>
      <w:r w:rsidRPr="000A6209">
        <w:rPr>
          <w:sz w:val="24"/>
          <w:lang w:val="da-DK"/>
        </w:rPr>
        <w:t>PB L, 2024/1640, 19.6.2024, ELI: </w:t>
      </w:r>
      <w:hyperlink r:id="rId3" w:tgtFrame="_blank" w:tooltip="Geeft toegang tot dit document via de ELI‑URI." w:history="1">
        <w:r w:rsidRPr="000A6209">
          <w:rPr>
            <w:rStyle w:val="Hyperlink"/>
            <w:sz w:val="24"/>
            <w:lang w:val="da-DK"/>
          </w:rPr>
          <w:t>http://data.europa.eu/eli/dir/2024/1640/oj</w:t>
        </w:r>
      </w:hyperlink>
      <w:r w:rsidRPr="000A6209">
        <w:rPr>
          <w:sz w:val="24"/>
          <w:lang w:val="da-DK"/>
        </w:rPr>
        <w:t>.</w:t>
      </w:r>
    </w:p>
  </w:footnote>
  <w:footnote w:id="5">
    <w:p w14:paraId="31171A15" w14:textId="35CC2CA0" w:rsidR="007B1477" w:rsidRPr="000A6209" w:rsidRDefault="007B1477" w:rsidP="00AD051B">
      <w:pPr>
        <w:pStyle w:val="FootnoteText"/>
        <w:ind w:left="567" w:hanging="567"/>
        <w:rPr>
          <w:sz w:val="24"/>
          <w:lang w:val="da-DK"/>
        </w:rPr>
      </w:pPr>
      <w:r w:rsidRPr="00AD051B">
        <w:rPr>
          <w:rStyle w:val="FootnoteReference"/>
          <w:sz w:val="24"/>
          <w:lang w:val="nl-NL"/>
        </w:rPr>
        <w:footnoteRef/>
      </w:r>
      <w:r w:rsidR="00AD051B" w:rsidRPr="000A6209">
        <w:rPr>
          <w:sz w:val="24"/>
          <w:lang w:val="da-DK"/>
        </w:rPr>
        <w:t xml:space="preserve"> </w:t>
      </w:r>
      <w:r w:rsidR="00AD051B" w:rsidRPr="000A6209">
        <w:rPr>
          <w:sz w:val="24"/>
          <w:lang w:val="da-DK"/>
        </w:rPr>
        <w:tab/>
      </w:r>
      <w:r w:rsidRPr="000A6209">
        <w:rPr>
          <w:sz w:val="24"/>
          <w:lang w:val="da-DK"/>
        </w:rPr>
        <w:t>PB L, 2024/1712, 24.6.2024, ELI: </w:t>
      </w:r>
      <w:hyperlink r:id="rId4" w:tgtFrame="_blank" w:tooltip="Geeft toegang tot dit document via de ELI‑URI." w:history="1">
        <w:r w:rsidRPr="000A6209">
          <w:rPr>
            <w:rStyle w:val="Hyperlink"/>
            <w:sz w:val="24"/>
            <w:lang w:val="da-DK"/>
          </w:rPr>
          <w:t>http://data.europa.eu/eli/dir/2024/1712/oj</w:t>
        </w:r>
      </w:hyperlink>
      <w:r w:rsidRPr="000A6209">
        <w:rPr>
          <w:sz w:val="24"/>
          <w:lang w:val="da-DK"/>
        </w:rPr>
        <w:t>.</w:t>
      </w:r>
    </w:p>
  </w:footnote>
  <w:footnote w:id="6">
    <w:p w14:paraId="4E633AE5" w14:textId="0994FB12" w:rsidR="001659E8" w:rsidRPr="000A6209" w:rsidRDefault="001659E8" w:rsidP="000A6209">
      <w:pPr>
        <w:pStyle w:val="FootnoteText"/>
        <w:ind w:left="567" w:hanging="567"/>
        <w:rPr>
          <w:sz w:val="24"/>
          <w:szCs w:val="24"/>
          <w:lang w:val="nl-NL"/>
        </w:rPr>
      </w:pPr>
      <w:r w:rsidRPr="000A6209">
        <w:rPr>
          <w:rStyle w:val="FootnoteReference"/>
          <w:sz w:val="24"/>
          <w:szCs w:val="24"/>
        </w:rPr>
        <w:footnoteRef/>
      </w:r>
      <w:r w:rsidRPr="000A6209">
        <w:rPr>
          <w:sz w:val="24"/>
          <w:szCs w:val="24"/>
          <w:lang w:val="nl-NL"/>
        </w:rPr>
        <w:t xml:space="preserve"> </w:t>
      </w:r>
      <w:r w:rsidRPr="000A6209">
        <w:rPr>
          <w:sz w:val="24"/>
          <w:szCs w:val="24"/>
          <w:lang w:val="nl-NL"/>
        </w:rPr>
        <w:tab/>
        <w:t xml:space="preserve">Richtlijn 2006/126/EG van het Europees Parlement en de Raad van 20 december 2006 betreffende het rijbewijs (PB L 403 van 30.12.2006, blz. 18, ELI: </w:t>
      </w:r>
      <w:hyperlink r:id="rId5" w:history="1">
        <w:r w:rsidRPr="000A6209">
          <w:rPr>
            <w:rStyle w:val="Hyperlink"/>
            <w:sz w:val="24"/>
            <w:szCs w:val="24"/>
            <w:lang w:val="nl-NL"/>
          </w:rPr>
          <w:t>http://data.europa.eu/eli/dir/2006/126/oj</w:t>
        </w:r>
      </w:hyperlink>
      <w:r w:rsidRPr="000A6209">
        <w:rPr>
          <w:sz w:val="24"/>
          <w:szCs w:val="24"/>
          <w:lang w:val="nl-NL"/>
        </w:rPr>
        <w:t>).</w:t>
      </w:r>
    </w:p>
  </w:footnote>
  <w:footnote w:id="7">
    <w:p w14:paraId="5E506DF2" w14:textId="3AA6BFD0" w:rsidR="007B1477" w:rsidRPr="000A6209" w:rsidRDefault="007B1477" w:rsidP="00AD051B">
      <w:pPr>
        <w:pStyle w:val="FootnoteText"/>
        <w:ind w:left="567" w:hanging="567"/>
        <w:rPr>
          <w:sz w:val="24"/>
          <w:lang w:val="da-DK"/>
        </w:rPr>
      </w:pPr>
      <w:r w:rsidRPr="00AD051B">
        <w:rPr>
          <w:rStyle w:val="FootnoteReference"/>
          <w:sz w:val="24"/>
          <w:lang w:val="nl-NL"/>
        </w:rPr>
        <w:footnoteRef/>
      </w:r>
      <w:r w:rsidR="00AD051B" w:rsidRPr="000A6209">
        <w:rPr>
          <w:sz w:val="24"/>
          <w:lang w:val="da-DK"/>
        </w:rPr>
        <w:t xml:space="preserve"> </w:t>
      </w:r>
      <w:r w:rsidR="00AD051B" w:rsidRPr="000A6209">
        <w:rPr>
          <w:sz w:val="24"/>
          <w:lang w:val="da-DK"/>
        </w:rPr>
        <w:tab/>
      </w:r>
      <w:r w:rsidRPr="000A6209">
        <w:rPr>
          <w:sz w:val="24"/>
          <w:lang w:val="da-DK"/>
        </w:rPr>
        <w:t>PB L, 2024/1260, 2.5.2024, ELI: </w:t>
      </w:r>
      <w:hyperlink r:id="rId6" w:tgtFrame="_blank" w:tooltip="Geeft toegang tot dit document via de ELI‑URI." w:history="1">
        <w:r w:rsidRPr="000A6209">
          <w:rPr>
            <w:rStyle w:val="Hyperlink"/>
            <w:sz w:val="24"/>
            <w:lang w:val="da-DK"/>
          </w:rPr>
          <w:t>http://data.europa.eu/eli/dir/2024/1260/oj</w:t>
        </w:r>
      </w:hyperlink>
      <w:r w:rsidRPr="000A6209">
        <w:rPr>
          <w:sz w:val="24"/>
          <w:lang w:val="da-DK"/>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10840">
    <w:abstractNumId w:val="9"/>
  </w:num>
  <w:num w:numId="2" w16cid:durableId="495539883">
    <w:abstractNumId w:val="9"/>
  </w:num>
  <w:num w:numId="3" w16cid:durableId="1987318036">
    <w:abstractNumId w:val="7"/>
  </w:num>
  <w:num w:numId="4" w16cid:durableId="293755137">
    <w:abstractNumId w:val="7"/>
  </w:num>
  <w:num w:numId="5" w16cid:durableId="139998843">
    <w:abstractNumId w:val="6"/>
  </w:num>
  <w:num w:numId="6" w16cid:durableId="970751913">
    <w:abstractNumId w:val="6"/>
  </w:num>
  <w:num w:numId="7" w16cid:durableId="717046355">
    <w:abstractNumId w:val="5"/>
  </w:num>
  <w:num w:numId="8" w16cid:durableId="160318570">
    <w:abstractNumId w:val="5"/>
  </w:num>
  <w:num w:numId="9" w16cid:durableId="288168458">
    <w:abstractNumId w:val="4"/>
  </w:num>
  <w:num w:numId="10" w16cid:durableId="1369375809">
    <w:abstractNumId w:val="4"/>
  </w:num>
  <w:num w:numId="11" w16cid:durableId="2088728151">
    <w:abstractNumId w:val="8"/>
  </w:num>
  <w:num w:numId="12" w16cid:durableId="1234463111">
    <w:abstractNumId w:val="8"/>
  </w:num>
  <w:num w:numId="13" w16cid:durableId="2136945601">
    <w:abstractNumId w:val="3"/>
  </w:num>
  <w:num w:numId="14" w16cid:durableId="935331708">
    <w:abstractNumId w:val="3"/>
  </w:num>
  <w:num w:numId="15" w16cid:durableId="1935935032">
    <w:abstractNumId w:val="2"/>
  </w:num>
  <w:num w:numId="16" w16cid:durableId="1601983208">
    <w:abstractNumId w:val="2"/>
  </w:num>
  <w:num w:numId="17" w16cid:durableId="1476874612">
    <w:abstractNumId w:val="1"/>
  </w:num>
  <w:num w:numId="18" w16cid:durableId="257837033">
    <w:abstractNumId w:val="1"/>
  </w:num>
  <w:num w:numId="19" w16cid:durableId="833836376">
    <w:abstractNumId w:val="0"/>
  </w:num>
  <w:num w:numId="20" w16cid:durableId="703751981">
    <w:abstractNumId w:val="0"/>
  </w:num>
  <w:num w:numId="21" w16cid:durableId="1734280475">
    <w:abstractNumId w:val="9"/>
  </w:num>
  <w:num w:numId="22" w16cid:durableId="2133473697">
    <w:abstractNumId w:val="7"/>
  </w:num>
  <w:num w:numId="23" w16cid:durableId="155386844">
    <w:abstractNumId w:val="6"/>
  </w:num>
  <w:num w:numId="24" w16cid:durableId="1323388584">
    <w:abstractNumId w:val="5"/>
  </w:num>
  <w:num w:numId="25" w16cid:durableId="528838603">
    <w:abstractNumId w:val="4"/>
  </w:num>
  <w:num w:numId="26" w16cid:durableId="2146199242">
    <w:abstractNumId w:val="8"/>
  </w:num>
  <w:num w:numId="27" w16cid:durableId="481387851">
    <w:abstractNumId w:val="3"/>
  </w:num>
  <w:num w:numId="28" w16cid:durableId="1625498583">
    <w:abstractNumId w:val="2"/>
  </w:num>
  <w:num w:numId="29" w16cid:durableId="464467860">
    <w:abstractNumId w:val="1"/>
  </w:num>
  <w:num w:numId="30" w16cid:durableId="318702563">
    <w:abstractNumId w:val="0"/>
  </w:num>
  <w:num w:numId="31" w16cid:durableId="646319589">
    <w:abstractNumId w:val="9"/>
  </w:num>
  <w:num w:numId="32" w16cid:durableId="1633243646">
    <w:abstractNumId w:val="7"/>
  </w:num>
  <w:num w:numId="33" w16cid:durableId="1974870430">
    <w:abstractNumId w:val="6"/>
  </w:num>
  <w:num w:numId="34" w16cid:durableId="327683984">
    <w:abstractNumId w:val="5"/>
  </w:num>
  <w:num w:numId="35" w16cid:durableId="1773360952">
    <w:abstractNumId w:val="4"/>
  </w:num>
  <w:num w:numId="36" w16cid:durableId="2062291705">
    <w:abstractNumId w:val="8"/>
  </w:num>
  <w:num w:numId="37" w16cid:durableId="1106850289">
    <w:abstractNumId w:val="3"/>
  </w:num>
  <w:num w:numId="38" w16cid:durableId="1996567805">
    <w:abstractNumId w:val="2"/>
  </w:num>
  <w:num w:numId="39" w16cid:durableId="1662611881">
    <w:abstractNumId w:val="1"/>
  </w:num>
  <w:num w:numId="40" w16cid:durableId="1950308402">
    <w:abstractNumId w:val="0"/>
  </w:num>
  <w:num w:numId="41" w16cid:durableId="1183275887">
    <w:abstractNumId w:val="10"/>
  </w:num>
  <w:num w:numId="42" w16cid:durableId="596597158">
    <w:abstractNumId w:val="10"/>
  </w:num>
  <w:num w:numId="43" w16cid:durableId="1679771834">
    <w:abstractNumId w:val="10"/>
  </w:num>
  <w:num w:numId="44" w16cid:durableId="17742792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NL"/>
    <w:docVar w:name="dvnumam" w:val="0"/>
    <w:docVar w:name="dvpe" w:val="782.012"/>
    <w:docVar w:name="dvtitre" w:val="Resolutie van het Europees Parlement van xx xxxx 2026 over de moord op Mehdi Kessaci: Europa moet dringend ambitieuze maatregelen tegen drugshandel nemen(2025/3020(RSP))"/>
  </w:docVars>
  <w:rsids>
    <w:rsidRoot w:val="00413A3E"/>
    <w:rsid w:val="00002272"/>
    <w:rsid w:val="00064002"/>
    <w:rsid w:val="000677B9"/>
    <w:rsid w:val="000769F3"/>
    <w:rsid w:val="000831BA"/>
    <w:rsid w:val="000A42CC"/>
    <w:rsid w:val="000A6209"/>
    <w:rsid w:val="000E7DD9"/>
    <w:rsid w:val="0010095E"/>
    <w:rsid w:val="00125B37"/>
    <w:rsid w:val="001659E8"/>
    <w:rsid w:val="00187494"/>
    <w:rsid w:val="001B1BAA"/>
    <w:rsid w:val="001F32AE"/>
    <w:rsid w:val="002767FF"/>
    <w:rsid w:val="002B18FE"/>
    <w:rsid w:val="002B5493"/>
    <w:rsid w:val="00307E33"/>
    <w:rsid w:val="00343214"/>
    <w:rsid w:val="00361C00"/>
    <w:rsid w:val="00395FA1"/>
    <w:rsid w:val="003E15D4"/>
    <w:rsid w:val="00411CCE"/>
    <w:rsid w:val="0041264D"/>
    <w:rsid w:val="00413A3E"/>
    <w:rsid w:val="0041666E"/>
    <w:rsid w:val="00421060"/>
    <w:rsid w:val="00471C19"/>
    <w:rsid w:val="0048515C"/>
    <w:rsid w:val="004867E3"/>
    <w:rsid w:val="00494A28"/>
    <w:rsid w:val="004B01CA"/>
    <w:rsid w:val="004C0004"/>
    <w:rsid w:val="004C5D52"/>
    <w:rsid w:val="0050519A"/>
    <w:rsid w:val="005072A1"/>
    <w:rsid w:val="00514517"/>
    <w:rsid w:val="00545827"/>
    <w:rsid w:val="00560270"/>
    <w:rsid w:val="005C2568"/>
    <w:rsid w:val="005F1B17"/>
    <w:rsid w:val="006037C0"/>
    <w:rsid w:val="0062777C"/>
    <w:rsid w:val="006631B6"/>
    <w:rsid w:val="00677A0F"/>
    <w:rsid w:val="00680577"/>
    <w:rsid w:val="006F74FA"/>
    <w:rsid w:val="00731ADD"/>
    <w:rsid w:val="00734777"/>
    <w:rsid w:val="00747932"/>
    <w:rsid w:val="00751A4A"/>
    <w:rsid w:val="00756632"/>
    <w:rsid w:val="00762C74"/>
    <w:rsid w:val="00786EC0"/>
    <w:rsid w:val="007B147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409"/>
    <w:rsid w:val="00AB441E"/>
    <w:rsid w:val="00AB6293"/>
    <w:rsid w:val="00AD051B"/>
    <w:rsid w:val="00AE0928"/>
    <w:rsid w:val="00AE6C31"/>
    <w:rsid w:val="00AF3B82"/>
    <w:rsid w:val="00B12E95"/>
    <w:rsid w:val="00B22876"/>
    <w:rsid w:val="00B47A08"/>
    <w:rsid w:val="00B558F0"/>
    <w:rsid w:val="00BD48FE"/>
    <w:rsid w:val="00BD7BD8"/>
    <w:rsid w:val="00BE6ADC"/>
    <w:rsid w:val="00C05BFE"/>
    <w:rsid w:val="00C23CD4"/>
    <w:rsid w:val="00C61C0C"/>
    <w:rsid w:val="00C941CB"/>
    <w:rsid w:val="00CC2357"/>
    <w:rsid w:val="00CF071A"/>
    <w:rsid w:val="00D058B8"/>
    <w:rsid w:val="00D54BC9"/>
    <w:rsid w:val="00D56C11"/>
    <w:rsid w:val="00D834A0"/>
    <w:rsid w:val="00D872DF"/>
    <w:rsid w:val="00D91E21"/>
    <w:rsid w:val="00DA7FCD"/>
    <w:rsid w:val="00DF6F9D"/>
    <w:rsid w:val="00E06519"/>
    <w:rsid w:val="00E365E1"/>
    <w:rsid w:val="00E74D5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40BFB"/>
  <w15:chartTrackingRefBased/>
  <w15:docId w15:val="{514FEB67-457F-45F0-AF1F-C20DEEA4C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1477"/>
    <w:pPr>
      <w:spacing w:before="480" w:after="240"/>
    </w:pPr>
  </w:style>
  <w:style w:type="paragraph" w:customStyle="1" w:styleId="NormalHanging12a">
    <w:name w:val="NormalHanging12a"/>
    <w:basedOn w:val="Normal"/>
    <w:rsid w:val="007B1477"/>
    <w:pPr>
      <w:spacing w:after="240"/>
      <w:ind w:left="567" w:hanging="567"/>
    </w:pPr>
  </w:style>
  <w:style w:type="character" w:styleId="Hyperlink">
    <w:name w:val="Hyperlink"/>
    <w:basedOn w:val="DefaultParagraphFont"/>
    <w:uiPriority w:val="99"/>
    <w:unhideWhenUsed/>
    <w:rsid w:val="007B1477"/>
    <w:rPr>
      <w:color w:val="0563C1" w:themeColor="hyperlink"/>
      <w:u w:val="single"/>
    </w:rPr>
  </w:style>
  <w:style w:type="character" w:styleId="CommentReference">
    <w:name w:val="annotation reference"/>
    <w:basedOn w:val="DefaultParagraphFont"/>
    <w:rsid w:val="00AE6C31"/>
    <w:rPr>
      <w:sz w:val="16"/>
      <w:szCs w:val="16"/>
    </w:rPr>
  </w:style>
  <w:style w:type="paragraph" w:styleId="CommentText">
    <w:name w:val="annotation text"/>
    <w:basedOn w:val="Normal"/>
    <w:link w:val="CommentTextChar"/>
    <w:rsid w:val="00AE6C31"/>
    <w:rPr>
      <w:sz w:val="20"/>
    </w:rPr>
  </w:style>
  <w:style w:type="character" w:customStyle="1" w:styleId="CommentTextChar">
    <w:name w:val="Comment Text Char"/>
    <w:basedOn w:val="DefaultParagraphFont"/>
    <w:link w:val="CommentText"/>
    <w:rsid w:val="00AE6C31"/>
    <w:rPr>
      <w:lang w:val="nl-NL"/>
    </w:rPr>
  </w:style>
  <w:style w:type="paragraph" w:styleId="CommentSubject">
    <w:name w:val="annotation subject"/>
    <w:basedOn w:val="CommentText"/>
    <w:next w:val="CommentText"/>
    <w:link w:val="CommentSubjectChar"/>
    <w:rsid w:val="00AE6C31"/>
    <w:rPr>
      <w:b/>
      <w:bCs/>
    </w:rPr>
  </w:style>
  <w:style w:type="character" w:customStyle="1" w:styleId="CommentSubjectChar">
    <w:name w:val="Comment Subject Char"/>
    <w:basedOn w:val="CommentTextChar"/>
    <w:link w:val="CommentSubject"/>
    <w:rsid w:val="00AE6C31"/>
    <w:rPr>
      <w:b/>
      <w:bCs/>
      <w:lang w:val="nl-NL"/>
    </w:rPr>
  </w:style>
  <w:style w:type="paragraph" w:styleId="Revision">
    <w:name w:val="Revision"/>
    <w:hidden/>
    <w:uiPriority w:val="99"/>
    <w:semiHidden/>
    <w:rsid w:val="00E06519"/>
    <w:rPr>
      <w:sz w:val="24"/>
      <w:lang w:val="nl-NL"/>
    </w:rPr>
  </w:style>
  <w:style w:type="character" w:styleId="UnresolvedMention">
    <w:name w:val="Unresolved Mention"/>
    <w:basedOn w:val="DefaultParagraphFont"/>
    <w:uiPriority w:val="99"/>
    <w:semiHidden/>
    <w:unhideWhenUsed/>
    <w:rsid w:val="00165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4143</Words>
  <Characters>25008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UYTTEBROEK Kester</cp:lastModifiedBy>
  <cp:revision>2</cp:revision>
  <cp:lastPrinted>2004-11-19T15:42:00Z</cp:lastPrinted>
  <dcterms:created xsi:type="dcterms:W3CDTF">2026-03-02T14:34:00Z</dcterms:created>
  <dcterms:modified xsi:type="dcterms:W3CDTF">2026-03-02T14:34:00Z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B10-0057/2026</vt:lpwstr>
  </property>
  <property fmtid="{D5CDD505-2E9C-101B-9397-08002B2CF9AE}" pid="4" name="&lt;Type&gt;">
    <vt:lpwstr>RR</vt:lpwstr>
  </property>
  <property fmtid="{D5CDD505-2E9C-101B-9397-08002B2CF9AE}" pid="5" name="&lt;Model&gt;">
    <vt:lpwstr/>
  </property>
</Properties>
</file>