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0BBF" w14:paraId="4A0AF2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44A2E7" w14:textId="77777777" w:rsidR="00751A4A" w:rsidRPr="00E30BBF" w:rsidRDefault="00A978A7" w:rsidP="0010095E">
            <w:pPr>
              <w:pStyle w:val="EPName"/>
            </w:pPr>
            <w:r w:rsidRPr="00E30BBF">
              <w:t>Parlamento Europeu</w:t>
            </w:r>
          </w:p>
          <w:p w14:paraId="2D2A5CA0" w14:textId="77777777" w:rsidR="00751A4A" w:rsidRPr="00E30B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0BBF">
              <w:t>2024</w:t>
            </w:r>
            <w:r w:rsidR="00817416" w:rsidRPr="00E30BBF">
              <w:t>-202</w:t>
            </w:r>
            <w:r w:rsidRPr="00E30BBF">
              <w:t>9</w:t>
            </w:r>
          </w:p>
        </w:tc>
        <w:tc>
          <w:tcPr>
            <w:tcW w:w="2268" w:type="dxa"/>
            <w:shd w:val="clear" w:color="auto" w:fill="auto"/>
          </w:tcPr>
          <w:p w14:paraId="4D301E65" w14:textId="77777777" w:rsidR="00751A4A" w:rsidRPr="00E30BBF" w:rsidRDefault="00187494" w:rsidP="0010095E">
            <w:pPr>
              <w:pStyle w:val="EPLogo"/>
            </w:pPr>
            <w:r w:rsidRPr="00E30BBF">
              <w:rPr>
                <w:noProof/>
                <w:lang w:eastAsia="ja-JP"/>
              </w:rPr>
              <w:drawing>
                <wp:inline distT="0" distB="0" distL="0" distR="0" wp14:anchorId="1DE803C8" wp14:editId="68E5D9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FD1CB" w14:textId="77777777" w:rsidR="00D058B8" w:rsidRPr="00E30BBF" w:rsidRDefault="00D058B8" w:rsidP="004C5D52">
      <w:pPr>
        <w:pStyle w:val="LineTop"/>
      </w:pPr>
    </w:p>
    <w:p w14:paraId="11201897" w14:textId="77777777" w:rsidR="00680577" w:rsidRPr="00E30BBF" w:rsidRDefault="00A978A7" w:rsidP="00680577">
      <w:pPr>
        <w:pStyle w:val="EPBodyTA1"/>
      </w:pPr>
      <w:r w:rsidRPr="00E30BBF">
        <w:t>TEXTOS APROVADOS</w:t>
      </w:r>
    </w:p>
    <w:p w14:paraId="175C030B" w14:textId="77777777" w:rsidR="00D058B8" w:rsidRPr="00E30BBF" w:rsidRDefault="00D058B8" w:rsidP="00D058B8">
      <w:pPr>
        <w:pStyle w:val="LineBottom"/>
      </w:pPr>
    </w:p>
    <w:p w14:paraId="3FED7A96" w14:textId="38E0C9D8" w:rsidR="00A978A7" w:rsidRPr="00E30BBF" w:rsidRDefault="00A978A7" w:rsidP="00A978A7">
      <w:pPr>
        <w:pStyle w:val="ATHeading1"/>
      </w:pPr>
      <w:bookmarkStart w:id="0" w:name="TANumber"/>
      <w:r w:rsidRPr="00E30BBF">
        <w:t>P10_TA(2026)</w:t>
      </w:r>
      <w:bookmarkEnd w:id="0"/>
      <w:r w:rsidR="00E1696E" w:rsidRPr="00E30BBF">
        <w:t>0007</w:t>
      </w:r>
    </w:p>
    <w:p w14:paraId="1484B22C" w14:textId="77777777" w:rsidR="00A978A7" w:rsidRPr="00E30BBF" w:rsidRDefault="00A978A7" w:rsidP="00A978A7">
      <w:pPr>
        <w:pStyle w:val="ATHeading2"/>
      </w:pPr>
      <w:bookmarkStart w:id="1" w:name="title"/>
      <w:r w:rsidRPr="00E30BBF">
        <w:t xml:space="preserve">Assassinato de </w:t>
      </w:r>
      <w:proofErr w:type="spellStart"/>
      <w:r w:rsidRPr="00E30BBF">
        <w:t>Mehdi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>: necessidade urgente de uma ação ambiciosa a nível europeu contra o tráfico de droga</w:t>
      </w:r>
      <w:bookmarkEnd w:id="1"/>
    </w:p>
    <w:p w14:paraId="41B4081E" w14:textId="77777777" w:rsidR="00A978A7" w:rsidRPr="00E30BBF" w:rsidRDefault="00A978A7" w:rsidP="00A978A7">
      <w:pPr>
        <w:rPr>
          <w:i/>
          <w:vanish/>
        </w:rPr>
      </w:pPr>
      <w:r w:rsidRPr="00E30BBF">
        <w:rPr>
          <w:i/>
        </w:rPr>
        <w:fldChar w:fldCharType="begin"/>
      </w:r>
      <w:r w:rsidRPr="00E30BBF">
        <w:rPr>
          <w:i/>
        </w:rPr>
        <w:instrText xml:space="preserve"> TC"(</w:instrText>
      </w:r>
      <w:bookmarkStart w:id="2" w:name="DocNumber"/>
      <w:r w:rsidRPr="00E30BBF">
        <w:rPr>
          <w:i/>
        </w:rPr>
        <w:instrText>B10-0057/2026</w:instrText>
      </w:r>
      <w:bookmarkEnd w:id="2"/>
      <w:r w:rsidRPr="00E30BBF">
        <w:rPr>
          <w:i/>
        </w:rPr>
        <w:instrText xml:space="preserve">)"\l3 \n&gt; \* MERGEFORMAT </w:instrText>
      </w:r>
      <w:r w:rsidRPr="00E30BBF">
        <w:rPr>
          <w:i/>
        </w:rPr>
        <w:fldChar w:fldCharType="end"/>
      </w:r>
    </w:p>
    <w:p w14:paraId="32A84157" w14:textId="77777777" w:rsidR="00A978A7" w:rsidRPr="00E30BBF" w:rsidRDefault="00A978A7" w:rsidP="00A978A7">
      <w:pPr>
        <w:rPr>
          <w:vanish/>
        </w:rPr>
      </w:pPr>
      <w:bookmarkStart w:id="3" w:name="PE"/>
      <w:r w:rsidRPr="00E30BBF">
        <w:rPr>
          <w:vanish/>
        </w:rPr>
        <w:t>PE782.012</w:t>
      </w:r>
      <w:bookmarkEnd w:id="3"/>
    </w:p>
    <w:p w14:paraId="43F13965" w14:textId="4587C80F" w:rsidR="00A978A7" w:rsidRPr="00E30BBF" w:rsidRDefault="00A978A7" w:rsidP="00A978A7">
      <w:pPr>
        <w:pStyle w:val="ATHeading3"/>
      </w:pPr>
      <w:bookmarkStart w:id="4" w:name="Sujet"/>
      <w:r w:rsidRPr="00E30BBF">
        <w:t xml:space="preserve">Resolução do Parlamento Europeu, de </w:t>
      </w:r>
      <w:r w:rsidR="00E1696E" w:rsidRPr="00E30BBF">
        <w:t xml:space="preserve">20 </w:t>
      </w:r>
      <w:r w:rsidRPr="00E30BBF">
        <w:t xml:space="preserve">de </w:t>
      </w:r>
      <w:r w:rsidR="00E1696E" w:rsidRPr="00E30BBF">
        <w:t xml:space="preserve">janeiro </w:t>
      </w:r>
      <w:r w:rsidRPr="00E30BBF">
        <w:t xml:space="preserve">de 2026, sobre o assassinato de </w:t>
      </w:r>
      <w:proofErr w:type="spellStart"/>
      <w:r w:rsidRPr="00E30BBF">
        <w:t>Mehdi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>: necessidade urgente de uma ação ambiciosa a nível europeu contra o tráfico de droga</w:t>
      </w:r>
      <w:bookmarkEnd w:id="4"/>
      <w:r w:rsidRPr="00E30BBF">
        <w:t xml:space="preserve"> </w:t>
      </w:r>
      <w:bookmarkStart w:id="5" w:name="References"/>
      <w:r w:rsidRPr="00E30BBF">
        <w:t>(2025/3020(RSP))</w:t>
      </w:r>
      <w:bookmarkEnd w:id="5"/>
    </w:p>
    <w:p w14:paraId="58A7778D" w14:textId="77777777" w:rsidR="00143412" w:rsidRPr="00E30BBF" w:rsidRDefault="00143412" w:rsidP="00143412">
      <w:pPr>
        <w:pStyle w:val="EPComma"/>
      </w:pPr>
      <w:bookmarkStart w:id="6" w:name="TextBodyBegin"/>
      <w:bookmarkEnd w:id="6"/>
      <w:r w:rsidRPr="00E30BBF">
        <w:rPr>
          <w:i/>
          <w:iCs/>
        </w:rPr>
        <w:t>O Parlamento Europeu,</w:t>
      </w:r>
    </w:p>
    <w:p w14:paraId="2BA24D4A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 Tratado da União Europeia (TUE) e o Tratado sobre o Funcionamento da União Europeia (TFUE), nomeadamente as suas disposições relativas ao espaço de liberdade, segurança e justiça,</w:t>
      </w:r>
    </w:p>
    <w:p w14:paraId="0C7BED66" w14:textId="77777777" w:rsidR="00143412" w:rsidRPr="00E30BBF" w:rsidRDefault="00143412" w:rsidP="00143412">
      <w:pPr>
        <w:pStyle w:val="NormalHanging12a"/>
        <w:rPr>
          <w:szCs w:val="24"/>
        </w:rPr>
      </w:pPr>
      <w:r w:rsidRPr="00E30BBF">
        <w:t>–</w:t>
      </w:r>
      <w:r w:rsidRPr="00E30BBF">
        <w:tab/>
        <w:t>Tendo em conta a Carta dos Direitos Fundamentais da União Europeia, nomeadamente os seus artigos sobre a dignidade humana, o direito à vida, a liberdade de expressão, os direitos das vítimas e a proteção de dados pessoais,</w:t>
      </w:r>
    </w:p>
    <w:p w14:paraId="094F098C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as estratégias da União Europeia em matéria de drogas e a sua última versão publicada com o Plano de Ação da UE contra o Tráfico de Drogas para 2026</w:t>
      </w:r>
      <w:r w:rsidRPr="00E30BBF">
        <w:noBreakHyphen/>
        <w:t>2030,</w:t>
      </w:r>
    </w:p>
    <w:p w14:paraId="382DE8C5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os trabalhos do Grupo Horizontal das Drogas (GHD) do Conselho, criado em 1997 para coordenar a ação da União Europeia em matéria de drogas,</w:t>
      </w:r>
    </w:p>
    <w:p w14:paraId="5447AE26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os relatórios e as análises da Agência da União Europeia sobre Drogas (EUDA), em particular o Relatório Europeu sobre Drogas de 2025,</w:t>
      </w:r>
    </w:p>
    <w:p w14:paraId="5CF0C6D0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 lançamento da Coligação Europeia contra a Droga, que reúne mais de 40 países e visa reforçar a cooperação internacional contra o tráfico de estupefacientes,</w:t>
      </w:r>
    </w:p>
    <w:p w14:paraId="1C07FFB1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os trabalhos do Grupo Pompidou do Conselho da Europa sobre as políticas em matéria de droga e de prevenção,</w:t>
      </w:r>
    </w:p>
    <w:p w14:paraId="79E8F2E1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Convenção das Nações Unidas contra o Tráfico Ilícito de Estupefacientes e Substâncias Psicotrópicas, de 1988, e os trabalhos do Gabinete das Nações Unidas contra a Droga e a Criminalidade (UNODC),</w:t>
      </w:r>
    </w:p>
    <w:p w14:paraId="78BA89D0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Convenção das Nações Unidas contra a Criminalidade Organizada Transnacional, assinada em Palermo em 2000, e os seus protocolos, bem como a Convenção das Nações Unidas contra a Corrupção,</w:t>
      </w:r>
    </w:p>
    <w:p w14:paraId="2745D5F1" w14:textId="77777777" w:rsidR="00143412" w:rsidRPr="00E30BBF" w:rsidRDefault="00143412" w:rsidP="00143412">
      <w:pPr>
        <w:pStyle w:val="NormalHanging12a"/>
      </w:pPr>
      <w:r w:rsidRPr="00E30BBF">
        <w:lastRenderedPageBreak/>
        <w:t>–</w:t>
      </w:r>
      <w:r w:rsidRPr="00E30BBF">
        <w:tab/>
        <w:t>Tendo em conta as diversas medidas tomadas por organismos europeus e internacionais para prevenir e combater o branqueamento de capitais e o financiamento da criminalidade organizada,</w:t>
      </w:r>
    </w:p>
    <w:p w14:paraId="3D2D4F40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Diretiva 2012/29/UE do Parlamento Europeu e do Conselho, de 25 de outubro de 2012, que estabelece normas mínimas relativas aos direitos, ao apoio e à proteção das vítimas da criminalidade</w:t>
      </w:r>
      <w:r w:rsidRPr="00E30BBF">
        <w:rPr>
          <w:rStyle w:val="FootnoteReference"/>
          <w:rFonts w:eastAsia="Arial"/>
        </w:rPr>
        <w:footnoteReference w:id="1"/>
      </w:r>
      <w:r w:rsidRPr="00E30BBF">
        <w:t>,</w:t>
      </w:r>
    </w:p>
    <w:p w14:paraId="0E4615C8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Convenção Internacional sobre os Direitos da Criança, adotada pela Assembleia Geral das Nações Unidas, em 20 de novembro de 1989,</w:t>
      </w:r>
    </w:p>
    <w:p w14:paraId="31BE50BB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Resolução do Parlamento Europeu, de 11 de junho de 2013, sobre a criminalidade organizada, a corrupção e o branqueamento de capitais</w:t>
      </w:r>
      <w:r w:rsidRPr="00E30BBF">
        <w:rPr>
          <w:rStyle w:val="FootnoteReference"/>
          <w:rFonts w:eastAsia="Arial"/>
        </w:rPr>
        <w:footnoteReference w:id="2"/>
      </w:r>
      <w:r w:rsidRPr="00E30BBF">
        <w:t>,</w:t>
      </w:r>
    </w:p>
    <w:p w14:paraId="6D2BDCD0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 empenho dos organismos europeus na luta contra o tráfico de droga, em particular a EUDA, a Europol e a Eurojust,</w:t>
      </w:r>
    </w:p>
    <w:p w14:paraId="46C31152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 pacote legislativo da União Europeia de 2024 em matéria de luta contra o branqueamento de capitais e o financiamento do terrorismo, nomeadamente o Regulamento (UE) 2024/1624</w:t>
      </w:r>
      <w:r w:rsidRPr="00E30BBF">
        <w:rPr>
          <w:rStyle w:val="FootnoteReference"/>
          <w:rFonts w:eastAsia="Arial"/>
        </w:rPr>
        <w:footnoteReference w:id="3"/>
      </w:r>
      <w:r w:rsidRPr="00E30BBF">
        <w:t>, a Diretiva (UE) 2024/1640</w:t>
      </w:r>
      <w:r w:rsidRPr="00E30BBF">
        <w:rPr>
          <w:rStyle w:val="FootnoteReference"/>
          <w:rFonts w:eastAsia="Arial"/>
        </w:rPr>
        <w:footnoteReference w:id="4"/>
      </w:r>
      <w:r w:rsidRPr="00E30BBF">
        <w:t xml:space="preserve"> e a criação da Autoridade para o Combate ao Branqueamento de Capitais (ACBC),</w:t>
      </w:r>
    </w:p>
    <w:p w14:paraId="447C5712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Diretiva (UE) 2024/1712 do Parlamento Europeu e do Conselho, de 13 de junho de 2024, que altera a Diretiva 2011/36/UE relativa à prevenção e luta contra o tráfico de seres humanos e à proteção das vítimas</w:t>
      </w:r>
      <w:r w:rsidRPr="00E30BBF">
        <w:rPr>
          <w:rStyle w:val="FootnoteReference"/>
          <w:rFonts w:eastAsia="Arial"/>
        </w:rPr>
        <w:footnoteReference w:id="5"/>
      </w:r>
      <w:r w:rsidRPr="00E30BBF">
        <w:t>;</w:t>
      </w:r>
    </w:p>
    <w:p w14:paraId="71253709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 trabalho do Fórum da Sociedade Civil sobre a Droga e da sua seção organizada em torno da juventude,</w:t>
      </w:r>
    </w:p>
    <w:p w14:paraId="3BBD4AE2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a situação particularmente crítica das regiões ultraperiféricas,</w:t>
      </w:r>
    </w:p>
    <w:p w14:paraId="67EE8841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 xml:space="preserve">Tendo em conta a obra publicado pelo ativista antidroga </w:t>
      </w:r>
      <w:proofErr w:type="spellStart"/>
      <w:r w:rsidRPr="00E30BBF">
        <w:t>Amine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>, «</w:t>
      </w:r>
      <w:r w:rsidRPr="00E30BBF">
        <w:rPr>
          <w:i/>
          <w:iCs/>
        </w:rPr>
        <w:t xml:space="preserve">Marseille, </w:t>
      </w:r>
      <w:proofErr w:type="spellStart"/>
      <w:r w:rsidRPr="00E30BBF">
        <w:rPr>
          <w:i/>
          <w:iCs/>
        </w:rPr>
        <w:t>essuie</w:t>
      </w:r>
      <w:proofErr w:type="spellEnd"/>
      <w:r w:rsidRPr="00E30BBF">
        <w:rPr>
          <w:i/>
          <w:iCs/>
        </w:rPr>
        <w:t xml:space="preserve"> </w:t>
      </w:r>
      <w:proofErr w:type="spellStart"/>
      <w:r w:rsidRPr="00E30BBF">
        <w:rPr>
          <w:i/>
          <w:iCs/>
        </w:rPr>
        <w:t>tes</w:t>
      </w:r>
      <w:proofErr w:type="spellEnd"/>
      <w:r w:rsidRPr="00E30BBF">
        <w:rPr>
          <w:i/>
          <w:iCs/>
        </w:rPr>
        <w:t xml:space="preserve"> </w:t>
      </w:r>
      <w:proofErr w:type="spellStart"/>
      <w:r w:rsidRPr="00E30BBF">
        <w:rPr>
          <w:i/>
          <w:iCs/>
        </w:rPr>
        <w:t>larmes</w:t>
      </w:r>
      <w:proofErr w:type="spellEnd"/>
      <w:r w:rsidRPr="00E30BBF">
        <w:t>» (Marselha, limpa as tuas lágrimas), e as suas tomadas de posição apelando a uma resposta ao tráfico de droga e a um sobressalto popular,</w:t>
      </w:r>
    </w:p>
    <w:p w14:paraId="44EE22BE" w14:textId="77777777" w:rsidR="00143412" w:rsidRPr="00E30BBF" w:rsidRDefault="00143412" w:rsidP="00143412">
      <w:pPr>
        <w:pStyle w:val="NormalHanging12a"/>
      </w:pPr>
      <w:r w:rsidRPr="00E30BBF">
        <w:t>–</w:t>
      </w:r>
      <w:r w:rsidRPr="00E30BBF">
        <w:tab/>
        <w:t>Tendo em conta o artigo 136.º, n.º 2, do seu Regimento,</w:t>
      </w:r>
    </w:p>
    <w:p w14:paraId="7EB7B9E5" w14:textId="28FB3F23" w:rsidR="00143412" w:rsidRPr="00E30BBF" w:rsidRDefault="00143412" w:rsidP="00143412">
      <w:pPr>
        <w:pStyle w:val="NormalHanging12a"/>
      </w:pPr>
      <w:r w:rsidRPr="00E30BBF">
        <w:t>A.</w:t>
      </w:r>
      <w:r w:rsidRPr="00E30BBF">
        <w:tab/>
        <w:t xml:space="preserve">Considerando que </w:t>
      </w:r>
      <w:proofErr w:type="spellStart"/>
      <w:r w:rsidRPr="00E30BBF">
        <w:t>Mehdi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, com 20 anos de idade, de nacionalidade francesa, não referenciado pela polícia </w:t>
      </w:r>
      <w:r w:rsidR="00E1696E" w:rsidRPr="00E30BBF">
        <w:t xml:space="preserve">– </w:t>
      </w:r>
      <w:r w:rsidRPr="00E30BBF">
        <w:t>com exceção de se ter apresentado ao concurso para se tornar polícia, foi assassinado em 13 de novembro de 2025, em Marselha, em plena luz do dia e em plena rua, num contexto de violência relacionada com o tráfico de droga, o que ilustra a crescente brutalidade das redes criminosas e as consequências diretas desta violência nas famílias e nas comunidades locais;</w:t>
      </w:r>
    </w:p>
    <w:p w14:paraId="69639574" w14:textId="2C1A8280" w:rsidR="00143412" w:rsidRPr="00E30BBF" w:rsidRDefault="00143412" w:rsidP="00143412">
      <w:pPr>
        <w:pStyle w:val="NormalHanging12a"/>
      </w:pPr>
      <w:r w:rsidRPr="00E30BBF">
        <w:t>B.</w:t>
      </w:r>
      <w:r w:rsidRPr="00E30BBF">
        <w:tab/>
        <w:t xml:space="preserve">Considerando que </w:t>
      </w:r>
      <w:proofErr w:type="spellStart"/>
      <w:r w:rsidRPr="00E30BBF">
        <w:t>Mehdi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 era irmão de </w:t>
      </w:r>
      <w:proofErr w:type="spellStart"/>
      <w:r w:rsidRPr="00E30BBF">
        <w:t>Amine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>, ativista implicado na luta contra o tráfico de droga, autor e figura reconhecida da mobilização dos cidadãos contra a criminalidade organizada</w:t>
      </w:r>
      <w:r w:rsidR="00E1696E" w:rsidRPr="00E30BBF">
        <w:t>; considerando que</w:t>
      </w:r>
      <w:r w:rsidRPr="00E30BBF">
        <w:t xml:space="preserve"> </w:t>
      </w:r>
      <w:proofErr w:type="spellStart"/>
      <w:r w:rsidRPr="00E30BBF">
        <w:t>Mehdi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 foi certamente </w:t>
      </w:r>
      <w:r w:rsidRPr="00E30BBF">
        <w:lastRenderedPageBreak/>
        <w:t>assassinado devido a estes laços familiares</w:t>
      </w:r>
      <w:r w:rsidR="00E1696E" w:rsidRPr="00E30BBF">
        <w:t>; considerando que</w:t>
      </w:r>
      <w:r w:rsidRPr="00E30BBF">
        <w:t xml:space="preserve"> este homicídio constitui um ataque direto à liberdade de expressão e que se suspeita que faça parte de um método de intimidação que evoca as práticas de redes mafiosas organizadas</w:t>
      </w:r>
      <w:r w:rsidR="00E1696E" w:rsidRPr="00E30BBF">
        <w:t>; considerando que</w:t>
      </w:r>
      <w:r w:rsidRPr="00E30BBF">
        <w:t xml:space="preserve"> este crime conduziu a um sobressalto nacional, reunindo 10 000 pessoas em todo o país em apoio de </w:t>
      </w:r>
      <w:proofErr w:type="spellStart"/>
      <w:r w:rsidRPr="00E30BBF">
        <w:t>Amine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 e da sua família, bem como em defesa da democracia, da liberdade de expressão e do Estado de direito face ao tráfico de droga;</w:t>
      </w:r>
    </w:p>
    <w:p w14:paraId="2C69685F" w14:textId="567A62D6" w:rsidR="00143412" w:rsidRPr="00E30BBF" w:rsidRDefault="00143412" w:rsidP="00143412">
      <w:pPr>
        <w:pStyle w:val="NormalHanging12a"/>
      </w:pPr>
      <w:r w:rsidRPr="00E30BBF">
        <w:t>C.</w:t>
      </w:r>
      <w:r w:rsidRPr="00E30BBF">
        <w:tab/>
        <w:t xml:space="preserve">Considerando que este homicídio se inscreve numa série de atos de violência relacionados com o tráfico de droga em Marselha, que deram lugar a 24 assassínios </w:t>
      </w:r>
      <w:r w:rsidR="00E1696E" w:rsidRPr="00E30BBF">
        <w:t>em </w:t>
      </w:r>
      <w:r w:rsidRPr="00E30BBF">
        <w:t>2024 e 49 vítimas em 2023, afetando um número crescente de menores e inocentes</w:t>
      </w:r>
      <w:r w:rsidR="00E1696E" w:rsidRPr="00E30BBF">
        <w:t>; considerando que</w:t>
      </w:r>
      <w:r w:rsidRPr="00E30BBF">
        <w:t xml:space="preserve"> este flagelo afeta muitas cidades europeias e ameaça a coesão social, a saúde e a segurança dos cidadãos, bem como o Estado de direito</w:t>
      </w:r>
      <w:r w:rsidR="00E1696E" w:rsidRPr="00E30BBF">
        <w:t>; considerando que</w:t>
      </w:r>
      <w:r w:rsidRPr="00E30BBF">
        <w:t xml:space="preserve"> a situação nas regiões ultraperiféricas é particularmente crítica, em particular devido ao facto de quase 90 homicídios relacionados com o tráfico de droga terem sido registados apenas na Guadalupe e na Martinica em 2025;</w:t>
      </w:r>
    </w:p>
    <w:p w14:paraId="62D5C732" w14:textId="302E9E16" w:rsidR="00143412" w:rsidRPr="00E30BBF" w:rsidRDefault="00E1696E" w:rsidP="00143412">
      <w:pPr>
        <w:pStyle w:val="NormalHanging12a"/>
      </w:pPr>
      <w:r w:rsidRPr="00E30BBF">
        <w:t>D</w:t>
      </w:r>
      <w:r w:rsidR="00143412" w:rsidRPr="00E30BBF">
        <w:t>.</w:t>
      </w:r>
      <w:r w:rsidR="00143412" w:rsidRPr="00E30BBF">
        <w:tab/>
        <w:t>Considerando que o tráfico de droga constitui uma das mais graves ameaças à segurança interna da União Europeia, alimentando a criminalidade organizada, a violência e a corrupção, e que, segundo a Europol, quase 50 % das redes criminosas mais ameaçadoras na Europa estão envolvidas neste tráfico, das quais mais de um terço a título exclusivo;</w:t>
      </w:r>
    </w:p>
    <w:p w14:paraId="3E47BC54" w14:textId="07736C84" w:rsidR="00143412" w:rsidRPr="00E30BBF" w:rsidRDefault="00E1696E" w:rsidP="00143412">
      <w:pPr>
        <w:pStyle w:val="NormalHanging12a"/>
      </w:pPr>
      <w:r w:rsidRPr="00E30BBF">
        <w:t>E</w:t>
      </w:r>
      <w:r w:rsidR="00143412" w:rsidRPr="00E30BBF">
        <w:t>.</w:t>
      </w:r>
      <w:r w:rsidR="00143412" w:rsidRPr="00E30BBF">
        <w:tab/>
        <w:t>Considerando que a violência associada ao tráfico de droga na Europa se intensificou nos últimos anos, com a crescente utilização de armas de fogo por organizações criminosas, e que, em média, 28 % das apreensões de armas de fogo na Europa estão relacionadas com o tráfico de estupefacientes, o que ilustra a ligação direta entre o tráfico de droga e as ameaças graves à segurança pública;</w:t>
      </w:r>
    </w:p>
    <w:p w14:paraId="6110C352" w14:textId="3D6F624C" w:rsidR="00143412" w:rsidRPr="00E30BBF" w:rsidRDefault="00E1696E" w:rsidP="00143412">
      <w:pPr>
        <w:pStyle w:val="NormalHanging12a"/>
      </w:pPr>
      <w:r w:rsidRPr="00E30BBF">
        <w:t>F</w:t>
      </w:r>
      <w:r w:rsidR="00143412" w:rsidRPr="00E30BBF">
        <w:t>.</w:t>
      </w:r>
      <w:r w:rsidR="00143412" w:rsidRPr="00E30BBF">
        <w:tab/>
        <w:t>Considerando que a produção, o tráfico e o consumo de droga estão a aumentar rapidamente e a atingir níveis sem precedentes na União Europeia</w:t>
      </w:r>
      <w:r w:rsidRPr="00E30BBF">
        <w:t>; considerando que</w:t>
      </w:r>
      <w:r w:rsidR="00143412" w:rsidRPr="00E30BBF">
        <w:t>, de acordo com a EUDA, 752 toneladas de canábis e 419 toneladas de cocaína foram apreendidas na União em 2023 e que 2,7 milhões de jovens adultos com idades compreendidas entre os 15 e os 34 anos declararam tê</w:t>
      </w:r>
      <w:r w:rsidR="00143412" w:rsidRPr="00E30BBF">
        <w:noBreakHyphen/>
        <w:t>las consumido no último ano</w:t>
      </w:r>
      <w:r w:rsidRPr="00E30BBF">
        <w:t>; considerando que</w:t>
      </w:r>
      <w:r w:rsidR="00143412" w:rsidRPr="00E30BBF">
        <w:t>, todos os anos, são desmantelados quase 500 laboratórios de drogas sintéticas no território da União e que as mortes relacionadas com a droga atingiram quase 7 500 pessoas em 2023</w:t>
      </w:r>
      <w:r w:rsidRPr="00E30BBF">
        <w:t>; considerando que</w:t>
      </w:r>
      <w:r w:rsidR="00143412" w:rsidRPr="00E30BBF">
        <w:t xml:space="preserve"> estes desenvolvimentos refletem um fenómeno generalizado que afeta todos os territórios, gerações e grupos sociais;</w:t>
      </w:r>
    </w:p>
    <w:p w14:paraId="5B2214B4" w14:textId="751AE010" w:rsidR="00143412" w:rsidRPr="00E30BBF" w:rsidRDefault="00E1696E" w:rsidP="00143412">
      <w:pPr>
        <w:pStyle w:val="NormalHanging12a"/>
      </w:pPr>
      <w:r w:rsidRPr="00E30BBF">
        <w:t>G</w:t>
      </w:r>
      <w:r w:rsidR="00143412" w:rsidRPr="00E30BBF">
        <w:t>.</w:t>
      </w:r>
      <w:r w:rsidR="00143412" w:rsidRPr="00E30BBF">
        <w:tab/>
        <w:t>Considerando que os portos europeus são importantes pontos de entrada estratégicos para as drogas ilícitas, sendo que cerca de 70 % das apreensões aduaneiras de estupefacientes ocorrem em infraestruturas portuárias, e que as redes criminosas exploram as vulnerabilidades logísticas e humanas destas plataformas;</w:t>
      </w:r>
    </w:p>
    <w:p w14:paraId="45811728" w14:textId="2312B994" w:rsidR="00143412" w:rsidRPr="00E30BBF" w:rsidRDefault="00E1696E" w:rsidP="00143412">
      <w:pPr>
        <w:pStyle w:val="NormalHanging12a"/>
      </w:pPr>
      <w:r w:rsidRPr="00E30BBF">
        <w:t>H</w:t>
      </w:r>
      <w:r w:rsidR="00143412" w:rsidRPr="00E30BBF">
        <w:t>.</w:t>
      </w:r>
      <w:r w:rsidR="00143412" w:rsidRPr="00E30BBF">
        <w:tab/>
        <w:t>Considerando que os profissionais que trabalham nos setores das pescas e dos portos, como os pescadores e os estivadores, são alvo de redes de tráfico de droga, que exploram a natureza das suas atividades para introduzir drogas na União Europeia;</w:t>
      </w:r>
    </w:p>
    <w:p w14:paraId="0462243D" w14:textId="0B19300A" w:rsidR="00143412" w:rsidRPr="00E30BBF" w:rsidRDefault="00E1696E" w:rsidP="00143412">
      <w:pPr>
        <w:pStyle w:val="NormalHanging12a"/>
      </w:pPr>
      <w:r w:rsidRPr="00E30BBF">
        <w:t>I</w:t>
      </w:r>
      <w:r w:rsidR="00143412" w:rsidRPr="00E30BBF">
        <w:t>.</w:t>
      </w:r>
      <w:r w:rsidR="00143412" w:rsidRPr="00E30BBF">
        <w:tab/>
        <w:t>Considerando que o aumento maciço do consumo de estupefacientes tem um impacto direto no tráfico de droga, gerando enormes lucros para os traficantes que adquirem capacidade financeira que pode pôr em perigo a democracia</w:t>
      </w:r>
      <w:r w:rsidRPr="00E30BBF">
        <w:t>; considerando que</w:t>
      </w:r>
      <w:r w:rsidR="00143412" w:rsidRPr="00E30BBF">
        <w:t xml:space="preserve"> a Comissão nacional francesa das contas de campanha e do financiamento político alertou </w:t>
      </w:r>
      <w:r w:rsidR="00143412" w:rsidRPr="00E30BBF">
        <w:lastRenderedPageBreak/>
        <w:t>para a influência das redes de tráfico de estupefacientes nas próximas eleições locais;</w:t>
      </w:r>
    </w:p>
    <w:p w14:paraId="4414EF4F" w14:textId="2E0E2C08" w:rsidR="00143412" w:rsidRPr="00E30BBF" w:rsidRDefault="00E1696E" w:rsidP="00143412">
      <w:pPr>
        <w:pStyle w:val="NormalHanging12a"/>
      </w:pPr>
      <w:r w:rsidRPr="00E30BBF">
        <w:t>J</w:t>
      </w:r>
      <w:r w:rsidR="00143412" w:rsidRPr="00E30BBF">
        <w:t>.</w:t>
      </w:r>
      <w:r w:rsidR="00143412" w:rsidRPr="00E30BBF">
        <w:tab/>
      </w:r>
      <w:r w:rsidR="00A77768" w:rsidRPr="00E30BBF">
        <w:t>Considerando que o tráfico de estupefacientes é uma das atividades mais lucrativas da criminalidade organizada, uma vez que representa cerca de um quinto dos produtos do crime, a nível mundial, e que a União Europeia enfrenta um aumento sem precedentes da disponibilidade de drogas ilícitas, designadamente da cocaína proveniente da América do Sul;</w:t>
      </w:r>
    </w:p>
    <w:p w14:paraId="5C2E0F91" w14:textId="70BC0C1D" w:rsidR="00D41C03" w:rsidRPr="00E30BBF" w:rsidRDefault="00A027A3" w:rsidP="00143412">
      <w:pPr>
        <w:pStyle w:val="NormalHanging12a"/>
      </w:pPr>
      <w:r w:rsidRPr="00E30BBF">
        <w:t>K.</w:t>
      </w:r>
      <w:r w:rsidR="00D41C03" w:rsidRPr="00E30BBF">
        <w:tab/>
      </w:r>
      <w:r w:rsidR="00A77768" w:rsidRPr="00E30BBF">
        <w:t>Considerando que as redes de tráfico de droga podem procurar exercer pressão ou uma influência indevida sobre os líderes locais e sobre os eleitores, especialmente a nível municipal, comprometendo assim a integridade dos processos democráticos;</w:t>
      </w:r>
    </w:p>
    <w:p w14:paraId="722D778C" w14:textId="2726DA0A" w:rsidR="00143412" w:rsidRPr="00E30BBF" w:rsidRDefault="00A027A3" w:rsidP="00143412">
      <w:pPr>
        <w:pStyle w:val="NormalHanging12a"/>
      </w:pPr>
      <w:r w:rsidRPr="00E30BBF">
        <w:t>L</w:t>
      </w:r>
      <w:r w:rsidR="00143412" w:rsidRPr="00E30BBF">
        <w:t>.</w:t>
      </w:r>
      <w:r w:rsidR="00143412" w:rsidRPr="00E30BBF">
        <w:tab/>
        <w:t>Considerando que a capacidade financeira adquirida pelos traficantes de droga ameaça a democracia, através do branqueamento de capitais, da corrupção, da infiltração na economia legal e da capacidade que proporciona às redes criminosas para obter e expandir o controlo territorial, nomeadamente na União Europeia;</w:t>
      </w:r>
    </w:p>
    <w:p w14:paraId="55502B7F" w14:textId="1887881A" w:rsidR="00143412" w:rsidRPr="00E30BBF" w:rsidRDefault="00A027A3" w:rsidP="00143412">
      <w:pPr>
        <w:pStyle w:val="NormalHanging12a"/>
      </w:pPr>
      <w:r w:rsidRPr="00E30BBF">
        <w:t>M</w:t>
      </w:r>
      <w:r w:rsidR="00143412" w:rsidRPr="00E30BBF">
        <w:t>.</w:t>
      </w:r>
      <w:r w:rsidR="00143412" w:rsidRPr="00E30BBF">
        <w:tab/>
        <w:t>Considerando que a luta contra o branqueamento de capitais, os paraísos fiscais e a infiltração de organizações criminosas na economia legal é, por conseguinte, uma alavanca central para o enfraquecimento duradouro das redes de tráfico de droga;</w:t>
      </w:r>
    </w:p>
    <w:p w14:paraId="7F374C71" w14:textId="403B699A" w:rsidR="00D41C03" w:rsidRPr="00E30BBF" w:rsidRDefault="00A027A3" w:rsidP="00143412">
      <w:pPr>
        <w:pStyle w:val="NormalHanging12a"/>
      </w:pPr>
      <w:r w:rsidRPr="00E30BBF">
        <w:t>N.</w:t>
      </w:r>
      <w:r w:rsidR="00D41C03" w:rsidRPr="00E30BBF">
        <w:tab/>
        <w:t>Considerando que o Escudo Europeu da Democracia destaca a criminalidade organizada e a corrupção como uma ameaça direta ao Estado de direito e às nossas instituições democráticas;</w:t>
      </w:r>
    </w:p>
    <w:p w14:paraId="7FA187DE" w14:textId="227D1873" w:rsidR="00143412" w:rsidRPr="00E30BBF" w:rsidRDefault="00A027A3" w:rsidP="00143412">
      <w:pPr>
        <w:pStyle w:val="NormalHanging12a"/>
      </w:pPr>
      <w:r w:rsidRPr="00E30BBF">
        <w:t>O</w:t>
      </w:r>
      <w:r w:rsidR="00143412" w:rsidRPr="00E30BBF">
        <w:t>.</w:t>
      </w:r>
      <w:r w:rsidR="00143412" w:rsidRPr="00E30BBF">
        <w:tab/>
        <w:t>Considerando que as ferramentas digitais e as redes sociais são cada vez mais utilizadas para o recrutamento, a coordenação e a prática de atos violentos, especialmente contra menores, o que exige uma resposta europeia coordenada que respeite os direitos fundamentais;</w:t>
      </w:r>
    </w:p>
    <w:p w14:paraId="72E63C97" w14:textId="341FC6CD" w:rsidR="00143412" w:rsidRPr="00E30BBF" w:rsidRDefault="00A027A3" w:rsidP="00143412">
      <w:pPr>
        <w:pStyle w:val="NormalHanging12a"/>
      </w:pPr>
      <w:r w:rsidRPr="00E30BBF">
        <w:t>P</w:t>
      </w:r>
      <w:r w:rsidR="00143412" w:rsidRPr="00E30BBF">
        <w:t>.</w:t>
      </w:r>
      <w:r w:rsidR="00143412" w:rsidRPr="00E30BBF">
        <w:tab/>
        <w:t>Considerando a evolução das organizações criminosas e das suas práticas, nomeadamente através da digitalização das suas estratégias, e que, por conseguinte, é necessário desenvolver estruturas de investigação, judiciais e sociais na resposta da União Europeia a este flagelo;</w:t>
      </w:r>
    </w:p>
    <w:p w14:paraId="05AF7142" w14:textId="421A63D7" w:rsidR="00143412" w:rsidRPr="00E30BBF" w:rsidRDefault="00A027A3" w:rsidP="00143412">
      <w:pPr>
        <w:pStyle w:val="NormalHanging12a"/>
      </w:pPr>
      <w:r w:rsidRPr="00E30BBF">
        <w:t>Q</w:t>
      </w:r>
      <w:r w:rsidR="00143412" w:rsidRPr="00E30BBF">
        <w:t>.</w:t>
      </w:r>
      <w:r w:rsidR="00143412" w:rsidRPr="00E30BBF">
        <w:tab/>
        <w:t xml:space="preserve"> Considerando que a prevalência de novas substâncias psicoativas (NSP) está a aumentar na Europa, designadamente os </w:t>
      </w:r>
      <w:proofErr w:type="spellStart"/>
      <w:r w:rsidR="00143412" w:rsidRPr="00E30BBF">
        <w:t>canabinoides</w:t>
      </w:r>
      <w:proofErr w:type="spellEnd"/>
      <w:r w:rsidR="00143412" w:rsidRPr="00E30BBF">
        <w:t xml:space="preserve"> sintéticos, as </w:t>
      </w:r>
      <w:proofErr w:type="spellStart"/>
      <w:r w:rsidR="00143412" w:rsidRPr="00E30BBF">
        <w:t>catinonas</w:t>
      </w:r>
      <w:proofErr w:type="spellEnd"/>
      <w:r w:rsidR="00143412" w:rsidRPr="00E30BBF">
        <w:t xml:space="preserve"> e os opiáceos sintéticos poderosos, que são frequentemente produzidos ou distribuídos na UE e permanecem parcialmente fora dos controlos internacionais e nacionais</w:t>
      </w:r>
      <w:r w:rsidR="00E1696E" w:rsidRPr="00E30BBF">
        <w:t>; considerando que</w:t>
      </w:r>
      <w:r w:rsidR="00143412" w:rsidRPr="00E30BBF">
        <w:t xml:space="preserve"> a sua elevada potência e os baixos volumes necessários, combinados com a possibilidade de modificar ligeiramente as suas estruturas químicas a fim de contornar a legislação, criam um mercado em rápida expansão e altamente lucrativo em benefício dos traficantes, ao mesmo tempo que representam riscos consideráveis para a saúde e a segurança públicas</w:t>
      </w:r>
      <w:r w:rsidR="00E1696E" w:rsidRPr="00E30BBF">
        <w:t>; considerando que</w:t>
      </w:r>
      <w:r w:rsidR="00143412" w:rsidRPr="00E30BBF">
        <w:t xml:space="preserve"> importa dispor de sistemas de alerta precoce sólidos, de capacidades de deteção reforçadas e de respostas coordenadas a nível da União para fazer face à ameaça em evolução colocada pelas NSP;</w:t>
      </w:r>
    </w:p>
    <w:p w14:paraId="3698A2F4" w14:textId="0974FFE2" w:rsidR="00143412" w:rsidRPr="00E30BBF" w:rsidRDefault="00A027A3" w:rsidP="00143412">
      <w:pPr>
        <w:pStyle w:val="NormalHanging12a"/>
      </w:pPr>
      <w:r w:rsidRPr="00E30BBF">
        <w:t>R</w:t>
      </w:r>
      <w:r w:rsidR="00143412" w:rsidRPr="00E30BBF">
        <w:t>.</w:t>
      </w:r>
      <w:r w:rsidR="00143412" w:rsidRPr="00E30BBF">
        <w:tab/>
        <w:t xml:space="preserve">Considerando que o desenvolvimento e a implantação por longos períodos de redes de tráfico de droga ocorrem frequentemente em contextos caracterizados por desigualdades sociais e territoriais persistentes, por um acesso insuficiente ao emprego, aos serviços públicos e às oportunidades educativas, bem como por um sentimento de abandono institucional, em particular em determinados bairros urbanos desfavorecidos, e que estas </w:t>
      </w:r>
      <w:r w:rsidR="00143412" w:rsidRPr="00E30BBF">
        <w:lastRenderedPageBreak/>
        <w:t>vulnerabilidades constituem um terreno fértil para a economia criminosa e fatores estruturais explorados pelas redes de tráfico de droga para recrutar uma mão de obra vulnerável, muitas vezes jovem;</w:t>
      </w:r>
    </w:p>
    <w:p w14:paraId="18B04A67" w14:textId="68892D3B" w:rsidR="00143412" w:rsidRPr="00E30BBF" w:rsidRDefault="00A027A3" w:rsidP="00143412">
      <w:pPr>
        <w:pStyle w:val="NormalHanging12a"/>
      </w:pPr>
      <w:r w:rsidRPr="00E30BBF">
        <w:t>S</w:t>
      </w:r>
      <w:r w:rsidR="00143412" w:rsidRPr="00E30BBF">
        <w:t>.</w:t>
      </w:r>
      <w:r w:rsidR="00143412" w:rsidRPr="00E30BBF">
        <w:tab/>
        <w:t>Considerando que a política de coesão da UE, através dos seus instrumentos financeiros, tem contribuído historicamente para reduzir as disparidades territoriais, reforçar a coesão social e apoiar o investimento estrutural nas zonas urbanas em dificuldade, e que as orientações previstas pela Comissão Europeia para o quadro financeiro plurianual 2028</w:t>
      </w:r>
      <w:r w:rsidR="00143412" w:rsidRPr="00E30BBF">
        <w:noBreakHyphen/>
        <w:t>2034, bem como a execução da nova agenda da União Europeia para as cidades, terão um impacto decisivo na capacidade da UE para prevenir de forma sustentável o enraizamento do tráfico ilegal nestes territórios;</w:t>
      </w:r>
    </w:p>
    <w:p w14:paraId="3E230A24" w14:textId="7199301C" w:rsidR="00143412" w:rsidRPr="00E30BBF" w:rsidRDefault="00A027A3" w:rsidP="00143412">
      <w:pPr>
        <w:pStyle w:val="NormalHanging12a"/>
      </w:pPr>
      <w:r w:rsidRPr="00E30BBF">
        <w:t>T</w:t>
      </w:r>
      <w:r w:rsidR="00143412" w:rsidRPr="00E30BBF">
        <w:t>.</w:t>
      </w:r>
      <w:r w:rsidR="00143412" w:rsidRPr="00E30BBF">
        <w:tab/>
        <w:t>Considerando que os montantes adquiridos pelas redes criminosas são facilitados pela corrupção e têm potencial para a aumentar, e que a sua dimensão financeira lhes permite quer realizar atividades de prestação de serviços aos residentes quer inculcar medo num número crescente de territórios, o que resulta numa forma de anestesia das comunidades locais, que se estão a tornar cada vez menos resilientes ao flagelo do tráfico de droga</w:t>
      </w:r>
      <w:r w:rsidR="00E1696E" w:rsidRPr="00E30BBF">
        <w:t>; considerando que</w:t>
      </w:r>
      <w:r w:rsidR="00143412" w:rsidRPr="00E30BBF">
        <w:t xml:space="preserve"> o assassinato de </w:t>
      </w:r>
      <w:proofErr w:type="spellStart"/>
      <w:r w:rsidR="00143412" w:rsidRPr="00E30BBF">
        <w:t>Mehdi</w:t>
      </w:r>
      <w:proofErr w:type="spellEnd"/>
      <w:r w:rsidR="00143412" w:rsidRPr="00E30BBF">
        <w:t xml:space="preserve"> </w:t>
      </w:r>
      <w:proofErr w:type="spellStart"/>
      <w:r w:rsidR="00143412" w:rsidRPr="00E30BBF">
        <w:t>Kessaci</w:t>
      </w:r>
      <w:proofErr w:type="spellEnd"/>
      <w:r w:rsidR="00143412" w:rsidRPr="00E30BBF">
        <w:t xml:space="preserve"> faz parte destas estratégias de intimidação</w:t>
      </w:r>
      <w:r w:rsidR="00E1696E" w:rsidRPr="00E30BBF">
        <w:t>; considerando que</w:t>
      </w:r>
      <w:r w:rsidR="00143412" w:rsidRPr="00E30BBF">
        <w:t xml:space="preserve"> os alertas sobre a influência do tráfico de droga nas eleições interpelam fortemente sobre a ameaça que o tráfico de droga representa para os direitos fundamentais, a democracia e o Estado de direito;</w:t>
      </w:r>
    </w:p>
    <w:p w14:paraId="6148CDCF" w14:textId="1CD78FCB" w:rsidR="00143412" w:rsidRPr="00E30BBF" w:rsidRDefault="00A027A3" w:rsidP="00143412">
      <w:pPr>
        <w:pStyle w:val="NormalHanging12a"/>
      </w:pPr>
      <w:r w:rsidRPr="00E30BBF">
        <w:t>U</w:t>
      </w:r>
      <w:r w:rsidR="00143412" w:rsidRPr="00E30BBF">
        <w:t>.</w:t>
      </w:r>
      <w:r w:rsidR="00143412" w:rsidRPr="00E30BBF">
        <w:tab/>
        <w:t>Considerando que as famílias das vítimas e, em particular, as mães e os familiares das pessoas mortas ou recrutadas por redes criminosas desempenham frequentemente um papel fundamental na prevenção, na sensibilização e no apoio aos jovens expostos ao tráfico de droga</w:t>
      </w:r>
      <w:r w:rsidR="00E1696E" w:rsidRPr="00E30BBF">
        <w:t>; considerando que</w:t>
      </w:r>
      <w:r w:rsidR="00143412" w:rsidRPr="00E30BBF">
        <w:t>, no entanto, as famílias das vítimas do tráfico de droga não estão associadas à elaboração de políticas europeias e nacionais de luta contra a droga nem ao Fórum da Sociedade Civil contra a Droga;</w:t>
      </w:r>
    </w:p>
    <w:p w14:paraId="410C6A05" w14:textId="14B42EB3" w:rsidR="00143412" w:rsidRPr="00E30BBF" w:rsidRDefault="00A027A3" w:rsidP="00143412">
      <w:pPr>
        <w:pStyle w:val="NormalHanging12a"/>
      </w:pPr>
      <w:r w:rsidRPr="00E30BBF">
        <w:t>V</w:t>
      </w:r>
      <w:r w:rsidR="00143412" w:rsidRPr="00E30BBF">
        <w:t>.</w:t>
      </w:r>
      <w:r w:rsidR="00143412" w:rsidRPr="00E30BBF">
        <w:tab/>
        <w:t>Considerando que as estratégias anteriores salientaram a necessidade de equilibrar melhor as respostas repressivas com as políticas de prevenção, de redução dos riscos e de justiça social;</w:t>
      </w:r>
    </w:p>
    <w:p w14:paraId="144C2A45" w14:textId="5F70353C" w:rsidR="00143412" w:rsidRPr="00E30BBF" w:rsidRDefault="00A027A3" w:rsidP="00143412">
      <w:pPr>
        <w:pStyle w:val="NormalHanging12a"/>
      </w:pPr>
      <w:r w:rsidRPr="00E30BBF">
        <w:t>W</w:t>
      </w:r>
      <w:r w:rsidR="00143412" w:rsidRPr="00E30BBF">
        <w:t>.</w:t>
      </w:r>
      <w:r w:rsidR="00143412" w:rsidRPr="00E30BBF">
        <w:tab/>
        <w:t>Considerando que a Estratégia da União Europeia em matéria de drogas se baseia em pilares fundamentais que combinam a saúde pública, a prevenção, a cooperação judiciária e policial, bem como a cooperação com países terceiros, e que a mesma beneficiaria de ser complementada por uma componente dedicada à resiliência social dos territórios e das comunidades mobilizadas contra o tráfico de droga;</w:t>
      </w:r>
    </w:p>
    <w:p w14:paraId="48FE547C" w14:textId="6EB71F14" w:rsidR="00143412" w:rsidRPr="00E30BBF" w:rsidRDefault="00A027A3" w:rsidP="00143412">
      <w:pPr>
        <w:pStyle w:val="NormalHanging12a"/>
      </w:pPr>
      <w:r w:rsidRPr="00E30BBF">
        <w:t>X</w:t>
      </w:r>
      <w:r w:rsidR="00143412" w:rsidRPr="00E30BBF">
        <w:t>.</w:t>
      </w:r>
      <w:r w:rsidR="00143412" w:rsidRPr="00E30BBF">
        <w:tab/>
        <w:t>Considerando que a implantação do tráfico de droga é um fenómeno europeu e exige uma resposta unida e firme</w:t>
      </w:r>
      <w:r w:rsidR="00E1696E" w:rsidRPr="00E30BBF">
        <w:t>; considerando que</w:t>
      </w:r>
      <w:r w:rsidR="00143412" w:rsidRPr="00E30BBF">
        <w:t xml:space="preserve"> as autoridades europeias devem demonstrar a sua capacidade de mobilização para que não se percam mais vidas;</w:t>
      </w:r>
    </w:p>
    <w:p w14:paraId="5FFBF475" w14:textId="77777777" w:rsidR="00143412" w:rsidRPr="00E30BBF" w:rsidRDefault="00143412" w:rsidP="00143412">
      <w:pPr>
        <w:pStyle w:val="NormalHanging12a"/>
      </w:pPr>
      <w:r w:rsidRPr="00E30BBF">
        <w:t>1.</w:t>
      </w:r>
      <w:r w:rsidRPr="00E30BBF">
        <w:tab/>
        <w:t xml:space="preserve">Condena com a maior veemência possível o assassinato de </w:t>
      </w:r>
      <w:proofErr w:type="spellStart"/>
      <w:r w:rsidRPr="00E30BBF">
        <w:t>Mehdi</w:t>
      </w:r>
      <w:proofErr w:type="spellEnd"/>
      <w:r w:rsidRPr="00E30BBF">
        <w:t> </w:t>
      </w:r>
      <w:proofErr w:type="spellStart"/>
      <w:r w:rsidRPr="00E30BBF">
        <w:t>Kessaci</w:t>
      </w:r>
      <w:proofErr w:type="spellEnd"/>
      <w:r w:rsidRPr="00E30BBF">
        <w:t>; manifesta a sua profunda compaixão e as suas sinceras condolências aos seus pais e família, aos seus parentes e, através deles, a todas as vítimas diretas e indiretas do tráfico de droga na Europa e em todo o mundo;</w:t>
      </w:r>
    </w:p>
    <w:p w14:paraId="5FDE1D6B" w14:textId="77777777" w:rsidR="00143412" w:rsidRPr="00E30BBF" w:rsidRDefault="00143412" w:rsidP="00143412">
      <w:pPr>
        <w:pStyle w:val="NormalHanging12a"/>
      </w:pPr>
      <w:r w:rsidRPr="00E30BBF">
        <w:t>2.</w:t>
      </w:r>
      <w:r w:rsidRPr="00E30BBF">
        <w:tab/>
        <w:t xml:space="preserve">Presta homenagem ao empenho de </w:t>
      </w:r>
      <w:proofErr w:type="spellStart"/>
      <w:r w:rsidRPr="00E30BBF">
        <w:t>Amine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, da associação </w:t>
      </w:r>
      <w:proofErr w:type="spellStart"/>
      <w:r w:rsidRPr="00E30BBF">
        <w:t>Conscience</w:t>
      </w:r>
      <w:proofErr w:type="spellEnd"/>
      <w:r w:rsidRPr="00E30BBF">
        <w:t xml:space="preserve"> e de todos os ativistas que, arriscando muitas vezes a sua segurança, lutam contra o tráfico de droga; homenageia a coragem de </w:t>
      </w:r>
      <w:proofErr w:type="spellStart"/>
      <w:r w:rsidRPr="00E30BBF">
        <w:t>Amine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, que continua a fazer frente aos traficantes de droga, apesar das ameaças de que é alvo; reconhece que o assassinato de </w:t>
      </w:r>
      <w:proofErr w:type="spellStart"/>
      <w:r w:rsidRPr="00E30BBF">
        <w:lastRenderedPageBreak/>
        <w:t>Mehdi</w:t>
      </w:r>
      <w:proofErr w:type="spellEnd"/>
      <w:r w:rsidRPr="00E30BBF">
        <w:t xml:space="preserve"> </w:t>
      </w:r>
      <w:proofErr w:type="spellStart"/>
      <w:r w:rsidRPr="00E30BBF">
        <w:t>Kessaci</w:t>
      </w:r>
      <w:proofErr w:type="spellEnd"/>
      <w:r w:rsidRPr="00E30BBF">
        <w:t xml:space="preserve"> constitui um ataque frontal à liberdade de expressão e de criação, bem como ao Estado de direito;</w:t>
      </w:r>
    </w:p>
    <w:p w14:paraId="671B87CE" w14:textId="77777777" w:rsidR="00143412" w:rsidRPr="00E30BBF" w:rsidRDefault="00143412" w:rsidP="00143412">
      <w:pPr>
        <w:pStyle w:val="NormalHanging12a"/>
      </w:pPr>
      <w:r w:rsidRPr="00E30BBF">
        <w:t>3.</w:t>
      </w:r>
      <w:r w:rsidRPr="00E30BBF">
        <w:tab/>
        <w:t>Recorda que as ações das associações de base contribuem para a proteção dos jovens, a coesão social e a vitalidade democrática e são, muitas vezes, pouco reconhecidas, apoiadas ou protegidas;</w:t>
      </w:r>
    </w:p>
    <w:p w14:paraId="2635E64B" w14:textId="77777777" w:rsidR="00143412" w:rsidRPr="00E30BBF" w:rsidRDefault="00143412" w:rsidP="00143412">
      <w:pPr>
        <w:pStyle w:val="NormalHanging12a"/>
      </w:pPr>
      <w:r w:rsidRPr="00E30BBF">
        <w:t>4.</w:t>
      </w:r>
      <w:r w:rsidRPr="00E30BBF">
        <w:tab/>
        <w:t>Salienta que a luta contra o tráfico de droga e a criminalidade organizada constitui um grande desafio para a União Europeia no seu conjunto, seja em termos de segurança seja de saúde pública, de justiça social e de respeito pelo Estado de direito;</w:t>
      </w:r>
    </w:p>
    <w:p w14:paraId="7CD099C4" w14:textId="77777777" w:rsidR="00143412" w:rsidRPr="00E30BBF" w:rsidRDefault="00143412" w:rsidP="00143412">
      <w:pPr>
        <w:pStyle w:val="NormalHanging12a"/>
      </w:pPr>
      <w:r w:rsidRPr="00E30BBF">
        <w:t>5.</w:t>
      </w:r>
      <w:r w:rsidRPr="00E30BBF">
        <w:tab/>
        <w:t>Congratula</w:t>
      </w:r>
      <w:r w:rsidRPr="00E30BBF">
        <w:noBreakHyphen/>
        <w:t>se com a adoção da nova Estratégia da União Europeia em matéria de drogas e do seu Plano de Ação e reitera o seu apoio a uma abordagem equilibrada baseada na redução da procura, na cooperação judiciária e policial, na cooperação com países terceiros e na prevenção, nomeadamente em linha; recorda que os planos anteriores não foram suficientes para travar o flagelo do tráfico de droga, mas que é da responsabilidade de todos enfrentar este desafio;</w:t>
      </w:r>
    </w:p>
    <w:p w14:paraId="2EDCC642" w14:textId="2A0FF33E" w:rsidR="00442841" w:rsidRPr="00E30BBF" w:rsidRDefault="00A027A3" w:rsidP="00143412">
      <w:pPr>
        <w:pStyle w:val="NormalHanging12a"/>
      </w:pPr>
      <w:r w:rsidRPr="00E30BBF">
        <w:t>6.</w:t>
      </w:r>
      <w:r w:rsidR="00442841" w:rsidRPr="00E30BBF">
        <w:tab/>
        <w:t>Recorda que a nova estratégia de luta contra a droga convida os Estados</w:t>
      </w:r>
      <w:r w:rsidR="00442841" w:rsidRPr="00E30BBF">
        <w:noBreakHyphen/>
        <w:t>Membros a adotarem políticas de tolerância zero em relação à condução sob a influência de drogas, em conformidade com a Diretiva 2006/126/CE</w:t>
      </w:r>
      <w:r w:rsidR="000565E0" w:rsidRPr="00E30BBF">
        <w:rPr>
          <w:rStyle w:val="FootnoteReference"/>
        </w:rPr>
        <w:footnoteReference w:id="6"/>
      </w:r>
      <w:r w:rsidR="00442841" w:rsidRPr="00E30BBF">
        <w:t xml:space="preserve"> relativa à carta de condução, e a utilizarem plenamente os instrumentos transfronteiriços disponíveis para fazerem cumprir estas normas;</w:t>
      </w:r>
    </w:p>
    <w:p w14:paraId="69A80231" w14:textId="02302BC5" w:rsidR="00143412" w:rsidRPr="00E30BBF" w:rsidRDefault="00A027A3" w:rsidP="00143412">
      <w:pPr>
        <w:pStyle w:val="NormalHanging12a"/>
      </w:pPr>
      <w:r w:rsidRPr="00E30BBF">
        <w:t>7</w:t>
      </w:r>
      <w:r w:rsidR="00143412" w:rsidRPr="00E30BBF">
        <w:t>.</w:t>
      </w:r>
      <w:r w:rsidR="00143412" w:rsidRPr="00E30BBF">
        <w:tab/>
        <w:t>Apoia plenamente o pilar da saúde pública e da prevenção da Estratégia da União em matéria de drogas, incluindo a prevenção precoce, a redução dos riscos, o acesso aos cuidados de saúde, o tratamento das dependências e a reintegração social; salienta que as drogas afetam cada vez mais toda a sociedade, colocando</w:t>
      </w:r>
      <w:r w:rsidR="00143412" w:rsidRPr="00E30BBF">
        <w:noBreakHyphen/>
        <w:t>a sob dependência, e apela a uma ampla mobilização para assegurar a saúde mental de todos os europeus;</w:t>
      </w:r>
    </w:p>
    <w:p w14:paraId="6D68F3BB" w14:textId="0D0BCE74" w:rsidR="00143412" w:rsidRPr="00E30BBF" w:rsidRDefault="00A027A3" w:rsidP="00143412">
      <w:pPr>
        <w:pStyle w:val="NormalHanging12a"/>
      </w:pPr>
      <w:r w:rsidRPr="00E30BBF">
        <w:t>8</w:t>
      </w:r>
      <w:r w:rsidR="00143412" w:rsidRPr="00E30BBF">
        <w:t>.</w:t>
      </w:r>
      <w:r w:rsidR="00143412" w:rsidRPr="00E30BBF">
        <w:tab/>
        <w:t xml:space="preserve"> Apoia a proposta da Comissão de reforçar a segurança na luta contra o tráfico de droga, incluindo a avaliação prevista, até 2026, da atual decisão</w:t>
      </w:r>
      <w:r w:rsidR="00143412" w:rsidRPr="00E30BBF">
        <w:noBreakHyphen/>
        <w:t>quadro relativa ao tráfico de droga e a modernização das normas em matéria de criminalidade organizada; subscreve medidas fundamentais, como o reforço da cooperação entre os setores público e privado para melhorar a deteção de drogas contrabandeadas por intermédio dos serviços postais e da entrega de encomendas, bem como a elaboração de uma nova estratégia europeia para os portos destinada a aumentar a segurança e a resiliência dos portos e das cadeias de abastecimento face ao tráfico de droga;</w:t>
      </w:r>
    </w:p>
    <w:p w14:paraId="6E5B3648" w14:textId="18FC003A" w:rsidR="00143412" w:rsidRPr="00E30BBF" w:rsidRDefault="00A027A3" w:rsidP="00143412">
      <w:pPr>
        <w:pStyle w:val="NormalHanging12a"/>
      </w:pPr>
      <w:r w:rsidRPr="00E30BBF">
        <w:t>9</w:t>
      </w:r>
      <w:r w:rsidR="00143412" w:rsidRPr="00E30BBF">
        <w:t>.</w:t>
      </w:r>
      <w:r w:rsidR="00143412" w:rsidRPr="00E30BBF">
        <w:tab/>
        <w:t>Congratula</w:t>
      </w:r>
      <w:r w:rsidR="00143412" w:rsidRPr="00E30BBF">
        <w:noBreakHyphen/>
        <w:t>se com o empenho das forças policiais, das forças armadas, dos serviços aduaneiros e dos magistrados mobilizados em toda a União Europeia na luta contra o tráfico de droga; reconhece o seu contributo essencial para a proteção da segurança pública e apela a um reforço proporcionado e adequado dos recursos colocados à disposição das forças policiais e das autoridades judiciais, a fim de dar resposta à evolução desta ameaça transnacional;</w:t>
      </w:r>
    </w:p>
    <w:p w14:paraId="3C3E50FB" w14:textId="16A17181" w:rsidR="00143412" w:rsidRPr="00E30BBF" w:rsidRDefault="00A027A3" w:rsidP="00143412">
      <w:pPr>
        <w:pStyle w:val="NormalHanging12a"/>
      </w:pPr>
      <w:r w:rsidRPr="00E30BBF">
        <w:t>10</w:t>
      </w:r>
      <w:r w:rsidR="00143412" w:rsidRPr="00E30BBF">
        <w:t>.</w:t>
      </w:r>
      <w:r w:rsidR="00143412" w:rsidRPr="00E30BBF">
        <w:tab/>
        <w:t xml:space="preserve">Apela ao reforço </w:t>
      </w:r>
      <w:r w:rsidR="00442841" w:rsidRPr="00E30BBF">
        <w:t xml:space="preserve">dos recursos humanos, materiais e tecnológicos afetados aos controlos das fronteiras externas na luta contra o tráfico de armas, de seres humanos e de drogas e </w:t>
      </w:r>
      <w:r w:rsidR="00143412" w:rsidRPr="00E30BBF">
        <w:lastRenderedPageBreak/>
        <w:t xml:space="preserve">das operações policiais conjuntas transfronteiriças, em particular em pontos nevrálgicos como Marselha, Le Havre, Antuérpia, Roterdão e Hamburgo, em estreita coordenação com </w:t>
      </w:r>
      <w:r w:rsidR="00442841" w:rsidRPr="00E30BBF">
        <w:t xml:space="preserve">a Agência Europeia da Guarda de Fronteiras e Costeira, </w:t>
      </w:r>
      <w:r w:rsidR="00143412" w:rsidRPr="00E30BBF">
        <w:t>a Europol, a Eurojust e a EUDA, a fim de desmantelar as redes criminosas por detrás de tiroteios, assassinatos e atos de intimidação em toda a Europa;</w:t>
      </w:r>
    </w:p>
    <w:p w14:paraId="3DB58B85" w14:textId="4A8C0E2F" w:rsidR="00143412" w:rsidRPr="00E30BBF" w:rsidRDefault="00A027A3" w:rsidP="00143412">
      <w:pPr>
        <w:pStyle w:val="NormalHanging12a"/>
      </w:pPr>
      <w:r w:rsidRPr="00E30BBF">
        <w:t>11</w:t>
      </w:r>
      <w:r w:rsidR="00143412" w:rsidRPr="00E30BBF">
        <w:t>.</w:t>
      </w:r>
      <w:r w:rsidR="00143412" w:rsidRPr="00E30BBF">
        <w:tab/>
        <w:t>Salienta a necessidade de reforçar a cooperação e o intercâmbio de informações entre as autoridades aduaneiras, as autoridades responsáveis pela aplicação da lei, as autoridades judiciais e administrativas, e insta a Comissão a assegurar o quadro necessário para apoiar estes esforços, salvaguardando simultaneamente os direitos fundamentais e a proteção da vida privada;</w:t>
      </w:r>
    </w:p>
    <w:p w14:paraId="78B63B17" w14:textId="7A08F8A0" w:rsidR="00143412" w:rsidRPr="00E30BBF" w:rsidRDefault="00A027A3" w:rsidP="00143412">
      <w:pPr>
        <w:pStyle w:val="NormalHanging12a"/>
      </w:pPr>
      <w:r w:rsidRPr="00E30BBF">
        <w:t>12</w:t>
      </w:r>
      <w:r w:rsidR="00143412" w:rsidRPr="00E30BBF">
        <w:t>.</w:t>
      </w:r>
      <w:r w:rsidR="00143412" w:rsidRPr="00E30BBF">
        <w:tab/>
        <w:t>Recorda que a luta contra a criminalidade organizada deve abordar as estruturas económicas e financeiras do tráfico de droga, nomeadamente através do reforço dos dispositivos de perda de bens de origem criminosa e da luta contra os paraísos fiscais; exorta a União Europeia e os Estados</w:t>
      </w:r>
      <w:r w:rsidR="00143412" w:rsidRPr="00E30BBF">
        <w:noBreakHyphen/>
        <w:t>Membros a utilizarem plena e eficazmente a nova Diretiva (UE) 2024/1260 relativa à recuperação e perda de bens</w:t>
      </w:r>
      <w:r w:rsidR="00143412" w:rsidRPr="00E30BBF">
        <w:rPr>
          <w:rStyle w:val="FootnoteReference"/>
        </w:rPr>
        <w:footnoteReference w:id="7"/>
      </w:r>
      <w:r w:rsidR="00143412" w:rsidRPr="00E30BBF">
        <w:t>, e a adotarem as medidas necessárias para permitir a atribuição de bens, cuja perda tenha sido decidida, para fins sociais, nomeadamente confiando os bens perdidos a organizações de base que lutam contra o controlo territorial do tráfico de droga, como é o caso em Itália, bem como às autoridades mais expostas à violência relacionada com a droga ou aos serviços judiciais e alfandegários de investigação aduaneira; solicita que a Comissão e os Estados</w:t>
      </w:r>
      <w:r w:rsidR="00143412" w:rsidRPr="00E30BBF">
        <w:noBreakHyphen/>
        <w:t>Membros assegurem que as medidas relacionadas com a utilização de bens perdidos no interesse público ou para fins sociais sejam incluídas nas suas estratégias nacionais de recuperação de ativos;</w:t>
      </w:r>
    </w:p>
    <w:p w14:paraId="0205D007" w14:textId="453708A9" w:rsidR="00143412" w:rsidRPr="00E30BBF" w:rsidRDefault="00A027A3" w:rsidP="00143412">
      <w:pPr>
        <w:pStyle w:val="NormalHanging12a"/>
      </w:pPr>
      <w:r w:rsidRPr="00E30BBF">
        <w:t>13</w:t>
      </w:r>
      <w:r w:rsidR="00143412" w:rsidRPr="00E30BBF">
        <w:t>.</w:t>
      </w:r>
      <w:r w:rsidR="00143412" w:rsidRPr="00E30BBF">
        <w:tab/>
        <w:t>Salienta a importância de integrar os requisitos de cooperação judiciária e de transparência nas relações externas e nos acordos da União com países terceiros afetados por rotas de tráfico de droga; salienta que a cooperação com alguns destes Estados é frutuosa, enquanto outros se recusam a cooperar plenamente com as autoridades europeias;</w:t>
      </w:r>
    </w:p>
    <w:p w14:paraId="340A5AF6" w14:textId="6B542305" w:rsidR="00143412" w:rsidRPr="00E30BBF" w:rsidRDefault="00A027A3" w:rsidP="00143412">
      <w:pPr>
        <w:pStyle w:val="NormalHanging12a"/>
      </w:pPr>
      <w:r w:rsidRPr="00E30BBF">
        <w:t>14</w:t>
      </w:r>
      <w:r w:rsidR="00143412" w:rsidRPr="00E30BBF">
        <w:t>.</w:t>
      </w:r>
      <w:r w:rsidR="00143412" w:rsidRPr="00E30BBF">
        <w:tab/>
        <w:t>Congratula</w:t>
      </w:r>
      <w:r w:rsidR="00143412" w:rsidRPr="00E30BBF">
        <w:noBreakHyphen/>
        <w:t>se com a conclusão bem</w:t>
      </w:r>
      <w:r w:rsidR="00143412" w:rsidRPr="00E30BBF">
        <w:noBreakHyphen/>
        <w:t>sucedida de acordos entre a Eurojust, a Europol e a Arménia, a Bósnia</w:t>
      </w:r>
      <w:r w:rsidR="00143412" w:rsidRPr="00E30BBF">
        <w:noBreakHyphen/>
        <w:t>Herzegovina e o Líbano;</w:t>
      </w:r>
    </w:p>
    <w:p w14:paraId="161A12C6" w14:textId="15D058AD" w:rsidR="00872568" w:rsidRPr="00E30BBF" w:rsidRDefault="00A027A3" w:rsidP="00143412">
      <w:pPr>
        <w:pStyle w:val="NormalHanging12a"/>
      </w:pPr>
      <w:r w:rsidRPr="00E30BBF">
        <w:t>15</w:t>
      </w:r>
      <w:r w:rsidR="00143412" w:rsidRPr="00E30BBF">
        <w:t>.</w:t>
      </w:r>
      <w:r w:rsidR="00143412" w:rsidRPr="00E30BBF">
        <w:tab/>
        <w:t>Salienta a importância de proceder a uma análise aprofundada dos métodos adotados pelas organizações criminosas e do seu rápido desenvolvimento, a fim de desenvolver os procedimentos judiciais mais adequados; solicita, em particular, que se adote uma abordagem comum para combater a criminalidade organizada, que se pondere a criação de um estatuto do arguido colaborador, que se protejam os menores integrados em redes criminosas, que se articule a luta contra o tráfico de estupefacientes e as disposições em matéria de branqueamento de capitais e corrupção, extorsão, tráfico de seres humanos, criminalidade ambiental e tráfico de armas; apela à exploração de um papel mais forte da Procuradoria Europeia na luta contra a criminalidade organizada;</w:t>
      </w:r>
    </w:p>
    <w:p w14:paraId="7FE48CD6" w14:textId="74E6A103" w:rsidR="00143412" w:rsidRPr="00E30BBF" w:rsidRDefault="00A027A3" w:rsidP="00143412">
      <w:pPr>
        <w:pStyle w:val="NormalHanging12a"/>
      </w:pPr>
      <w:r w:rsidRPr="00E30BBF">
        <w:t>16</w:t>
      </w:r>
      <w:r w:rsidR="00143412" w:rsidRPr="00E30BBF">
        <w:t>.</w:t>
      </w:r>
      <w:r w:rsidR="00143412" w:rsidRPr="00E30BBF">
        <w:tab/>
        <w:t>Compromete</w:t>
      </w:r>
      <w:r w:rsidR="00143412" w:rsidRPr="00E30BBF">
        <w:noBreakHyphen/>
        <w:t>se a assegurar que o Parlamento acompanhe de forma mais estreita e exaustiva o tráfico de droga e a luta contra a criminalidade organizada transfronteiriça relacionada com a droga;</w:t>
      </w:r>
    </w:p>
    <w:p w14:paraId="7DFBE998" w14:textId="4EBBEAD2" w:rsidR="00143412" w:rsidRPr="00E30BBF" w:rsidRDefault="00A027A3" w:rsidP="00143412">
      <w:pPr>
        <w:pStyle w:val="NormalHanging12a"/>
      </w:pPr>
      <w:r w:rsidRPr="00E30BBF">
        <w:t>17</w:t>
      </w:r>
      <w:r w:rsidR="00143412" w:rsidRPr="00E30BBF">
        <w:t>.</w:t>
      </w:r>
      <w:r w:rsidR="00143412" w:rsidRPr="00E30BBF">
        <w:tab/>
        <w:t xml:space="preserve">Solicita o reforço dos recursos humanos afetados à polícia de proximidade e às polícias </w:t>
      </w:r>
      <w:r w:rsidR="00143412" w:rsidRPr="00E30BBF">
        <w:lastRenderedPageBreak/>
        <w:t>especializadas, bem como aos tribunais especializados na luta contra o tráfico de droga, incluindo os que têm por incumbência a luta contra o branqueamento de capitais;</w:t>
      </w:r>
    </w:p>
    <w:p w14:paraId="443D7629" w14:textId="1A2C6883" w:rsidR="00143412" w:rsidRPr="00E30BBF" w:rsidRDefault="00A027A3" w:rsidP="00143412">
      <w:pPr>
        <w:pStyle w:val="NormalHanging12a"/>
      </w:pPr>
      <w:r w:rsidRPr="00E30BBF">
        <w:t>18</w:t>
      </w:r>
      <w:r w:rsidR="00143412" w:rsidRPr="00E30BBF">
        <w:t>.</w:t>
      </w:r>
      <w:r w:rsidR="00143412" w:rsidRPr="00E30BBF">
        <w:tab/>
        <w:t>Incentiva a cooperação entre os organismos da União, as autoridades nacionais e os Estados</w:t>
      </w:r>
      <w:r w:rsidR="00143412" w:rsidRPr="00E30BBF">
        <w:noBreakHyphen/>
        <w:t>Membros em matéria policial, judiciária e administrativa;</w:t>
      </w:r>
    </w:p>
    <w:p w14:paraId="04EAEC2C" w14:textId="34B2247C" w:rsidR="00143412" w:rsidRPr="00E30BBF" w:rsidRDefault="00A027A3" w:rsidP="00143412">
      <w:pPr>
        <w:pStyle w:val="NormalHanging12a"/>
      </w:pPr>
      <w:r w:rsidRPr="00E30BBF">
        <w:t>19</w:t>
      </w:r>
      <w:r w:rsidR="00143412" w:rsidRPr="00E30BBF">
        <w:t>.</w:t>
      </w:r>
      <w:r w:rsidR="00143412" w:rsidRPr="00E30BBF">
        <w:tab/>
        <w:t>Solicita que a luta contra o tráfico de droga se torne um pilar da Estratégia dos Portos da UE e da Aliança dos Portos, integrando tanto os portos marítimos como os fluviais, e que sejam postas em prática medidas de formação, prevenção e proteção do pessoal portuário; solicita que seja prestado apoio e acompanhamento aos estivadores e aos pescadores que enfrentam pressões, ameaças e tentativas de chantagem por parte de redes de tráfico de droga; salienta a importância da partilha de informações sobre apreensões de drogas, precursores e produtos químicos essenciais, bem como da utilização de tecnologias de vigilância orientadas para infraestruturas estratégicas;</w:t>
      </w:r>
    </w:p>
    <w:p w14:paraId="43730F54" w14:textId="312E7A0C" w:rsidR="00143412" w:rsidRPr="00E30BBF" w:rsidRDefault="00A027A3" w:rsidP="00143412">
      <w:pPr>
        <w:pStyle w:val="NormalHanging12a"/>
      </w:pPr>
      <w:r w:rsidRPr="00E30BBF">
        <w:t>20</w:t>
      </w:r>
      <w:r w:rsidR="00143412" w:rsidRPr="00E30BBF">
        <w:t>.</w:t>
      </w:r>
      <w:r w:rsidR="00143412" w:rsidRPr="00E30BBF">
        <w:tab/>
        <w:t>Solicita que a luta contra o tráfico de droga seja uma prioridade para a Autoridade Aduaneira da UE e que as agências aduaneiras disponham dos mesmos instrumentos que o pessoal portuário;</w:t>
      </w:r>
    </w:p>
    <w:p w14:paraId="6FE8604C" w14:textId="3B3F87E7" w:rsidR="00872568" w:rsidRPr="00E30BBF" w:rsidRDefault="00A027A3" w:rsidP="00143412">
      <w:pPr>
        <w:pStyle w:val="NormalHanging12a"/>
      </w:pPr>
      <w:r w:rsidRPr="00E30BBF">
        <w:t>21.</w:t>
      </w:r>
      <w:r w:rsidR="00872568" w:rsidRPr="00E30BBF">
        <w:tab/>
        <w:t>Salienta que as futuras iniciativas europeias, como a Aliança Europeia dos Portos, assim como as reformas da Europol, da Eurojust e da Procuradoria Europeia, devem contribuir para reforçar a integridade, a transparência e a resiliência dos portos europeus, nomeadamente melhorando a proteção dos agentes e profissionais de primeira linha contra os riscos de intimidação e corrupção;</w:t>
      </w:r>
    </w:p>
    <w:p w14:paraId="301FDDF6" w14:textId="5F0CDF65" w:rsidR="00143412" w:rsidRPr="00E30BBF" w:rsidRDefault="00A027A3" w:rsidP="00143412">
      <w:pPr>
        <w:pStyle w:val="NormalHanging12a"/>
      </w:pPr>
      <w:r w:rsidRPr="00E30BBF">
        <w:t>22</w:t>
      </w:r>
      <w:r w:rsidR="00143412" w:rsidRPr="00E30BBF">
        <w:t>.</w:t>
      </w:r>
      <w:r w:rsidR="00143412" w:rsidRPr="00E30BBF">
        <w:tab/>
        <w:t>Salienta o papel central da prevenção, nomeadamente nas redes sociais e nas plataformas digitais, e apela a uma aplicação eficaz das normas europeias vigentes, em particular do Regulamento dos Serviços Digitais, a fim de prevenir o recrutamento em linha, o incitamento à violência e a organização de atividades criminosas, bem como de estudar a necessidade de as atualizar; insta os Estados</w:t>
      </w:r>
      <w:r w:rsidR="00143412" w:rsidRPr="00E30BBF">
        <w:noBreakHyphen/>
        <w:t>Membros a incluírem nas suas políticas de prevenção uma comunicação clara que permita aos consumidores compreender que estão a contribuir para a ação violenta de redes criminosas destrutivas;</w:t>
      </w:r>
    </w:p>
    <w:p w14:paraId="5192F50B" w14:textId="0BE31902" w:rsidR="00143412" w:rsidRPr="00E30BBF" w:rsidRDefault="00A027A3" w:rsidP="00143412">
      <w:pPr>
        <w:pStyle w:val="NormalHanging12a"/>
      </w:pPr>
      <w:bookmarkStart w:id="7" w:name="_heading=h.wu2hczxpxd"/>
      <w:bookmarkEnd w:id="7"/>
      <w:r w:rsidRPr="00E30BBF">
        <w:t>23</w:t>
      </w:r>
      <w:r w:rsidR="00143412" w:rsidRPr="00E30BBF">
        <w:t>.</w:t>
      </w:r>
      <w:r w:rsidR="00143412" w:rsidRPr="00E30BBF">
        <w:tab/>
        <w:t>Destaca a necessidade de integrar plenamente a proteção dos menores contra o recrutamento por redes criminosas nas políticas de luta contra a droga, em consonância com o Regulamento dos Serviços Digitais e a Resolução do Parlamento Europeu sobre a proteção dos menores em linha (2025/2060 (INI)), nomeadamente através da cooperação com plataformas digitais, da prevenção específica e da deteção precoce;</w:t>
      </w:r>
    </w:p>
    <w:p w14:paraId="0DCF7633" w14:textId="22432A1C" w:rsidR="00143412" w:rsidRPr="00E30BBF" w:rsidRDefault="00A027A3" w:rsidP="00143412">
      <w:pPr>
        <w:pStyle w:val="NormalHanging12a"/>
      </w:pPr>
      <w:r w:rsidRPr="00E30BBF">
        <w:t>24</w:t>
      </w:r>
      <w:r w:rsidR="00143412" w:rsidRPr="00E30BBF">
        <w:t>.</w:t>
      </w:r>
      <w:r w:rsidR="00143412" w:rsidRPr="00E30BBF">
        <w:tab/>
        <w:t>Sublinha a importância crucial, como complemento de uma abordagem de segurança e de aplicação da lei, de uma ação estrutural sobre os fatores sociais, económicos e territoriais que promovem o estabelecimento duradouro destas atividades criminosas, em particular nos bairros urbanos desfavorecidos; reitera, a este respeito, o papel crucial dos instrumentos orçamentais da União, incluindo o Fundo Europeu de Desenvolvimento Regional (FEDER), o Fundo de Coesão e o Fundo Social Europeu Mais (FSE +), no apoio a investimentos a longo prazo no acesso ao emprego, na renovação urbana, nos serviços públicos de proximidade, na educação, na prevenção e na coesão social, contribuindo assim para reforçar a resiliência destes territórios contra economias ilícitas e a resistência das comunidades contra organizações criminosas;</w:t>
      </w:r>
    </w:p>
    <w:p w14:paraId="6AF635C7" w14:textId="05B3397C" w:rsidR="00143412" w:rsidRPr="00E30BBF" w:rsidRDefault="00A027A3" w:rsidP="00143412">
      <w:pPr>
        <w:pStyle w:val="NormalHanging12a"/>
      </w:pPr>
      <w:r w:rsidRPr="00E30BBF">
        <w:t>25</w:t>
      </w:r>
      <w:r w:rsidR="00143412" w:rsidRPr="00E30BBF">
        <w:t>.</w:t>
      </w:r>
      <w:r w:rsidR="00143412" w:rsidRPr="00E30BBF">
        <w:tab/>
        <w:t>Manifesta, no entanto, sérias preocupações quanto às orientações previstas pela Comissão para o Quadro Financeiro Plurianual 2028</w:t>
      </w:r>
      <w:r w:rsidR="00143412" w:rsidRPr="00E30BBF">
        <w:noBreakHyphen/>
        <w:t xml:space="preserve">2034, em particular o risco de que </w:t>
      </w:r>
      <w:r w:rsidR="00143412" w:rsidRPr="00E30BBF">
        <w:lastRenderedPageBreak/>
        <w:t>a política de coesão se renacionalize ainda mais, de que os fundos de coesão se fundam com outros instrumentos e de que o financiamento se concentre exclusivamente nas regiões menos desenvolvidas; alerta para o facto de estes desenvolvimentos poderem conduzir a uma concorrência prejudicial entre prioridades e territórios, em detrimento dos investimentos necessários em zonas urbanas em dificuldade situadas em regiões intermédias ou mais desenvolvidas, apesar de estes bairros apresentarem frequentemente graves vulnerabilidades sociais e estarem altamente expostos ao tráfico de droga;</w:t>
      </w:r>
    </w:p>
    <w:p w14:paraId="0279F66D" w14:textId="47B0FE32" w:rsidR="00143412" w:rsidRPr="00E30BBF" w:rsidRDefault="00A027A3" w:rsidP="00143412">
      <w:pPr>
        <w:pStyle w:val="NormalHanging12a"/>
      </w:pPr>
      <w:r w:rsidRPr="00E30BBF">
        <w:t>26</w:t>
      </w:r>
      <w:r w:rsidR="00143412" w:rsidRPr="00E30BBF">
        <w:t>.</w:t>
      </w:r>
      <w:r w:rsidR="00143412" w:rsidRPr="00E30BBF">
        <w:tab/>
        <w:t>Salienta que a recente adoção pela Comissão da Nova Agenda da União Europeia para as Cidades só produzirá resultados concretos se for plenamente integrada nos futuros programas de parceria nacionais e regionais; solicita, a este respeito, que estes planos incluam medidas específicas, identificáveis e dotadas de recursos adequados para o investimento público em bairros populares, a fim de evitar a sua marginalização duradoura e impedir a sua captura por redes criminosas; reitera a necessidade de assegurar uma abordagem de base territorial, integrada e inclusiva da coesão, que é indispensável para não deixar nenhum território para trás e para reforçar a segurança, a justiça social e a coesão na União Europeia de forma sustentável;</w:t>
      </w:r>
    </w:p>
    <w:p w14:paraId="1BEF7310" w14:textId="6C14AE2F" w:rsidR="00143412" w:rsidRPr="00E30BBF" w:rsidRDefault="00A027A3" w:rsidP="00143412">
      <w:pPr>
        <w:pStyle w:val="NormalHanging12a"/>
      </w:pPr>
      <w:r w:rsidRPr="00E30BBF">
        <w:t>27</w:t>
      </w:r>
      <w:r w:rsidR="00143412" w:rsidRPr="00E30BBF">
        <w:t>.</w:t>
      </w:r>
      <w:r w:rsidR="00143412" w:rsidRPr="00E30BBF">
        <w:tab/>
        <w:t>Recorda que o êxito da estratégia italiana contra as máfias se baseou, em grande medida, na mobilização da sociedade civil; apela, por conseguinte, à plena integração da sociedade civil e, em particular, das associações de base, na luta contra a criminalidade organizada e o tráfico de estupefacientes;</w:t>
      </w:r>
    </w:p>
    <w:p w14:paraId="4C1E00E2" w14:textId="706B4219" w:rsidR="00143412" w:rsidRPr="00E30BBF" w:rsidRDefault="00A027A3" w:rsidP="00143412">
      <w:pPr>
        <w:pStyle w:val="NormalHanging12a"/>
      </w:pPr>
      <w:r w:rsidRPr="00E30BBF">
        <w:t>28</w:t>
      </w:r>
      <w:r w:rsidR="00143412" w:rsidRPr="00E30BBF">
        <w:t>.</w:t>
      </w:r>
      <w:r w:rsidR="00143412" w:rsidRPr="00E30BBF">
        <w:tab/>
        <w:t>Salienta a necessidade de colocar a experiência e a voz das famílias das vítimas no centro da elaboração, da aplicação e da avaliação das políticas europeias de luta contra a droga, reconhecendo o seu papel essencial na prevenção e no apoio às pessoas em situação de risco; solicita, por conseguinte, a sua plena integração nas futuras ações da União Europeia e dos Estados</w:t>
      </w:r>
      <w:r w:rsidR="00143412" w:rsidRPr="00E30BBF">
        <w:noBreakHyphen/>
        <w:t>Membros na luta contra o tráfico de droga;</w:t>
      </w:r>
    </w:p>
    <w:p w14:paraId="3614C74D" w14:textId="5DD3B131" w:rsidR="00143412" w:rsidRPr="00E30BBF" w:rsidRDefault="00A027A3" w:rsidP="00143412">
      <w:pPr>
        <w:pStyle w:val="NormalHanging12a"/>
      </w:pPr>
      <w:r w:rsidRPr="00E30BBF">
        <w:t>29</w:t>
      </w:r>
      <w:r w:rsidR="00143412" w:rsidRPr="00E30BBF">
        <w:t>.</w:t>
      </w:r>
      <w:r w:rsidR="00143412" w:rsidRPr="00E30BBF">
        <w:tab/>
        <w:t>Pede que os órgãos de governação da estratégia em matéria de drogas, os comités de partes interessadas associadas e os Estados</w:t>
      </w:r>
      <w:r w:rsidR="00143412" w:rsidRPr="00E30BBF">
        <w:noBreakHyphen/>
        <w:t>Membros integrem representantes das vítimas e das famílias afetadas de forma estruturada;</w:t>
      </w:r>
    </w:p>
    <w:p w14:paraId="562EAFB6" w14:textId="1D41853C" w:rsidR="00143412" w:rsidRPr="00E30BBF" w:rsidRDefault="00A027A3" w:rsidP="00143412">
      <w:pPr>
        <w:pStyle w:val="NormalHanging12a"/>
      </w:pPr>
      <w:r w:rsidRPr="00E30BBF">
        <w:t>30</w:t>
      </w:r>
      <w:r w:rsidR="00143412" w:rsidRPr="00E30BBF">
        <w:t>.</w:t>
      </w:r>
      <w:r w:rsidR="00143412" w:rsidRPr="00E30BBF">
        <w:tab/>
        <w:t xml:space="preserve">Manifesta o seu apoio a todos os intervenientes no terreno, incluindo </w:t>
      </w:r>
      <w:r w:rsidR="00D41C03" w:rsidRPr="00E30BBF">
        <w:t xml:space="preserve">os agentes da autoridade, </w:t>
      </w:r>
      <w:r w:rsidR="00143412" w:rsidRPr="00E30BBF">
        <w:t>as associações, os educadores, os assistentes sociais e autoridades locais; salienta a importância de um apoio financeiro adequado da UE a estas iniciativas, observando que, neste contexto, tanto os fundos dedicados à ação social como os fundos ao abrigo da proposta de regulamento que estabelece o apoio da União à segurança interna para o período de 2028 a 2034 (COM(2025)0542) podem ser mobilizados;</w:t>
      </w:r>
    </w:p>
    <w:p w14:paraId="5817B1AE" w14:textId="75A11FDE" w:rsidR="00143412" w:rsidRPr="00E30BBF" w:rsidRDefault="00A027A3" w:rsidP="00143412">
      <w:pPr>
        <w:pStyle w:val="NormalHanging12a"/>
      </w:pPr>
      <w:r w:rsidRPr="00E30BBF">
        <w:t>31</w:t>
      </w:r>
      <w:r w:rsidR="00143412" w:rsidRPr="00E30BBF">
        <w:t>.</w:t>
      </w:r>
      <w:r w:rsidR="00143412" w:rsidRPr="00E30BBF">
        <w:tab/>
        <w:t>Insta a Comissão e os Estados</w:t>
      </w:r>
      <w:r w:rsidR="00143412" w:rsidRPr="00E30BBF">
        <w:noBreakHyphen/>
        <w:t>Membros a desenvolverem uma coordenação europeia das melhores práticas em matéria de proteção das vítimas e testemunhas, tendo em conta a situação social e económica muitas vezes precária das famílias em causa;</w:t>
      </w:r>
    </w:p>
    <w:p w14:paraId="200854E0" w14:textId="41507605" w:rsidR="00143412" w:rsidRPr="00E30BBF" w:rsidRDefault="00A027A3" w:rsidP="00143412">
      <w:pPr>
        <w:pStyle w:val="NormalHanging12a"/>
      </w:pPr>
      <w:r w:rsidRPr="00E30BBF">
        <w:t>32</w:t>
      </w:r>
      <w:r w:rsidR="00143412" w:rsidRPr="00E30BBF">
        <w:t>.</w:t>
      </w:r>
      <w:r w:rsidR="00143412" w:rsidRPr="00E30BBF">
        <w:tab/>
        <w:t>Exorta os Estados</w:t>
      </w:r>
      <w:r w:rsidR="00143412" w:rsidRPr="00E30BBF">
        <w:noBreakHyphen/>
        <w:t>Membros a assegurarem a relocalização das famílias afetadas pelo tráfico de droga e o seu acesso ao emprego, a fim de garantir a sua segurança, e convida a Comissão a incluir esta dimensão no seu plano de habitação;</w:t>
      </w:r>
    </w:p>
    <w:p w14:paraId="7AACE818" w14:textId="46CC66B9" w:rsidR="00143412" w:rsidRPr="00E30BBF" w:rsidRDefault="00A027A3" w:rsidP="00143412">
      <w:pPr>
        <w:pStyle w:val="NormalHanging12a"/>
      </w:pPr>
      <w:r w:rsidRPr="00E30BBF">
        <w:t>33</w:t>
      </w:r>
      <w:r w:rsidR="00143412" w:rsidRPr="00E30BBF">
        <w:t>.</w:t>
      </w:r>
      <w:r w:rsidR="00143412" w:rsidRPr="00E30BBF">
        <w:tab/>
        <w:t>Solicita que os Estados</w:t>
      </w:r>
      <w:r w:rsidR="00143412" w:rsidRPr="00E30BBF">
        <w:noBreakHyphen/>
        <w:t xml:space="preserve">Membros apoiem aqueles cujas vozes se manifestam contra a criminalidade organizada, como </w:t>
      </w:r>
      <w:proofErr w:type="spellStart"/>
      <w:r w:rsidR="00143412" w:rsidRPr="00E30BBF">
        <w:t>Amine</w:t>
      </w:r>
      <w:proofErr w:type="spellEnd"/>
      <w:r w:rsidR="00143412" w:rsidRPr="00E30BBF">
        <w:t xml:space="preserve"> </w:t>
      </w:r>
      <w:proofErr w:type="spellStart"/>
      <w:r w:rsidR="00143412" w:rsidRPr="00E30BBF">
        <w:t>Kessaci</w:t>
      </w:r>
      <w:proofErr w:type="spellEnd"/>
      <w:r w:rsidR="00143412" w:rsidRPr="00E30BBF">
        <w:t xml:space="preserve"> e Roberto </w:t>
      </w:r>
      <w:proofErr w:type="spellStart"/>
      <w:r w:rsidR="00143412" w:rsidRPr="00E30BBF">
        <w:t>Saviano</w:t>
      </w:r>
      <w:proofErr w:type="spellEnd"/>
      <w:r w:rsidR="00143412" w:rsidRPr="00E30BBF">
        <w:t>, e a tornarem</w:t>
      </w:r>
      <w:r w:rsidR="00143412" w:rsidRPr="00E30BBF">
        <w:noBreakHyphen/>
        <w:t>nos um pilar da defesa do Estado de direito e da liberdade de expressão;</w:t>
      </w:r>
    </w:p>
    <w:p w14:paraId="5650CEF0" w14:textId="2A8D96EF" w:rsidR="00F25D6E" w:rsidRPr="00E30BBF" w:rsidRDefault="00A027A3" w:rsidP="00F25D6E">
      <w:pPr>
        <w:pStyle w:val="NormalHanging12a"/>
      </w:pPr>
      <w:r w:rsidRPr="00E30BBF">
        <w:lastRenderedPageBreak/>
        <w:t>34</w:t>
      </w:r>
      <w:r w:rsidR="00143412" w:rsidRPr="00E30BBF">
        <w:t>.</w:t>
      </w:r>
      <w:r w:rsidR="00143412" w:rsidRPr="00E30BBF">
        <w:tab/>
        <w:t>Encarrega a sua Presidente de transmitir a presente resolução ao Conselho, à Comissão, aos governos e parlamentos dos Estados</w:t>
      </w:r>
      <w:r w:rsidR="00143412" w:rsidRPr="00E30BBF">
        <w:noBreakHyphen/>
        <w:t>Membros e às instituições e organizações internacionais interessadas.</w:t>
      </w:r>
    </w:p>
    <w:p w14:paraId="01993120" w14:textId="22824925" w:rsidR="00E365E1" w:rsidRPr="00E30BBF" w:rsidRDefault="00E365E1" w:rsidP="00A978A7"/>
    <w:sectPr w:rsidR="00E365E1" w:rsidRPr="00E30BBF" w:rsidSect="00F25D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BA470" w14:textId="77777777" w:rsidR="00A978A7" w:rsidRPr="00F25D6E" w:rsidRDefault="00A978A7">
      <w:r w:rsidRPr="00F25D6E">
        <w:separator/>
      </w:r>
    </w:p>
  </w:endnote>
  <w:endnote w:type="continuationSeparator" w:id="0">
    <w:p w14:paraId="7BCD8680" w14:textId="77777777" w:rsidR="00A978A7" w:rsidRPr="00F25D6E" w:rsidRDefault="00A978A7">
      <w:r w:rsidRPr="00F25D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9B61A" w14:textId="77777777" w:rsidR="00A978A7" w:rsidRPr="00F25D6E" w:rsidRDefault="00A978A7">
      <w:r w:rsidRPr="00F25D6E">
        <w:separator/>
      </w:r>
    </w:p>
  </w:footnote>
  <w:footnote w:type="continuationSeparator" w:id="0">
    <w:p w14:paraId="0B45280D" w14:textId="77777777" w:rsidR="00A978A7" w:rsidRPr="00F25D6E" w:rsidRDefault="00A978A7">
      <w:r w:rsidRPr="00F25D6E">
        <w:continuationSeparator/>
      </w:r>
    </w:p>
  </w:footnote>
  <w:footnote w:id="1">
    <w:p w14:paraId="7EB93995" w14:textId="641FB107" w:rsidR="00143412" w:rsidRPr="00442841" w:rsidRDefault="00143412" w:rsidP="00F25D6E">
      <w:pPr>
        <w:pStyle w:val="FootnoteText"/>
        <w:ind w:left="567" w:hanging="567"/>
        <w:rPr>
          <w:sz w:val="24"/>
          <w:lang w:val="da-DK"/>
        </w:rPr>
      </w:pPr>
      <w:r w:rsidRPr="00F25D6E">
        <w:rPr>
          <w:rStyle w:val="FootnoteReference"/>
          <w:sz w:val="24"/>
          <w:lang w:val="pt-PT"/>
        </w:rPr>
        <w:footnoteRef/>
      </w:r>
      <w:r w:rsidR="00F25D6E" w:rsidRPr="00442841">
        <w:rPr>
          <w:sz w:val="24"/>
          <w:lang w:val="da-DK"/>
        </w:rPr>
        <w:t xml:space="preserve"> </w:t>
      </w:r>
      <w:r w:rsidR="00F25D6E" w:rsidRPr="00442841">
        <w:rPr>
          <w:sz w:val="24"/>
          <w:lang w:val="da-DK"/>
        </w:rPr>
        <w:tab/>
      </w:r>
      <w:r w:rsidRPr="00442841">
        <w:rPr>
          <w:sz w:val="24"/>
          <w:lang w:val="da-DK"/>
        </w:rPr>
        <w:t>JO L 315 de 14.1</w:t>
      </w:r>
      <w:r w:rsidR="004C3DB4">
        <w:rPr>
          <w:sz w:val="24"/>
          <w:lang w:val="da-DK"/>
        </w:rPr>
        <w:t>1</w:t>
      </w:r>
      <w:r w:rsidRPr="00442841">
        <w:rPr>
          <w:sz w:val="24"/>
          <w:lang w:val="da-DK"/>
        </w:rPr>
        <w:t>.2012, p. 57, ELI: </w:t>
      </w:r>
      <w:hyperlink r:id="rId1" w:tooltip="Permite aceder ao documento através do seu identificador ELI." w:history="1">
        <w:r w:rsidRPr="00442841">
          <w:rPr>
            <w:rStyle w:val="Hyperlink"/>
            <w:sz w:val="24"/>
            <w:lang w:val="da-DK"/>
          </w:rPr>
          <w:t>http://data.europa.eu/eli/dir/2012/29/oj</w:t>
        </w:r>
      </w:hyperlink>
      <w:r w:rsidRPr="00442841">
        <w:rPr>
          <w:sz w:val="24"/>
          <w:lang w:val="da-DK"/>
        </w:rPr>
        <w:t>.</w:t>
      </w:r>
    </w:p>
  </w:footnote>
  <w:footnote w:id="2">
    <w:p w14:paraId="22E30AC2" w14:textId="10C2E76B" w:rsidR="00143412" w:rsidRPr="00442841" w:rsidRDefault="00143412" w:rsidP="00F25D6E">
      <w:pPr>
        <w:pStyle w:val="FootnoteText"/>
        <w:ind w:left="567" w:hanging="567"/>
        <w:rPr>
          <w:sz w:val="24"/>
          <w:lang w:val="da-DK"/>
        </w:rPr>
      </w:pPr>
      <w:r w:rsidRPr="00F25D6E">
        <w:rPr>
          <w:rStyle w:val="FootnoteReference"/>
          <w:sz w:val="24"/>
          <w:lang w:val="pt-PT"/>
        </w:rPr>
        <w:footnoteRef/>
      </w:r>
      <w:r w:rsidR="00F25D6E" w:rsidRPr="00442841">
        <w:rPr>
          <w:sz w:val="24"/>
          <w:lang w:val="da-DK"/>
        </w:rPr>
        <w:t xml:space="preserve"> </w:t>
      </w:r>
      <w:r w:rsidR="00F25D6E" w:rsidRPr="00442841">
        <w:rPr>
          <w:sz w:val="24"/>
          <w:lang w:val="da-DK"/>
        </w:rPr>
        <w:tab/>
      </w:r>
      <w:r w:rsidRPr="00442841">
        <w:rPr>
          <w:sz w:val="24"/>
          <w:lang w:val="da-DK"/>
        </w:rPr>
        <w:t>JO C 65 de 19.2.2016, p. 16.</w:t>
      </w:r>
    </w:p>
  </w:footnote>
  <w:footnote w:id="3">
    <w:p w14:paraId="7B20713D" w14:textId="1EA8D725" w:rsidR="00143412" w:rsidRPr="00442841" w:rsidRDefault="00143412" w:rsidP="00F25D6E">
      <w:pPr>
        <w:pStyle w:val="FootnoteText"/>
        <w:ind w:left="567" w:hanging="567"/>
        <w:rPr>
          <w:sz w:val="24"/>
          <w:lang w:val="da-DK"/>
        </w:rPr>
      </w:pPr>
      <w:r w:rsidRPr="00F25D6E">
        <w:rPr>
          <w:rStyle w:val="FootnoteReference"/>
          <w:sz w:val="24"/>
          <w:lang w:val="pt-PT"/>
        </w:rPr>
        <w:footnoteRef/>
      </w:r>
      <w:r w:rsidR="00F25D6E" w:rsidRPr="00442841">
        <w:rPr>
          <w:sz w:val="24"/>
          <w:lang w:val="da-DK"/>
        </w:rPr>
        <w:t xml:space="preserve"> </w:t>
      </w:r>
      <w:r w:rsidR="00F25D6E" w:rsidRPr="00442841">
        <w:rPr>
          <w:sz w:val="24"/>
          <w:lang w:val="da-DK"/>
        </w:rPr>
        <w:tab/>
      </w:r>
      <w:r w:rsidRPr="00442841">
        <w:rPr>
          <w:sz w:val="24"/>
          <w:lang w:val="da-DK"/>
        </w:rPr>
        <w:t>JO L, 2024/1624, 19.6.2024, ELI: </w:t>
      </w:r>
      <w:hyperlink r:id="rId2" w:tgtFrame="_blank" w:tooltip="Permite aceder ao documento através do seu identificador ELI." w:history="1">
        <w:r w:rsidRPr="00442841">
          <w:rPr>
            <w:rStyle w:val="Hyperlink"/>
            <w:sz w:val="24"/>
            <w:lang w:val="da-DK"/>
          </w:rPr>
          <w:t>http://data.europa.eu/eli/reg/2024/1624/oj</w:t>
        </w:r>
      </w:hyperlink>
      <w:r w:rsidRPr="00442841">
        <w:rPr>
          <w:sz w:val="24"/>
          <w:lang w:val="da-DK"/>
        </w:rPr>
        <w:t>.</w:t>
      </w:r>
    </w:p>
  </w:footnote>
  <w:footnote w:id="4">
    <w:p w14:paraId="26A53D47" w14:textId="4AC301D9" w:rsidR="00143412" w:rsidRPr="00442841" w:rsidRDefault="00143412" w:rsidP="00F25D6E">
      <w:pPr>
        <w:pStyle w:val="FootnoteText"/>
        <w:ind w:left="567" w:hanging="567"/>
        <w:rPr>
          <w:sz w:val="24"/>
          <w:lang w:val="fi-FI"/>
        </w:rPr>
      </w:pPr>
      <w:r w:rsidRPr="00F25D6E">
        <w:rPr>
          <w:rStyle w:val="FootnoteReference"/>
          <w:sz w:val="24"/>
          <w:lang w:val="pt-PT"/>
        </w:rPr>
        <w:footnoteRef/>
      </w:r>
      <w:r w:rsidR="00F25D6E" w:rsidRPr="00442841">
        <w:rPr>
          <w:sz w:val="24"/>
          <w:lang w:val="fi-FI"/>
        </w:rPr>
        <w:t xml:space="preserve"> </w:t>
      </w:r>
      <w:r w:rsidR="00F25D6E" w:rsidRPr="00442841">
        <w:rPr>
          <w:sz w:val="24"/>
          <w:lang w:val="fi-FI"/>
        </w:rPr>
        <w:tab/>
      </w:r>
      <w:r w:rsidRPr="00442841">
        <w:rPr>
          <w:sz w:val="24"/>
          <w:lang w:val="fi-FI"/>
        </w:rPr>
        <w:t>JO L, 2024/1640, 19.6.2024, ELI: </w:t>
      </w:r>
      <w:hyperlink r:id="rId3" w:tgtFrame="_blank" w:tooltip="Permite aceder ao documento através do seu identificador ELI." w:history="1">
        <w:r w:rsidRPr="00442841">
          <w:rPr>
            <w:rStyle w:val="Hyperlink"/>
            <w:sz w:val="24"/>
            <w:lang w:val="fi-FI"/>
          </w:rPr>
          <w:t>http://data.europa.eu/eli/dir/2024/1640/oj</w:t>
        </w:r>
      </w:hyperlink>
      <w:r w:rsidRPr="00442841">
        <w:rPr>
          <w:sz w:val="24"/>
          <w:lang w:val="fi-FI"/>
        </w:rPr>
        <w:t>.</w:t>
      </w:r>
    </w:p>
  </w:footnote>
  <w:footnote w:id="5">
    <w:p w14:paraId="2C2C9A0C" w14:textId="23B5E165" w:rsidR="00143412" w:rsidRPr="00442841" w:rsidRDefault="00143412" w:rsidP="00F25D6E">
      <w:pPr>
        <w:pStyle w:val="FootnoteText"/>
        <w:ind w:left="567" w:hanging="567"/>
        <w:rPr>
          <w:sz w:val="24"/>
          <w:lang w:val="fi-FI"/>
        </w:rPr>
      </w:pPr>
      <w:r w:rsidRPr="00F25D6E">
        <w:rPr>
          <w:rStyle w:val="FootnoteReference"/>
          <w:sz w:val="24"/>
          <w:lang w:val="pt-PT"/>
        </w:rPr>
        <w:footnoteRef/>
      </w:r>
      <w:r w:rsidR="00F25D6E" w:rsidRPr="00442841">
        <w:rPr>
          <w:sz w:val="24"/>
          <w:lang w:val="fi-FI"/>
        </w:rPr>
        <w:t xml:space="preserve"> </w:t>
      </w:r>
      <w:r w:rsidR="00F25D6E" w:rsidRPr="00442841">
        <w:rPr>
          <w:sz w:val="24"/>
          <w:lang w:val="fi-FI"/>
        </w:rPr>
        <w:tab/>
      </w:r>
      <w:r w:rsidRPr="00442841">
        <w:rPr>
          <w:sz w:val="24"/>
          <w:lang w:val="fi-FI"/>
        </w:rPr>
        <w:t>JO L, 2024/1712, 24.6.2024, ELI: </w:t>
      </w:r>
      <w:hyperlink r:id="rId4" w:tgtFrame="_blank" w:tooltip="Permite aceder ao documento através do seu identificador ELI." w:history="1">
        <w:r w:rsidRPr="00442841">
          <w:rPr>
            <w:rStyle w:val="Hyperlink"/>
            <w:sz w:val="24"/>
            <w:lang w:val="fi-FI"/>
          </w:rPr>
          <w:t>http://data.europa.eu/eli/dir/2024/1712/oj</w:t>
        </w:r>
      </w:hyperlink>
      <w:r w:rsidRPr="00442841">
        <w:rPr>
          <w:sz w:val="24"/>
          <w:lang w:val="fi-FI"/>
        </w:rPr>
        <w:t>.</w:t>
      </w:r>
    </w:p>
  </w:footnote>
  <w:footnote w:id="6">
    <w:p w14:paraId="40F36B4A" w14:textId="77777777" w:rsidR="000565E0" w:rsidRPr="00543AC3" w:rsidRDefault="000565E0" w:rsidP="000565E0">
      <w:pPr>
        <w:pStyle w:val="FootnoteText"/>
        <w:ind w:left="567" w:hanging="567"/>
        <w:rPr>
          <w:sz w:val="24"/>
          <w:szCs w:val="24"/>
          <w:lang w:val="pt-PT"/>
        </w:rPr>
      </w:pPr>
      <w:r w:rsidRPr="00543AC3">
        <w:rPr>
          <w:rStyle w:val="FootnoteReference"/>
          <w:sz w:val="24"/>
          <w:szCs w:val="24"/>
        </w:rPr>
        <w:footnoteRef/>
      </w:r>
      <w:r w:rsidRPr="00543AC3">
        <w:rPr>
          <w:sz w:val="24"/>
          <w:szCs w:val="24"/>
          <w:lang w:val="pt-PT"/>
        </w:rPr>
        <w:t xml:space="preserve"> </w:t>
      </w:r>
      <w:r w:rsidRPr="00543AC3">
        <w:rPr>
          <w:sz w:val="24"/>
          <w:szCs w:val="24"/>
          <w:lang w:val="pt-PT"/>
        </w:rPr>
        <w:tab/>
        <w:t>Diretiva 2006/126/CE do Parlamento Europeu e do Conselho, de 20 de dezembro de</w:t>
      </w:r>
      <w:r>
        <w:rPr>
          <w:sz w:val="24"/>
          <w:szCs w:val="24"/>
          <w:lang w:val="pt-PT"/>
        </w:rPr>
        <w:t> </w:t>
      </w:r>
      <w:r w:rsidRPr="00543AC3">
        <w:rPr>
          <w:sz w:val="24"/>
          <w:szCs w:val="24"/>
          <w:lang w:val="pt-PT"/>
        </w:rPr>
        <w:t xml:space="preserve">2006, relativa à carta de condução (JO L 403 de 30.12.2006, p. 18, ELI: </w:t>
      </w:r>
      <w:hyperlink r:id="rId5" w:history="1">
        <w:r w:rsidRPr="00543AC3">
          <w:rPr>
            <w:rStyle w:val="Hyperlink"/>
            <w:lang w:val="pt-PT"/>
          </w:rPr>
          <w:t>http://data.europa.eu/eli/dir/2006/126/oj</w:t>
        </w:r>
      </w:hyperlink>
      <w:r w:rsidRPr="00543AC3">
        <w:rPr>
          <w:sz w:val="24"/>
          <w:szCs w:val="24"/>
          <w:lang w:val="pt-PT"/>
        </w:rPr>
        <w:t>).</w:t>
      </w:r>
    </w:p>
  </w:footnote>
  <w:footnote w:id="7">
    <w:p w14:paraId="461E7C40" w14:textId="4970C12B" w:rsidR="00143412" w:rsidRPr="00442841" w:rsidRDefault="00143412" w:rsidP="00F25D6E">
      <w:pPr>
        <w:pStyle w:val="FootnoteText"/>
        <w:ind w:left="567" w:hanging="567"/>
        <w:rPr>
          <w:sz w:val="24"/>
          <w:lang w:val="fi-FI"/>
        </w:rPr>
      </w:pPr>
      <w:r w:rsidRPr="00F25D6E">
        <w:rPr>
          <w:rStyle w:val="FootnoteReference"/>
          <w:sz w:val="24"/>
          <w:lang w:val="pt-PT"/>
        </w:rPr>
        <w:footnoteRef/>
      </w:r>
      <w:r w:rsidR="00F25D6E" w:rsidRPr="00442841">
        <w:rPr>
          <w:sz w:val="24"/>
          <w:lang w:val="fi-FI"/>
        </w:rPr>
        <w:t xml:space="preserve"> </w:t>
      </w:r>
      <w:r w:rsidR="00F25D6E" w:rsidRPr="00442841">
        <w:rPr>
          <w:sz w:val="24"/>
          <w:lang w:val="fi-FI"/>
        </w:rPr>
        <w:tab/>
      </w:r>
      <w:r w:rsidRPr="00442841">
        <w:rPr>
          <w:sz w:val="24"/>
          <w:lang w:val="fi-FI"/>
        </w:rPr>
        <w:t>JO L, 2024/1260, 2.5.2024, ELI: </w:t>
      </w:r>
      <w:hyperlink r:id="rId6" w:tgtFrame="_blank" w:tooltip="Permite aceder ao documento através do seu identificador ELI." w:history="1">
        <w:r w:rsidRPr="00442841">
          <w:rPr>
            <w:rStyle w:val="Hyperlink"/>
            <w:sz w:val="24"/>
            <w:lang w:val="fi-FI"/>
          </w:rPr>
          <w:t>http://data.europa.eu/eli/dir/2024/1260/oj</w:t>
        </w:r>
      </w:hyperlink>
      <w:r w:rsidRPr="00442841">
        <w:rPr>
          <w:sz w:val="24"/>
          <w:lang w:val="fi-FI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390979">
    <w:abstractNumId w:val="9"/>
  </w:num>
  <w:num w:numId="2" w16cid:durableId="1381393190">
    <w:abstractNumId w:val="9"/>
  </w:num>
  <w:num w:numId="3" w16cid:durableId="33778396">
    <w:abstractNumId w:val="7"/>
  </w:num>
  <w:num w:numId="4" w16cid:durableId="238635129">
    <w:abstractNumId w:val="7"/>
  </w:num>
  <w:num w:numId="5" w16cid:durableId="855536064">
    <w:abstractNumId w:val="6"/>
  </w:num>
  <w:num w:numId="6" w16cid:durableId="268392121">
    <w:abstractNumId w:val="6"/>
  </w:num>
  <w:num w:numId="7" w16cid:durableId="637342333">
    <w:abstractNumId w:val="5"/>
  </w:num>
  <w:num w:numId="8" w16cid:durableId="1508709236">
    <w:abstractNumId w:val="5"/>
  </w:num>
  <w:num w:numId="9" w16cid:durableId="1229807373">
    <w:abstractNumId w:val="4"/>
  </w:num>
  <w:num w:numId="10" w16cid:durableId="1341934049">
    <w:abstractNumId w:val="4"/>
  </w:num>
  <w:num w:numId="11" w16cid:durableId="1986154381">
    <w:abstractNumId w:val="8"/>
  </w:num>
  <w:num w:numId="12" w16cid:durableId="777406993">
    <w:abstractNumId w:val="8"/>
  </w:num>
  <w:num w:numId="13" w16cid:durableId="130832123">
    <w:abstractNumId w:val="3"/>
  </w:num>
  <w:num w:numId="14" w16cid:durableId="613369414">
    <w:abstractNumId w:val="3"/>
  </w:num>
  <w:num w:numId="15" w16cid:durableId="924651070">
    <w:abstractNumId w:val="2"/>
  </w:num>
  <w:num w:numId="16" w16cid:durableId="427585968">
    <w:abstractNumId w:val="2"/>
  </w:num>
  <w:num w:numId="17" w16cid:durableId="354889381">
    <w:abstractNumId w:val="1"/>
  </w:num>
  <w:num w:numId="18" w16cid:durableId="77219623">
    <w:abstractNumId w:val="1"/>
  </w:num>
  <w:num w:numId="19" w16cid:durableId="2146656411">
    <w:abstractNumId w:val="0"/>
  </w:num>
  <w:num w:numId="20" w16cid:durableId="1105226954">
    <w:abstractNumId w:val="0"/>
  </w:num>
  <w:num w:numId="21" w16cid:durableId="2057964440">
    <w:abstractNumId w:val="9"/>
  </w:num>
  <w:num w:numId="22" w16cid:durableId="1839999138">
    <w:abstractNumId w:val="7"/>
  </w:num>
  <w:num w:numId="23" w16cid:durableId="313146104">
    <w:abstractNumId w:val="6"/>
  </w:num>
  <w:num w:numId="24" w16cid:durableId="1055930508">
    <w:abstractNumId w:val="5"/>
  </w:num>
  <w:num w:numId="25" w16cid:durableId="1000693914">
    <w:abstractNumId w:val="4"/>
  </w:num>
  <w:num w:numId="26" w16cid:durableId="1141194035">
    <w:abstractNumId w:val="8"/>
  </w:num>
  <w:num w:numId="27" w16cid:durableId="63770625">
    <w:abstractNumId w:val="3"/>
  </w:num>
  <w:num w:numId="28" w16cid:durableId="1915973388">
    <w:abstractNumId w:val="2"/>
  </w:num>
  <w:num w:numId="29" w16cid:durableId="379279967">
    <w:abstractNumId w:val="1"/>
  </w:num>
  <w:num w:numId="30" w16cid:durableId="874348252">
    <w:abstractNumId w:val="0"/>
  </w:num>
  <w:num w:numId="31" w16cid:durableId="845746816">
    <w:abstractNumId w:val="9"/>
  </w:num>
  <w:num w:numId="32" w16cid:durableId="1215890727">
    <w:abstractNumId w:val="7"/>
  </w:num>
  <w:num w:numId="33" w16cid:durableId="1343360390">
    <w:abstractNumId w:val="6"/>
  </w:num>
  <w:num w:numId="34" w16cid:durableId="282083254">
    <w:abstractNumId w:val="5"/>
  </w:num>
  <w:num w:numId="35" w16cid:durableId="449012385">
    <w:abstractNumId w:val="4"/>
  </w:num>
  <w:num w:numId="36" w16cid:durableId="431053560">
    <w:abstractNumId w:val="8"/>
  </w:num>
  <w:num w:numId="37" w16cid:durableId="489324071">
    <w:abstractNumId w:val="3"/>
  </w:num>
  <w:num w:numId="38" w16cid:durableId="1150828054">
    <w:abstractNumId w:val="2"/>
  </w:num>
  <w:num w:numId="39" w16cid:durableId="1013796851">
    <w:abstractNumId w:val="1"/>
  </w:num>
  <w:num w:numId="40" w16cid:durableId="1619600057">
    <w:abstractNumId w:val="0"/>
  </w:num>
  <w:num w:numId="41" w16cid:durableId="1597592417">
    <w:abstractNumId w:val="10"/>
  </w:num>
  <w:num w:numId="42" w16cid:durableId="1535187740">
    <w:abstractNumId w:val="10"/>
  </w:num>
  <w:num w:numId="43" w16cid:durableId="450394129">
    <w:abstractNumId w:val="10"/>
  </w:num>
  <w:num w:numId="44" w16cid:durableId="1953246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57/2026"/>
    <w:docVar w:name="dvlangue" w:val="PT"/>
    <w:docVar w:name="dvnumam" w:val="0"/>
    <w:docVar w:name="dvpe" w:val="782.012"/>
    <w:docVar w:name="dvtitre" w:val="Resolução do Parlamento Europeu, de ... de ... de 2026,_x000d__x000a_ sobre o assassinato de Mehdi Kessaci: necessidade urgente de uma ação ambiciosa a nível europeu contra o tráfico de droga(2025/3020(RSP))"/>
  </w:docVars>
  <w:rsids>
    <w:rsidRoot w:val="00A978A7"/>
    <w:rsid w:val="00002272"/>
    <w:rsid w:val="000565E0"/>
    <w:rsid w:val="00064002"/>
    <w:rsid w:val="000677B9"/>
    <w:rsid w:val="000831BA"/>
    <w:rsid w:val="000A42CC"/>
    <w:rsid w:val="000B513E"/>
    <w:rsid w:val="000E7DD9"/>
    <w:rsid w:val="0010095E"/>
    <w:rsid w:val="00125B37"/>
    <w:rsid w:val="0014341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841"/>
    <w:rsid w:val="00471C19"/>
    <w:rsid w:val="004867E3"/>
    <w:rsid w:val="00494A28"/>
    <w:rsid w:val="004C0004"/>
    <w:rsid w:val="004C3DB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405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56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7A3"/>
    <w:rsid w:val="00A06156"/>
    <w:rsid w:val="00A1687D"/>
    <w:rsid w:val="00A43E52"/>
    <w:rsid w:val="00A4678D"/>
    <w:rsid w:val="00A77768"/>
    <w:rsid w:val="00A778C7"/>
    <w:rsid w:val="00A978A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C03"/>
    <w:rsid w:val="00D56C11"/>
    <w:rsid w:val="00D834A0"/>
    <w:rsid w:val="00D872DF"/>
    <w:rsid w:val="00D91E21"/>
    <w:rsid w:val="00DA7FCD"/>
    <w:rsid w:val="00E131C1"/>
    <w:rsid w:val="00E1696E"/>
    <w:rsid w:val="00E30BB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D6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D6BD0"/>
  <w15:chartTrackingRefBased/>
  <w15:docId w15:val="{AE9C98EB-3866-4912-934C-4B5B3798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3412"/>
    <w:pPr>
      <w:spacing w:before="480" w:after="240"/>
    </w:pPr>
  </w:style>
  <w:style w:type="paragraph" w:customStyle="1" w:styleId="NormalHanging12a">
    <w:name w:val="NormalHanging12a"/>
    <w:basedOn w:val="Normal"/>
    <w:rsid w:val="0014341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4341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1696E"/>
    <w:rPr>
      <w:sz w:val="24"/>
      <w:lang w:val="pt-PT"/>
    </w:rPr>
  </w:style>
  <w:style w:type="character" w:styleId="CommentReference">
    <w:name w:val="annotation reference"/>
    <w:basedOn w:val="DefaultParagraphFont"/>
    <w:rsid w:val="004428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28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284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428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2841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42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40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12/29/oj" TargetMode="External"/><Relationship Id="rId6" Type="http://schemas.openxmlformats.org/officeDocument/2006/relationships/hyperlink" Target="http://data.europa.eu/eli/dir/2024/1260/oj" TargetMode="External"/><Relationship Id="rId5" Type="http://schemas.openxmlformats.org/officeDocument/2006/relationships/hyperlink" Target="http://data.europa.eu/eli/dir/2006/126/oj" TargetMode="External"/><Relationship Id="rId4" Type="http://schemas.openxmlformats.org/officeDocument/2006/relationships/hyperlink" Target="http://data.europa.eu/eli/dir/2024/17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4452</Words>
  <Characters>24174</Characters>
  <Application>Microsoft Office Word</Application>
  <DocSecurity>0</DocSecurity>
  <Lines>619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PEREIRA Dulce</cp:lastModifiedBy>
  <cp:revision>2</cp:revision>
  <cp:lastPrinted>2004-11-19T15:42:00Z</cp:lastPrinted>
  <dcterms:created xsi:type="dcterms:W3CDTF">2026-02-26T09:09:00Z</dcterms:created>
  <dcterms:modified xsi:type="dcterms:W3CDTF">2026-02-26T09:09:00Z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P10_TA(2026)0007_</vt:lpwstr>
  </property>
  <property fmtid="{D5CDD505-2E9C-101B-9397-08002B2CF9AE}" pid="4" name="&lt;Type&gt;">
    <vt:lpwstr>RR</vt:lpwstr>
  </property>
</Properties>
</file>