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C3D7D" w14:paraId="238F4547" w14:textId="77777777" w:rsidTr="0010095E">
        <w:trPr>
          <w:trHeight w:hRule="exact" w:val="1418"/>
        </w:trPr>
        <w:tc>
          <w:tcPr>
            <w:tcW w:w="6804" w:type="dxa"/>
            <w:shd w:val="clear" w:color="auto" w:fill="auto"/>
            <w:vAlign w:val="center"/>
          </w:tcPr>
          <w:p w14:paraId="7E968402" w14:textId="77777777" w:rsidR="00751A4A" w:rsidRPr="004C3D7D" w:rsidRDefault="00137C39" w:rsidP="0010095E">
            <w:pPr>
              <w:pStyle w:val="EPName"/>
            </w:pPr>
            <w:r w:rsidRPr="004C3D7D">
              <w:t>Europaparlamentet</w:t>
            </w:r>
          </w:p>
          <w:p w14:paraId="6F5338FC" w14:textId="77777777" w:rsidR="00751A4A" w:rsidRPr="004C3D7D" w:rsidRDefault="005F1B17" w:rsidP="005F1B17">
            <w:pPr>
              <w:pStyle w:val="EPTerm"/>
              <w:rPr>
                <w:rStyle w:val="HideTWBExt"/>
                <w:noProof w:val="0"/>
                <w:vanish w:val="0"/>
                <w:color w:val="auto"/>
              </w:rPr>
            </w:pPr>
            <w:r w:rsidRPr="004C3D7D">
              <w:t>2024</w:t>
            </w:r>
            <w:r w:rsidR="00817416" w:rsidRPr="004C3D7D">
              <w:t>-202</w:t>
            </w:r>
            <w:r w:rsidRPr="004C3D7D">
              <w:t>9</w:t>
            </w:r>
          </w:p>
        </w:tc>
        <w:tc>
          <w:tcPr>
            <w:tcW w:w="2268" w:type="dxa"/>
            <w:shd w:val="clear" w:color="auto" w:fill="auto"/>
          </w:tcPr>
          <w:p w14:paraId="66BE09EA" w14:textId="77777777" w:rsidR="00751A4A" w:rsidRPr="004C3D7D" w:rsidRDefault="00187494" w:rsidP="0010095E">
            <w:pPr>
              <w:pStyle w:val="EPLogo"/>
            </w:pPr>
            <w:r w:rsidRPr="004C3D7D">
              <w:rPr>
                <w:noProof/>
                <w:lang w:eastAsia="ja-JP"/>
              </w:rPr>
              <w:drawing>
                <wp:inline distT="0" distB="0" distL="0" distR="0" wp14:anchorId="72D9655B" wp14:editId="191240C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A618484" w14:textId="77777777" w:rsidR="00D058B8" w:rsidRPr="004C3D7D" w:rsidRDefault="00D058B8" w:rsidP="004C5D52">
      <w:pPr>
        <w:pStyle w:val="LineTop"/>
      </w:pPr>
    </w:p>
    <w:p w14:paraId="1A259FFC" w14:textId="77777777" w:rsidR="00680577" w:rsidRPr="004C3D7D" w:rsidRDefault="00137C39" w:rsidP="00680577">
      <w:pPr>
        <w:pStyle w:val="EPBodyTA1"/>
      </w:pPr>
      <w:r w:rsidRPr="004C3D7D">
        <w:t>ANTAGNA TEXTER</w:t>
      </w:r>
    </w:p>
    <w:p w14:paraId="30774CD5" w14:textId="77777777" w:rsidR="00D058B8" w:rsidRPr="004C3D7D" w:rsidRDefault="00D058B8" w:rsidP="00D058B8">
      <w:pPr>
        <w:pStyle w:val="LineBottom"/>
      </w:pPr>
    </w:p>
    <w:p w14:paraId="6BCB4963" w14:textId="60618B65" w:rsidR="00137C39" w:rsidRPr="004C3D7D" w:rsidRDefault="00137C39" w:rsidP="00137C39">
      <w:pPr>
        <w:pStyle w:val="ATHeading1"/>
      </w:pPr>
      <w:bookmarkStart w:id="0" w:name="TANumber"/>
      <w:r w:rsidRPr="004C3D7D">
        <w:t>P10_TA(2026)000</w:t>
      </w:r>
      <w:r w:rsidR="00214F9F" w:rsidRPr="004C3D7D">
        <w:t>7</w:t>
      </w:r>
      <w:bookmarkEnd w:id="0"/>
    </w:p>
    <w:p w14:paraId="70CB5C23" w14:textId="77777777" w:rsidR="00137C39" w:rsidRPr="004C3D7D" w:rsidRDefault="00137C39" w:rsidP="00137C39">
      <w:pPr>
        <w:pStyle w:val="ATHeading2"/>
      </w:pPr>
      <w:bookmarkStart w:id="1" w:name="title"/>
      <w:r w:rsidRPr="004C3D7D">
        <w:t xml:space="preserve">Mordet på Mehdi </w:t>
      </w:r>
      <w:proofErr w:type="spellStart"/>
      <w:r w:rsidRPr="004C3D7D">
        <w:t>Kessaci</w:t>
      </w:r>
      <w:proofErr w:type="spellEnd"/>
      <w:r w:rsidRPr="004C3D7D">
        <w:t xml:space="preserve"> och det akuta behovet av ambitiösa europeiska åtgärder mot narkotikahandel</w:t>
      </w:r>
      <w:bookmarkEnd w:id="1"/>
    </w:p>
    <w:p w14:paraId="449AB09D" w14:textId="77777777" w:rsidR="00137C39" w:rsidRPr="004C3D7D" w:rsidRDefault="00137C39" w:rsidP="00137C39">
      <w:pPr>
        <w:rPr>
          <w:i/>
          <w:vanish/>
        </w:rPr>
      </w:pPr>
      <w:r w:rsidRPr="004C3D7D">
        <w:rPr>
          <w:i/>
        </w:rPr>
        <w:fldChar w:fldCharType="begin"/>
      </w:r>
      <w:r w:rsidRPr="004C3D7D">
        <w:rPr>
          <w:i/>
        </w:rPr>
        <w:instrText xml:space="preserve"> TC"(</w:instrText>
      </w:r>
      <w:bookmarkStart w:id="2" w:name="DocNumber"/>
      <w:r w:rsidRPr="004C3D7D">
        <w:rPr>
          <w:i/>
        </w:rPr>
        <w:instrText>B10-0057/2026</w:instrText>
      </w:r>
      <w:bookmarkEnd w:id="2"/>
      <w:r w:rsidRPr="004C3D7D">
        <w:rPr>
          <w:i/>
        </w:rPr>
        <w:instrText xml:space="preserve">)"\l3 \n&gt; \* MERGEFORMAT </w:instrText>
      </w:r>
      <w:r w:rsidRPr="004C3D7D">
        <w:rPr>
          <w:i/>
        </w:rPr>
        <w:fldChar w:fldCharType="end"/>
      </w:r>
    </w:p>
    <w:p w14:paraId="7D764149" w14:textId="77777777" w:rsidR="00137C39" w:rsidRPr="004C3D7D" w:rsidRDefault="00137C39" w:rsidP="00137C39">
      <w:pPr>
        <w:rPr>
          <w:vanish/>
        </w:rPr>
      </w:pPr>
      <w:bookmarkStart w:id="3" w:name="PE"/>
      <w:r w:rsidRPr="004C3D7D">
        <w:rPr>
          <w:vanish/>
        </w:rPr>
        <w:t>PE782.012</w:t>
      </w:r>
      <w:bookmarkEnd w:id="3"/>
    </w:p>
    <w:p w14:paraId="4F5963A4" w14:textId="4456A4CF" w:rsidR="00137C39" w:rsidRPr="004C3D7D" w:rsidRDefault="00137C39" w:rsidP="00A54319">
      <w:pPr>
        <w:pStyle w:val="ATHeading3"/>
      </w:pPr>
      <w:bookmarkStart w:id="4" w:name="Sujet"/>
      <w:r w:rsidRPr="004C3D7D">
        <w:t xml:space="preserve">Europaparlamentets resolution av den </w:t>
      </w:r>
      <w:r w:rsidR="00A54319" w:rsidRPr="004C3D7D">
        <w:t>20</w:t>
      </w:r>
      <w:r w:rsidRPr="004C3D7D">
        <w:t xml:space="preserve"> </w:t>
      </w:r>
      <w:r w:rsidR="00A54319" w:rsidRPr="004C3D7D">
        <w:t>januari</w:t>
      </w:r>
      <w:r w:rsidRPr="004C3D7D">
        <w:t xml:space="preserve"> 2026 om mordet på Mehdi </w:t>
      </w:r>
      <w:proofErr w:type="spellStart"/>
      <w:r w:rsidRPr="004C3D7D">
        <w:t>Kessaci</w:t>
      </w:r>
      <w:proofErr w:type="spellEnd"/>
      <w:r w:rsidRPr="004C3D7D">
        <w:t xml:space="preserve"> och det akuta behovet av ambitiösa europeiska åtgärder mot narkotikahandel</w:t>
      </w:r>
      <w:bookmarkEnd w:id="4"/>
      <w:r w:rsidRPr="004C3D7D">
        <w:t xml:space="preserve"> </w:t>
      </w:r>
      <w:bookmarkStart w:id="5" w:name="References"/>
      <w:r w:rsidRPr="004C3D7D">
        <w:t>(2025/3020(RSP))</w:t>
      </w:r>
      <w:bookmarkEnd w:id="5"/>
    </w:p>
    <w:p w14:paraId="3E628953" w14:textId="77777777" w:rsidR="00EC6CEC" w:rsidRPr="004C3D7D" w:rsidRDefault="00EC6CEC" w:rsidP="00EC6CEC">
      <w:pPr>
        <w:pStyle w:val="EPComma"/>
        <w:widowControl/>
      </w:pPr>
      <w:bookmarkStart w:id="6" w:name="TextBodyBegin"/>
      <w:bookmarkEnd w:id="6"/>
      <w:r w:rsidRPr="004C3D7D">
        <w:rPr>
          <w:i/>
          <w:iCs/>
        </w:rPr>
        <w:t>Europaparlamentet utfärdar denna resolution</w:t>
      </w:r>
    </w:p>
    <w:p w14:paraId="653B0BEB" w14:textId="77777777" w:rsidR="00EC6CEC" w:rsidRPr="004C3D7D" w:rsidRDefault="00EC6CEC" w:rsidP="00EC6CEC">
      <w:pPr>
        <w:pStyle w:val="NormalHanging12a"/>
        <w:widowControl/>
      </w:pPr>
      <w:r w:rsidRPr="004C3D7D">
        <w:t>–</w:t>
      </w:r>
      <w:r w:rsidRPr="004C3D7D">
        <w:tab/>
        <w:t>med beaktande av fördraget om Europeiska unionen (EU-fördraget) och fördraget om Europeiska unionens funktionssätt (EUF-fördraget), särskilt deras bestämmelser om ett område med frihet, säkerhet och rättvisa,</w:t>
      </w:r>
    </w:p>
    <w:p w14:paraId="25451D40" w14:textId="77777777" w:rsidR="00EC6CEC" w:rsidRPr="004C3D7D" w:rsidRDefault="00EC6CEC" w:rsidP="00EC6CEC">
      <w:pPr>
        <w:pStyle w:val="NormalHanging12a"/>
        <w:widowControl/>
        <w:rPr>
          <w:szCs w:val="24"/>
        </w:rPr>
      </w:pPr>
      <w:r w:rsidRPr="004C3D7D">
        <w:t>–</w:t>
      </w:r>
      <w:r w:rsidRPr="004C3D7D">
        <w:tab/>
        <w:t>med beaktande av Europeiska unionens stadga om de grundläggande rättigheterna, särskilt artiklarna om människans värdighet, rätten till liv, yttrandefrihet, brottsoffers rättigheter och skydd av personuppgifter,</w:t>
      </w:r>
    </w:p>
    <w:p w14:paraId="677FE2C9" w14:textId="77777777" w:rsidR="00EC6CEC" w:rsidRPr="004C3D7D" w:rsidRDefault="00EC6CEC" w:rsidP="00EC6CEC">
      <w:pPr>
        <w:pStyle w:val="NormalHanging12a"/>
        <w:widowControl/>
      </w:pPr>
      <w:r w:rsidRPr="004C3D7D">
        <w:t>–</w:t>
      </w:r>
      <w:r w:rsidRPr="004C3D7D">
        <w:tab/>
        <w:t>med beaktande av EU:s narkotikastrategier och den senast offentliggjorda versionen tillsammans med den europeiska handlingsplanen mot narkotikahandel för perioden 2026–2030,</w:t>
      </w:r>
    </w:p>
    <w:p w14:paraId="302C1E40" w14:textId="77777777" w:rsidR="00EC6CEC" w:rsidRPr="004C3D7D" w:rsidRDefault="00EC6CEC" w:rsidP="00EC6CEC">
      <w:pPr>
        <w:pStyle w:val="NormalHanging12a"/>
        <w:widowControl/>
      </w:pPr>
      <w:r w:rsidRPr="004C3D7D">
        <w:t>–</w:t>
      </w:r>
      <w:r w:rsidRPr="004C3D7D">
        <w:tab/>
        <w:t>med beaktande av rådets övergripande arbetsgrupp för narkotikafrågor, som inrättades 1997 och som har i uppgift att samordna EU:s åtgärder på narkotikaområdet,</w:t>
      </w:r>
    </w:p>
    <w:p w14:paraId="27913FF0" w14:textId="77777777" w:rsidR="00EC6CEC" w:rsidRPr="004C3D7D" w:rsidRDefault="00EC6CEC" w:rsidP="00EC6CEC">
      <w:pPr>
        <w:pStyle w:val="NormalHanging12a"/>
        <w:widowControl/>
      </w:pPr>
      <w:r w:rsidRPr="004C3D7D">
        <w:t>–</w:t>
      </w:r>
      <w:r w:rsidRPr="004C3D7D">
        <w:tab/>
        <w:t>med beaktande av rapporterna och analyserna från Europeiska unionens narkotikamyndighet (EUDA), särskilt den europeiska narkotikarapporten 2025,</w:t>
      </w:r>
    </w:p>
    <w:p w14:paraId="0A4EA6FE" w14:textId="77777777" w:rsidR="00EC6CEC" w:rsidRPr="004C3D7D" w:rsidRDefault="00EC6CEC" w:rsidP="00EC6CEC">
      <w:pPr>
        <w:pStyle w:val="NormalHanging12a"/>
        <w:widowControl/>
      </w:pPr>
      <w:r w:rsidRPr="004C3D7D">
        <w:t>–</w:t>
      </w:r>
      <w:r w:rsidRPr="004C3D7D">
        <w:tab/>
        <w:t>med beaktande av inrättandet av den europeiska koalitionen mot narkotika, som samlar över 40 länder och syftar till att stärka det internationella samarbetet mot narkotikahandel,</w:t>
      </w:r>
    </w:p>
    <w:p w14:paraId="066918B9" w14:textId="77777777" w:rsidR="00EC6CEC" w:rsidRPr="004C3D7D" w:rsidRDefault="00EC6CEC" w:rsidP="00EC6CEC">
      <w:pPr>
        <w:pStyle w:val="NormalHanging12a"/>
        <w:widowControl/>
      </w:pPr>
      <w:r w:rsidRPr="004C3D7D">
        <w:t>–</w:t>
      </w:r>
      <w:r w:rsidRPr="004C3D7D">
        <w:tab/>
        <w:t>med beaktande av Europarådets Pompidougrupp, som arbetar med politik om narkotika och förebyggande,</w:t>
      </w:r>
    </w:p>
    <w:p w14:paraId="08E61866" w14:textId="77777777" w:rsidR="00EC6CEC" w:rsidRPr="004C3D7D" w:rsidRDefault="00EC6CEC" w:rsidP="00EC6CEC">
      <w:pPr>
        <w:pStyle w:val="NormalHanging12a"/>
        <w:widowControl/>
      </w:pPr>
      <w:r w:rsidRPr="004C3D7D">
        <w:t>–</w:t>
      </w:r>
      <w:r w:rsidRPr="004C3D7D">
        <w:tab/>
        <w:t xml:space="preserve">med beaktande av Förenta nationernas konvention från 1998 mot olaglig hantering av narkotika och </w:t>
      </w:r>
      <w:proofErr w:type="spellStart"/>
      <w:r w:rsidRPr="004C3D7D">
        <w:t>psykotropa</w:t>
      </w:r>
      <w:proofErr w:type="spellEnd"/>
      <w:r w:rsidRPr="004C3D7D">
        <w:t xml:space="preserve"> ämnen samt arbetet i FN:s drog- och brottsbekämpningsbyrå (UNODC),</w:t>
      </w:r>
    </w:p>
    <w:p w14:paraId="7E42B474" w14:textId="77777777" w:rsidR="00EC6CEC" w:rsidRPr="004C3D7D" w:rsidRDefault="00EC6CEC" w:rsidP="00EC6CEC">
      <w:pPr>
        <w:pStyle w:val="NormalHanging12a"/>
        <w:widowControl/>
      </w:pPr>
      <w:r w:rsidRPr="004C3D7D">
        <w:lastRenderedPageBreak/>
        <w:t>–</w:t>
      </w:r>
      <w:r w:rsidRPr="004C3D7D">
        <w:tab/>
        <w:t>med beaktande av Förenta nationernas konvention mot gränsöverskridande organiserad brottslighet, som undertecknades i Palermo år 2000, och dess protokoll, samt Förenta nationernas konvention mot korruption,</w:t>
      </w:r>
    </w:p>
    <w:p w14:paraId="6011B735" w14:textId="77777777" w:rsidR="00EC6CEC" w:rsidRPr="004C3D7D" w:rsidRDefault="00EC6CEC" w:rsidP="00EC6CEC">
      <w:pPr>
        <w:pStyle w:val="NormalHanging12a"/>
        <w:widowControl/>
      </w:pPr>
      <w:r w:rsidRPr="004C3D7D">
        <w:t>–</w:t>
      </w:r>
      <w:r w:rsidRPr="004C3D7D">
        <w:tab/>
        <w:t>med beaktande av de olika bestämmelser som europeiska och internationella organ infört för att förebygga och bekämpa penningtvätt och finansiering av organiserad brottslighet,</w:t>
      </w:r>
    </w:p>
    <w:p w14:paraId="22AE49D7" w14:textId="77777777" w:rsidR="00EC6CEC" w:rsidRPr="004C3D7D" w:rsidRDefault="00EC6CEC" w:rsidP="00EC6CEC">
      <w:pPr>
        <w:pStyle w:val="NormalHanging12a"/>
        <w:widowControl/>
      </w:pPr>
      <w:r w:rsidRPr="004C3D7D">
        <w:t>–</w:t>
      </w:r>
      <w:r w:rsidRPr="004C3D7D">
        <w:tab/>
        <w:t>med beaktande av Europaparlamentets och rådets direktiv 2012/29/EU av den 25 oktober 2012 om fastställande av miniminormer för brottsoffers rättigheter och för stöd till och skydd av dem</w:t>
      </w:r>
      <w:r w:rsidRPr="004C3D7D">
        <w:rPr>
          <w:rStyle w:val="FootnoteReference"/>
          <w:rFonts w:eastAsia="Arial"/>
        </w:rPr>
        <w:footnoteReference w:id="1"/>
      </w:r>
      <w:r w:rsidRPr="004C3D7D">
        <w:t>,</w:t>
      </w:r>
    </w:p>
    <w:p w14:paraId="135391ED" w14:textId="77777777" w:rsidR="00EC6CEC" w:rsidRPr="004C3D7D" w:rsidRDefault="00EC6CEC" w:rsidP="00EC6CEC">
      <w:pPr>
        <w:pStyle w:val="NormalHanging12a"/>
        <w:widowControl/>
      </w:pPr>
      <w:r w:rsidRPr="004C3D7D">
        <w:t>–</w:t>
      </w:r>
      <w:r w:rsidRPr="004C3D7D">
        <w:tab/>
        <w:t>med beaktande av den internationella konventionen om barnets rättigheter, som antogs av FN:s generalförsamling den 20 november 1989,</w:t>
      </w:r>
    </w:p>
    <w:p w14:paraId="0811FC41" w14:textId="77777777" w:rsidR="00EC6CEC" w:rsidRPr="004C3D7D" w:rsidRDefault="00EC6CEC" w:rsidP="00EC6CEC">
      <w:pPr>
        <w:pStyle w:val="NormalHanging12a"/>
        <w:widowControl/>
      </w:pPr>
      <w:r w:rsidRPr="004C3D7D">
        <w:t>–</w:t>
      </w:r>
      <w:r w:rsidRPr="004C3D7D">
        <w:tab/>
        <w:t>med beaktande av sin resolution av den 11 juni 2013 om organiserad brottslighet, korruption och penningtvätt</w:t>
      </w:r>
      <w:r w:rsidRPr="004C3D7D">
        <w:rPr>
          <w:rStyle w:val="FootnoteReference"/>
          <w:rFonts w:eastAsia="Arial"/>
        </w:rPr>
        <w:footnoteReference w:id="2"/>
      </w:r>
      <w:r w:rsidRPr="004C3D7D">
        <w:t>,</w:t>
      </w:r>
    </w:p>
    <w:p w14:paraId="35070435" w14:textId="77777777" w:rsidR="00EC6CEC" w:rsidRPr="004C3D7D" w:rsidRDefault="00EC6CEC" w:rsidP="00EC6CEC">
      <w:pPr>
        <w:pStyle w:val="NormalHanging12a"/>
        <w:widowControl/>
      </w:pPr>
      <w:r w:rsidRPr="004C3D7D">
        <w:t>–</w:t>
      </w:r>
      <w:r w:rsidRPr="004C3D7D">
        <w:tab/>
        <w:t>med beaktande av engagemanget från EU-organ i kampen mot narkotikahandel, inte minst EUDA, Europol och Eurojust,</w:t>
      </w:r>
    </w:p>
    <w:p w14:paraId="693940BD" w14:textId="77777777" w:rsidR="00EC6CEC" w:rsidRPr="004C3D7D" w:rsidRDefault="00EC6CEC" w:rsidP="00EC6CEC">
      <w:pPr>
        <w:pStyle w:val="NormalHanging12a"/>
        <w:widowControl/>
      </w:pPr>
      <w:r w:rsidRPr="004C3D7D">
        <w:t>–</w:t>
      </w:r>
      <w:r w:rsidRPr="004C3D7D">
        <w:tab/>
        <w:t>med beaktande av EU:s lagstiftningspaket om bekämpning av penningtvätt och finansiering av terrorism, som bland annat inbegriper förordning (EU) 2024/1624</w:t>
      </w:r>
      <w:r w:rsidRPr="004C3D7D">
        <w:rPr>
          <w:rStyle w:val="FootnoteReference"/>
          <w:rFonts w:eastAsia="Arial"/>
        </w:rPr>
        <w:footnoteReference w:id="3"/>
      </w:r>
      <w:r w:rsidRPr="004C3D7D">
        <w:t>, direktiv (EU) 2024/1640</w:t>
      </w:r>
      <w:r w:rsidRPr="004C3D7D">
        <w:rPr>
          <w:rStyle w:val="FootnoteReference"/>
          <w:rFonts w:eastAsia="Arial"/>
        </w:rPr>
        <w:footnoteReference w:id="4"/>
      </w:r>
      <w:r w:rsidRPr="004C3D7D">
        <w:t xml:space="preserve"> och inrättandet av myndigheten för bekämpning av penningtvätt och finansiering av terrorism (</w:t>
      </w:r>
      <w:proofErr w:type="spellStart"/>
      <w:r w:rsidRPr="004C3D7D">
        <w:t>Amla</w:t>
      </w:r>
      <w:proofErr w:type="spellEnd"/>
      <w:r w:rsidRPr="004C3D7D">
        <w:t>),</w:t>
      </w:r>
    </w:p>
    <w:p w14:paraId="54758A8B" w14:textId="77777777" w:rsidR="00EC6CEC" w:rsidRPr="004C3D7D" w:rsidRDefault="00EC6CEC" w:rsidP="00EC6CEC">
      <w:pPr>
        <w:pStyle w:val="NormalHanging12a"/>
        <w:widowControl/>
      </w:pPr>
      <w:r w:rsidRPr="004C3D7D">
        <w:t>–</w:t>
      </w:r>
      <w:r w:rsidRPr="004C3D7D">
        <w:tab/>
        <w:t>med beaktande av Europaparlamentets och rådets direktiv (EU) 2024/1712 av den 13 juni 2024 om ändring av direktiv 2011/36/EU om förebyggande och bekämpande av människohandel och om skydd av dess offer</w:t>
      </w:r>
      <w:r w:rsidRPr="004C3D7D">
        <w:rPr>
          <w:rStyle w:val="FootnoteReference"/>
          <w:rFonts w:eastAsia="Arial"/>
        </w:rPr>
        <w:footnoteReference w:id="5"/>
      </w:r>
      <w:r w:rsidRPr="004C3D7D">
        <w:t>,</w:t>
      </w:r>
    </w:p>
    <w:p w14:paraId="3C50E850" w14:textId="77777777" w:rsidR="00EC6CEC" w:rsidRPr="004C3D7D" w:rsidRDefault="00EC6CEC" w:rsidP="00EC6CEC">
      <w:pPr>
        <w:pStyle w:val="NormalHanging12a"/>
        <w:widowControl/>
      </w:pPr>
      <w:r w:rsidRPr="004C3D7D">
        <w:t>–</w:t>
      </w:r>
      <w:r w:rsidRPr="004C3D7D">
        <w:tab/>
        <w:t>med beaktande av civilsamhällesforumet om narkotika och dess sektion med inriktning på ungdom,</w:t>
      </w:r>
    </w:p>
    <w:p w14:paraId="06ED1B89" w14:textId="77777777" w:rsidR="00EC6CEC" w:rsidRPr="004C3D7D" w:rsidRDefault="00EC6CEC" w:rsidP="00EC6CEC">
      <w:pPr>
        <w:pStyle w:val="NormalHanging12a"/>
        <w:widowControl/>
      </w:pPr>
      <w:r w:rsidRPr="004C3D7D">
        <w:t>–</w:t>
      </w:r>
      <w:r w:rsidRPr="004C3D7D">
        <w:tab/>
        <w:t>med beaktande av den särskilt kritiska situationen i de yttersta randområdena,</w:t>
      </w:r>
    </w:p>
    <w:p w14:paraId="5145FB69" w14:textId="77777777" w:rsidR="00EC6CEC" w:rsidRPr="004C3D7D" w:rsidRDefault="00EC6CEC" w:rsidP="00EC6CEC">
      <w:pPr>
        <w:pStyle w:val="NormalHanging12a"/>
        <w:widowControl/>
      </w:pPr>
      <w:r w:rsidRPr="004C3D7D">
        <w:t>–</w:t>
      </w:r>
      <w:r w:rsidRPr="004C3D7D">
        <w:tab/>
        <w:t xml:space="preserve">med beaktande av boken ”Marseille, </w:t>
      </w:r>
      <w:proofErr w:type="spellStart"/>
      <w:r w:rsidRPr="004C3D7D">
        <w:t>essuie</w:t>
      </w:r>
      <w:proofErr w:type="spellEnd"/>
      <w:r w:rsidRPr="004C3D7D">
        <w:t xml:space="preserve"> tes </w:t>
      </w:r>
      <w:proofErr w:type="spellStart"/>
      <w:r w:rsidRPr="004C3D7D">
        <w:t>larmes</w:t>
      </w:r>
      <w:proofErr w:type="spellEnd"/>
      <w:r w:rsidRPr="004C3D7D">
        <w:t>” (”Marseille, torka dina tårar”) och dess uppmaningar till motstånd mot narkotikahandeln och till ett folkligt uppvaknande,</w:t>
      </w:r>
    </w:p>
    <w:p w14:paraId="04CABE2B" w14:textId="77777777" w:rsidR="00EC6CEC" w:rsidRPr="004C3D7D" w:rsidRDefault="00EC6CEC" w:rsidP="00EC6CEC">
      <w:pPr>
        <w:pStyle w:val="NormalHanging12a"/>
        <w:widowControl/>
      </w:pPr>
      <w:r w:rsidRPr="004C3D7D">
        <w:t>–</w:t>
      </w:r>
      <w:r w:rsidRPr="004C3D7D">
        <w:tab/>
        <w:t>med beaktande av artikel 136.2 i arbetsordningen, och av följande skäl:</w:t>
      </w:r>
    </w:p>
    <w:p w14:paraId="70EE34FC" w14:textId="75502565" w:rsidR="00EC6CEC" w:rsidRPr="004C3D7D" w:rsidRDefault="00EC6CEC" w:rsidP="00EC6CEC">
      <w:pPr>
        <w:pStyle w:val="NormalHanging12a"/>
        <w:widowControl/>
      </w:pPr>
      <w:r w:rsidRPr="004C3D7D">
        <w:t>A.</w:t>
      </w:r>
      <w:r w:rsidRPr="004C3D7D">
        <w:tab/>
        <w:t xml:space="preserve">20-årige Mehdi </w:t>
      </w:r>
      <w:proofErr w:type="spellStart"/>
      <w:r w:rsidRPr="004C3D7D">
        <w:t>Kessaci</w:t>
      </w:r>
      <w:proofErr w:type="spellEnd"/>
      <w:r w:rsidRPr="004C3D7D">
        <w:t xml:space="preserve">, av fransk nationalitet och okänd av polismyndigheterna – förutom att han hade </w:t>
      </w:r>
      <w:r w:rsidR="00F55DCE" w:rsidRPr="004C3D7D">
        <w:t>ansökt om</w:t>
      </w:r>
      <w:r w:rsidRPr="004C3D7D">
        <w:t xml:space="preserve"> att bli polis – mördades den 13 november 2025 i Marseille, mitt på dagen och på öppen gata, i en kontext präglad av våld med </w:t>
      </w:r>
      <w:r w:rsidRPr="004C3D7D">
        <w:lastRenderedPageBreak/>
        <w:t>anknytning till narkotikahandel. Detta illustrerar de kriminella nätverkens tilltagande brutalitet och våldets direkta konsekvenser för familjer och lokalsamhällen.</w:t>
      </w:r>
    </w:p>
    <w:p w14:paraId="7D739EAE" w14:textId="77777777" w:rsidR="00EC6CEC" w:rsidRPr="004C3D7D" w:rsidRDefault="00EC6CEC" w:rsidP="00EC6CEC">
      <w:pPr>
        <w:pStyle w:val="NormalHanging12a"/>
        <w:widowControl/>
      </w:pPr>
      <w:r w:rsidRPr="004C3D7D">
        <w:t>B.</w:t>
      </w:r>
      <w:r w:rsidRPr="004C3D7D">
        <w:tab/>
        <w:t xml:space="preserve">Mehdi </w:t>
      </w:r>
      <w:proofErr w:type="spellStart"/>
      <w:r w:rsidRPr="004C3D7D">
        <w:t>Kessaci</w:t>
      </w:r>
      <w:proofErr w:type="spellEnd"/>
      <w:r w:rsidRPr="004C3D7D">
        <w:t xml:space="preserve"> var bror till </w:t>
      </w:r>
      <w:proofErr w:type="spellStart"/>
      <w:r w:rsidRPr="004C3D7D">
        <w:t>Amine</w:t>
      </w:r>
      <w:proofErr w:type="spellEnd"/>
      <w:r w:rsidRPr="004C3D7D">
        <w:t xml:space="preserve"> </w:t>
      </w:r>
      <w:proofErr w:type="spellStart"/>
      <w:r w:rsidRPr="004C3D7D">
        <w:t>Kessaci</w:t>
      </w:r>
      <w:proofErr w:type="spellEnd"/>
      <w:r w:rsidRPr="004C3D7D">
        <w:t xml:space="preserve">, en engagerad aktivist mot narkotikahandel, författare och ett känt ansikte i medborgarmobiliseringen mot den organiserade brottsligheten. Han blev säkerligen mördad på grund av denna familjekoppling. Detta mord är ett direkt angrepp på yttrandefriheten och misstänks vara ett led i skrämselmetoder som påminner om organiserade maffianätverk. Brottet ledde till ett nationellt uppvaknande med 10 000 personer över hela landet som samlades för att uttrycka sitt stöd för </w:t>
      </w:r>
      <w:proofErr w:type="spellStart"/>
      <w:r w:rsidRPr="004C3D7D">
        <w:t>Amine</w:t>
      </w:r>
      <w:proofErr w:type="spellEnd"/>
      <w:r w:rsidRPr="004C3D7D">
        <w:t xml:space="preserve"> </w:t>
      </w:r>
      <w:proofErr w:type="spellStart"/>
      <w:r w:rsidRPr="004C3D7D">
        <w:t>Kessaci</w:t>
      </w:r>
      <w:proofErr w:type="spellEnd"/>
      <w:r w:rsidRPr="004C3D7D">
        <w:t xml:space="preserve"> och hans familj och för att försvara demokratin, yttrandefriheten och rättsstaten mot narkotikahandeln.</w:t>
      </w:r>
    </w:p>
    <w:p w14:paraId="579B7238" w14:textId="77777777" w:rsidR="00EC6CEC" w:rsidRPr="004C3D7D" w:rsidRDefault="00EC6CEC" w:rsidP="00EC6CEC">
      <w:pPr>
        <w:pStyle w:val="NormalHanging12a"/>
        <w:widowControl/>
      </w:pPr>
      <w:r w:rsidRPr="004C3D7D">
        <w:t>C.</w:t>
      </w:r>
      <w:r w:rsidRPr="004C3D7D">
        <w:tab/>
        <w:t>Mordet ingår i en rad våldsdåd kopplade till narkotikahandeln i Marseille som gav upphov till 24 mord under 2024 och 49 dödsoffer under 2023. De drabbade är allt oftare minderåriga och oskyldiga. Det är ett gissel som plågar många europeiska städer och hotar den sociala sammanhållningen, människors hälsa och säkerhet och rättsstaten. Situationen i de yttersta randområdena är särskilt kritisk, inte minst med tanke på de närmare 90 mord kopplade till narkotikahandel som 2025 registrerades bara på Guadeloupe och Martinique.</w:t>
      </w:r>
    </w:p>
    <w:p w14:paraId="0179B5AD" w14:textId="0A500ABC" w:rsidR="00EC6CEC" w:rsidRPr="004C3D7D" w:rsidRDefault="00A54319" w:rsidP="00EC6CEC">
      <w:pPr>
        <w:pStyle w:val="NormalHanging12a"/>
        <w:widowControl/>
      </w:pPr>
      <w:r w:rsidRPr="004C3D7D">
        <w:t>D</w:t>
      </w:r>
      <w:r w:rsidR="00EC6CEC" w:rsidRPr="004C3D7D">
        <w:t>.</w:t>
      </w:r>
      <w:r w:rsidR="00EC6CEC" w:rsidRPr="004C3D7D">
        <w:tab/>
        <w:t xml:space="preserve">Narkotikahandel är ett av de allvarligaste hoten mot Europeiska unionens inre säkerhet och göder organiserad brottslighet, våld och korruption. Enligt Europol är nästan 50 % av de </w:t>
      </w:r>
      <w:r w:rsidR="00F55DCE" w:rsidRPr="004C3D7D">
        <w:t xml:space="preserve">farligaste </w:t>
      </w:r>
      <w:r w:rsidR="00EC6CEC" w:rsidRPr="004C3D7D">
        <w:t>kriminella nätverken i Europa inblandade i sådan handel, av vilka över en tredjedel ägnar sig uteslutande åt detta.</w:t>
      </w:r>
    </w:p>
    <w:p w14:paraId="353B4D78" w14:textId="3BB87A0E" w:rsidR="00EC6CEC" w:rsidRPr="004C3D7D" w:rsidRDefault="00A54319" w:rsidP="00EC6CEC">
      <w:pPr>
        <w:pStyle w:val="NormalHanging12a"/>
        <w:widowControl/>
      </w:pPr>
      <w:r w:rsidRPr="004C3D7D">
        <w:t>E</w:t>
      </w:r>
      <w:r w:rsidR="00EC6CEC" w:rsidRPr="004C3D7D">
        <w:t>.</w:t>
      </w:r>
      <w:r w:rsidR="00EC6CEC" w:rsidRPr="004C3D7D">
        <w:tab/>
        <w:t>Våldet med anknytning till narkotikahandel i Europa har intensifierats på senare år, och organiserade kriminella grupper använder allt oftare skjutvapen. I genomsnitt 28 % av skjutvapenbeslagen i Europa har anknytning till droghandel, vilket illustrerar den direkta kopplingen mellan narkotikahandel och allvarliga hot mot den allmänna säkerheten.</w:t>
      </w:r>
    </w:p>
    <w:p w14:paraId="3F17C119" w14:textId="2F2F47EC" w:rsidR="00EC6CEC" w:rsidRPr="004C3D7D" w:rsidRDefault="00A54319" w:rsidP="00EC6CEC">
      <w:pPr>
        <w:pStyle w:val="NormalHanging12a"/>
        <w:widowControl/>
      </w:pPr>
      <w:r w:rsidRPr="004C3D7D">
        <w:t>F</w:t>
      </w:r>
      <w:r w:rsidR="00EC6CEC" w:rsidRPr="004C3D7D">
        <w:t>.</w:t>
      </w:r>
      <w:r w:rsidR="00EC6CEC" w:rsidRPr="004C3D7D">
        <w:tab/>
        <w:t>Produktionen av, handeln med och konsumtionen av droger ökar snabbt och är uppe i tidigare osedda nivåer i Europeiska unionen. Enligt EUDA beslagtogs 752 ton cannabis och 419 ton kokain i unionen under 2023, och 2,7 miljoner unga vuxna mellan 15 och 34 år säger sig ha tagit något av detta under det gångna året. Närmare 500 laboratorier för syntetiska droger stängs varje år inom unionens territorium, och antalet narkotikarelaterade dödsfall uppgick till nästan 7 500 under 2023. Denna utveckling speglar en allmän spridning av fenomenet som berör alla territorier, generationer och samhällsgrupper.</w:t>
      </w:r>
    </w:p>
    <w:p w14:paraId="0D57AC85" w14:textId="43E70499" w:rsidR="00EC6CEC" w:rsidRPr="004C3D7D" w:rsidRDefault="00A54319" w:rsidP="00EC6CEC">
      <w:pPr>
        <w:pStyle w:val="NormalHanging12a"/>
        <w:widowControl/>
      </w:pPr>
      <w:r w:rsidRPr="004C3D7D">
        <w:t>G</w:t>
      </w:r>
      <w:r w:rsidR="00EC6CEC" w:rsidRPr="004C3D7D">
        <w:t>.</w:t>
      </w:r>
      <w:r w:rsidR="00EC6CEC" w:rsidRPr="004C3D7D">
        <w:tab/>
        <w:t>Europeiska hamnar är viktiga strategiska ankomstplatser för olagliga droger. Runt 70 % av tullens narkotikabeslag sker i hamninfrastruktur, och de kriminella nätverken utnyttjar hamnarnas sårbarhet i fråga om logistik och mänskliga resurser.</w:t>
      </w:r>
    </w:p>
    <w:p w14:paraId="77823099" w14:textId="10A82F96" w:rsidR="00EC6CEC" w:rsidRPr="004C3D7D" w:rsidRDefault="00A54319" w:rsidP="00EC6CEC">
      <w:pPr>
        <w:pStyle w:val="NormalHanging12a"/>
        <w:widowControl/>
      </w:pPr>
      <w:r w:rsidRPr="004C3D7D">
        <w:t>H</w:t>
      </w:r>
      <w:r w:rsidR="00EC6CEC" w:rsidRPr="004C3D7D">
        <w:t>.</w:t>
      </w:r>
      <w:r w:rsidR="00EC6CEC" w:rsidRPr="004C3D7D">
        <w:tab/>
        <w:t>Yrkespersoner i fiskeri- och hamnsektorn som fiskare och hamnarbetare är måltavlor för narkotikanätverken, som utnyttjar karaktären på deras verksamhet för att föra in droger i Europeiska unionen.</w:t>
      </w:r>
    </w:p>
    <w:p w14:paraId="588F45F5" w14:textId="1F364458" w:rsidR="00EC6CEC" w:rsidRPr="004C3D7D" w:rsidRDefault="00A54319" w:rsidP="00EC6CEC">
      <w:pPr>
        <w:pStyle w:val="NormalHanging12a"/>
        <w:widowControl/>
      </w:pPr>
      <w:r w:rsidRPr="004C3D7D">
        <w:t>I</w:t>
      </w:r>
      <w:r w:rsidR="00EC6CEC" w:rsidRPr="004C3D7D">
        <w:t>.</w:t>
      </w:r>
      <w:r w:rsidR="00EC6CEC" w:rsidRPr="004C3D7D">
        <w:tab/>
        <w:t xml:space="preserve">Den massiva ökningen av narkotikaanvändning har en direkt inverkan på narkotikahandeln, där kolossala vinster genereras för narkotikahandlarna som får en ekonomisk kapacitet som kan bli ett hot mot demokratin. Den nationella franska </w:t>
      </w:r>
      <w:r w:rsidR="00EC6CEC" w:rsidRPr="004C3D7D">
        <w:lastRenderedPageBreak/>
        <w:t>kommissionen för kampanjräkenskaper och politisk finansiering har slagit larm om narkotikanätverkens inflytande på det kommande lokalvalet.</w:t>
      </w:r>
    </w:p>
    <w:p w14:paraId="0B7BA2E5" w14:textId="18CD44AD" w:rsidR="00EC6CEC" w:rsidRPr="004C3D7D" w:rsidRDefault="00F55DCE" w:rsidP="00EC6CEC">
      <w:pPr>
        <w:pStyle w:val="NormalHanging12a"/>
        <w:widowControl/>
      </w:pPr>
      <w:r w:rsidRPr="004C3D7D">
        <w:t>J</w:t>
      </w:r>
      <w:r w:rsidR="00EC6CEC" w:rsidRPr="004C3D7D">
        <w:t>.</w:t>
      </w:r>
      <w:r w:rsidR="00EC6CEC" w:rsidRPr="004C3D7D">
        <w:tab/>
        <w:t>Narkotikahandel är en av de mest lukrativa verksamheterna inom den organiserade brottsligheten med tanke på att den svarar för runt en femtedel av all vinning som härrör från brott globalt sett. I EU noteras en exempellös ökning av tillgången på olagliga droger, inte minst kokain från Sydamerika.</w:t>
      </w:r>
    </w:p>
    <w:p w14:paraId="1CDFAA89" w14:textId="71457627" w:rsidR="00F55DCE" w:rsidRPr="004C3D7D" w:rsidRDefault="00F55DCE" w:rsidP="00F55DCE">
      <w:pPr>
        <w:pStyle w:val="NormalHanging12a"/>
      </w:pPr>
      <w:r w:rsidRPr="004C3D7D">
        <w:rPr>
          <w:bCs/>
          <w:iCs/>
        </w:rPr>
        <w:t>K.</w:t>
      </w:r>
      <w:r w:rsidRPr="004C3D7D">
        <w:rPr>
          <w:bCs/>
          <w:iCs/>
        </w:rPr>
        <w:tab/>
        <w:t>Narkotikanätverk kan försöka utöva påtryckningar eller otillbörligt inflytande</w:t>
      </w:r>
      <w:r w:rsidRPr="004C3D7D">
        <w:rPr>
          <w:bCs/>
          <w:i/>
        </w:rPr>
        <w:t xml:space="preserve"> </w:t>
      </w:r>
      <w:r w:rsidRPr="004C3D7D">
        <w:rPr>
          <w:bCs/>
          <w:iCs/>
        </w:rPr>
        <w:t>på</w:t>
      </w:r>
      <w:r w:rsidRPr="004C3D7D">
        <w:rPr>
          <w:bCs/>
          <w:i/>
        </w:rPr>
        <w:t xml:space="preserve"> </w:t>
      </w:r>
      <w:r w:rsidRPr="004C3D7D">
        <w:rPr>
          <w:bCs/>
          <w:iCs/>
        </w:rPr>
        <w:t>lokala folkvalda och på väljare, särskilt på kommunal nivå, och på så vis undergräva de demokratiska processernas integritet.</w:t>
      </w:r>
    </w:p>
    <w:p w14:paraId="2124EB55" w14:textId="15D059B9" w:rsidR="00EC6CEC" w:rsidRPr="004C3D7D" w:rsidRDefault="00214F9F" w:rsidP="00EC6CEC">
      <w:pPr>
        <w:pStyle w:val="NormalHanging12a"/>
        <w:widowControl/>
      </w:pPr>
      <w:r w:rsidRPr="004C3D7D">
        <w:t>L</w:t>
      </w:r>
      <w:r w:rsidR="00EC6CEC" w:rsidRPr="004C3D7D">
        <w:t>.</w:t>
      </w:r>
      <w:r w:rsidR="00EC6CEC" w:rsidRPr="004C3D7D">
        <w:tab/>
        <w:t>Narkotikahandlarnas ekonomiska kapacitet hotar demokratin i form av penningtvätt, korruption, infiltration i den lagliga ekonomin och den kapacitet den ger de kriminella nätverken att skaffa sig eller utvidga ett territoriellt inflytande, även inom Europeiska unionen.</w:t>
      </w:r>
    </w:p>
    <w:p w14:paraId="2064E1F0" w14:textId="750EBC83" w:rsidR="00EC6CEC" w:rsidRPr="004C3D7D" w:rsidRDefault="00214F9F" w:rsidP="00EC6CEC">
      <w:pPr>
        <w:pStyle w:val="NormalHanging12a"/>
        <w:widowControl/>
      </w:pPr>
      <w:r w:rsidRPr="004C3D7D">
        <w:t>M</w:t>
      </w:r>
      <w:r w:rsidR="00EC6CEC" w:rsidRPr="004C3D7D">
        <w:t>.</w:t>
      </w:r>
      <w:r w:rsidR="00EC6CEC" w:rsidRPr="004C3D7D">
        <w:tab/>
        <w:t>Bekämpandet av penningtvätt, skatteparadis och infiltration i den lagliga ekonomin från kriminella organisationers sida är således en viktig hävstång för att varaktigt försvaga narkotikanätverken.</w:t>
      </w:r>
    </w:p>
    <w:p w14:paraId="352CB0FF" w14:textId="6D4D0035" w:rsidR="0060535E" w:rsidRPr="004C3D7D" w:rsidRDefault="00214F9F" w:rsidP="00EC6CEC">
      <w:pPr>
        <w:pStyle w:val="NormalHanging12a"/>
        <w:widowControl/>
      </w:pPr>
      <w:r w:rsidRPr="004C3D7D">
        <w:t>N</w:t>
      </w:r>
      <w:r w:rsidR="0060535E" w:rsidRPr="004C3D7D">
        <w:t>.</w:t>
      </w:r>
      <w:r w:rsidR="0060535E" w:rsidRPr="004C3D7D">
        <w:tab/>
        <w:t>I det europeiska demokratiförsvaret understryks att organiserad brottslighet och korruption är ett direkt hot mot rättsstaten och våra demokratiska institutioner.</w:t>
      </w:r>
    </w:p>
    <w:p w14:paraId="593C87A8" w14:textId="5162D12B" w:rsidR="00EC6CEC" w:rsidRPr="004C3D7D" w:rsidRDefault="00214F9F" w:rsidP="00EC6CEC">
      <w:pPr>
        <w:pStyle w:val="NormalHanging12a"/>
        <w:widowControl/>
      </w:pPr>
      <w:r w:rsidRPr="004C3D7D">
        <w:t>O</w:t>
      </w:r>
      <w:r w:rsidR="00EC6CEC" w:rsidRPr="004C3D7D">
        <w:t>.</w:t>
      </w:r>
      <w:r w:rsidR="00EC6CEC" w:rsidRPr="004C3D7D">
        <w:tab/>
        <w:t>Digitala verktyg och sociala medier används alltmer för att rekrytera och för att samordna och begå våldsdåd, särskilt med inriktning på minderåriga, vilket kräver ett samordnat europeiskt svar som respekterar de grundläggande rättigheterna.</w:t>
      </w:r>
    </w:p>
    <w:p w14:paraId="022D1F36" w14:textId="56FF47E5" w:rsidR="00EC6CEC" w:rsidRPr="004C3D7D" w:rsidRDefault="00214F9F" w:rsidP="00EC6CEC">
      <w:pPr>
        <w:pStyle w:val="NormalHanging12a"/>
        <w:widowControl/>
      </w:pPr>
      <w:r w:rsidRPr="004C3D7D">
        <w:t>P</w:t>
      </w:r>
      <w:r w:rsidR="00EC6CEC" w:rsidRPr="004C3D7D">
        <w:t>.</w:t>
      </w:r>
      <w:r w:rsidR="00EC6CEC" w:rsidRPr="004C3D7D">
        <w:tab/>
        <w:t>De kriminella organisationerna och deras metoder utvecklas, inte minst genom digitaliseringen av deras strategier. Därför måste även de utredningsmässiga, rättsliga och sociala strukturerna utvecklas i EU:s hantering av detta gissel.</w:t>
      </w:r>
    </w:p>
    <w:p w14:paraId="181312AB" w14:textId="1A75FDE7" w:rsidR="00EC6CEC" w:rsidRPr="004C3D7D" w:rsidRDefault="00214F9F" w:rsidP="00EC6CEC">
      <w:pPr>
        <w:pStyle w:val="NormalHanging12a"/>
        <w:widowControl/>
      </w:pPr>
      <w:r w:rsidRPr="004C3D7D">
        <w:t>Q</w:t>
      </w:r>
      <w:r w:rsidR="00EC6CEC" w:rsidRPr="004C3D7D">
        <w:t>.</w:t>
      </w:r>
      <w:r w:rsidR="00EC6CEC" w:rsidRPr="004C3D7D">
        <w:tab/>
        <w:t xml:space="preserve"> Förekomsten av nya </w:t>
      </w:r>
      <w:proofErr w:type="spellStart"/>
      <w:r w:rsidR="00EC6CEC" w:rsidRPr="004C3D7D">
        <w:t>psykoaktiva</w:t>
      </w:r>
      <w:proofErr w:type="spellEnd"/>
      <w:r w:rsidR="00EC6CEC" w:rsidRPr="004C3D7D">
        <w:t xml:space="preserve"> substanser ökar i Europa, inte minst syntetiska </w:t>
      </w:r>
      <w:proofErr w:type="spellStart"/>
      <w:r w:rsidR="00EC6CEC" w:rsidRPr="004C3D7D">
        <w:t>cannabinoider</w:t>
      </w:r>
      <w:proofErr w:type="spellEnd"/>
      <w:r w:rsidR="00EC6CEC" w:rsidRPr="004C3D7D">
        <w:t xml:space="preserve">, </w:t>
      </w:r>
      <w:proofErr w:type="spellStart"/>
      <w:r w:rsidR="00EC6CEC" w:rsidRPr="004C3D7D">
        <w:t>katinoner</w:t>
      </w:r>
      <w:proofErr w:type="spellEnd"/>
      <w:r w:rsidR="00EC6CEC" w:rsidRPr="004C3D7D">
        <w:t xml:space="preserve"> och kraftfulla syntetiska </w:t>
      </w:r>
      <w:proofErr w:type="spellStart"/>
      <w:r w:rsidR="00EC6CEC" w:rsidRPr="004C3D7D">
        <w:t>opioider</w:t>
      </w:r>
      <w:proofErr w:type="spellEnd"/>
      <w:r w:rsidR="00EC6CEC" w:rsidRPr="004C3D7D">
        <w:t xml:space="preserve">, som ofta produceras eller distribueras inom EU och delvis står utanför internationella och nationella kontroller. Deras höga potens och de små volymer som krävs, i kombination med möjligheten att modifiera deras kemiska strukturer en aning för att kringgå lagstiftningen, skapar en snabbväxande marknad som är mycket lukrativ för droghandlarna och samtidigt skapar avsevärda folkhälso- och säkerhetshot. Det är viktigt med robusta system för tidig varning, förstärkt detektionskapacitet och samordnade svar på unionsnivå för att bemöta det föränderliga hot som nya </w:t>
      </w:r>
      <w:proofErr w:type="spellStart"/>
      <w:r w:rsidR="00EC6CEC" w:rsidRPr="004C3D7D">
        <w:t>psykoaktiva</w:t>
      </w:r>
      <w:proofErr w:type="spellEnd"/>
      <w:r w:rsidR="00EC6CEC" w:rsidRPr="004C3D7D">
        <w:t xml:space="preserve"> substanser utgör.</w:t>
      </w:r>
    </w:p>
    <w:p w14:paraId="2EBFD881" w14:textId="3B9A3500" w:rsidR="00EC6CEC" w:rsidRPr="004C3D7D" w:rsidRDefault="00214F9F" w:rsidP="00EC6CEC">
      <w:pPr>
        <w:pStyle w:val="NormalHanging12a"/>
        <w:widowControl/>
      </w:pPr>
      <w:r w:rsidRPr="004C3D7D">
        <w:t>R</w:t>
      </w:r>
      <w:r w:rsidR="00EC6CEC" w:rsidRPr="004C3D7D">
        <w:t>.</w:t>
      </w:r>
      <w:r w:rsidR="00EC6CEC" w:rsidRPr="004C3D7D">
        <w:tab/>
        <w:t>Narkotikanätverkens utveckling och varaktiga etablering ingår ofta i en kontext präglad av långvariga sociala och territoriella orättvisor, otillräcklig tillgång till sysselsättning, till offentliga tjänster och till utbildningsmöjligheter och en känsla av att ha övergivits av samhället, särskilt i vissa missgynnade områden i städer. Denna sårbarhet är en god jordmån för den kriminella ekonomin och en strukturell faktor som narkotikanätverken utnyttjar för att rekrytera sårbar och ofta ung arbetskraft.</w:t>
      </w:r>
    </w:p>
    <w:p w14:paraId="10E1A80E" w14:textId="25F00FAD" w:rsidR="00EC6CEC" w:rsidRPr="004C3D7D" w:rsidRDefault="00214F9F" w:rsidP="00EC6CEC">
      <w:pPr>
        <w:pStyle w:val="NormalHanging12a"/>
        <w:widowControl/>
      </w:pPr>
      <w:r w:rsidRPr="004C3D7D">
        <w:t>S</w:t>
      </w:r>
      <w:r w:rsidR="00EC6CEC" w:rsidRPr="004C3D7D">
        <w:t>.</w:t>
      </w:r>
      <w:r w:rsidR="00EC6CEC" w:rsidRPr="004C3D7D">
        <w:tab/>
        <w:t xml:space="preserve">Unionens sammanhållningspolitik har med sina finansieringsinstrument historiskt sett bidragit till att minska territoriella olikheter, stärka den sociala sammanhållningen och stödja strukturinvesteringar i utsatta stadsområden. Kommissionens planerade riktlinjer </w:t>
      </w:r>
      <w:r w:rsidR="00EC6CEC" w:rsidRPr="004C3D7D">
        <w:lastRenderedPageBreak/>
        <w:t>för den fleråriga budgetramen 2028–2034, liksom genomförandet av EU:s nya stadsagenda, kommer på ett avgörande sätt att påverka unionens förmåga att varaktigt förhindra att den olagliga handeln slår rot i dessa områden.</w:t>
      </w:r>
    </w:p>
    <w:p w14:paraId="3BF8D6BC" w14:textId="05962F0D" w:rsidR="00EC6CEC" w:rsidRPr="004C3D7D" w:rsidRDefault="00214F9F" w:rsidP="00EC6CEC">
      <w:pPr>
        <w:pStyle w:val="NormalHanging12a"/>
        <w:widowControl/>
      </w:pPr>
      <w:r w:rsidRPr="004C3D7D">
        <w:t>T</w:t>
      </w:r>
      <w:r w:rsidR="00EC6CEC" w:rsidRPr="004C3D7D">
        <w:t>.</w:t>
      </w:r>
      <w:r w:rsidR="00EC6CEC" w:rsidRPr="004C3D7D">
        <w:tab/>
        <w:t xml:space="preserve">De summor som kriminella nätverk får in underlättas av korruption och kan förstärka den. Nätverkens ekonomiska kapacitet gör att de både kan bedriva tjänsteverksamhet för invånarna och sprida rädsla i allt fler områden, vilket skapar en sorts bedövning i lokalsamhällena som blir allt mindre motståndskraftiga mot det gissel som narkotikahandeln utgör. Mordet på Mehdi </w:t>
      </w:r>
      <w:proofErr w:type="spellStart"/>
      <w:r w:rsidR="00EC6CEC" w:rsidRPr="004C3D7D">
        <w:t>Kessaci</w:t>
      </w:r>
      <w:proofErr w:type="spellEnd"/>
      <w:r w:rsidR="00EC6CEC" w:rsidRPr="004C3D7D">
        <w:t xml:space="preserve"> är ett led i dessa skrämselstrategier. Varningarna för narkotikahandelns inflytande på val väcker allvarliga frågor om det hot som narkotikahandeln utgör för de grundläggande rättigheterna, demokratin och rättsstaten.</w:t>
      </w:r>
    </w:p>
    <w:p w14:paraId="5452C63C" w14:textId="6D97B8F9" w:rsidR="00EC6CEC" w:rsidRPr="004C3D7D" w:rsidRDefault="00214F9F" w:rsidP="00EC6CEC">
      <w:pPr>
        <w:pStyle w:val="NormalHanging12a"/>
        <w:widowControl/>
      </w:pPr>
      <w:r w:rsidRPr="004C3D7D">
        <w:t>U</w:t>
      </w:r>
      <w:r w:rsidR="00EC6CEC" w:rsidRPr="004C3D7D">
        <w:t>.</w:t>
      </w:r>
      <w:r w:rsidR="00EC6CEC" w:rsidRPr="004C3D7D">
        <w:tab/>
        <w:t>Offrens familjer, särskilt mammor och närstående till personer som dödats eller rekryterats av kriminella nätverk, spelar ofta en viktig roll för att förebygga och för att medvetandegöra och stödja unga som exponeras för narkotikahandel. Familjerna till narkotikahandelns offer är emellertid inte involverade i utarbetandet av europeisk och nationell politik för bekämpande av narkotikahandel eller i civilsamhällesforumet om narkotika.</w:t>
      </w:r>
    </w:p>
    <w:p w14:paraId="068BC0C5" w14:textId="70A00B96" w:rsidR="00EC6CEC" w:rsidRPr="004C3D7D" w:rsidRDefault="00214F9F" w:rsidP="00EC6CEC">
      <w:pPr>
        <w:pStyle w:val="NormalHanging12a"/>
        <w:widowControl/>
      </w:pPr>
      <w:r w:rsidRPr="004C3D7D">
        <w:t>V</w:t>
      </w:r>
      <w:r w:rsidR="00EC6CEC" w:rsidRPr="004C3D7D">
        <w:t>.</w:t>
      </w:r>
      <w:r w:rsidR="00EC6CEC" w:rsidRPr="004C3D7D">
        <w:tab/>
        <w:t>De tidigare strategierna har tydliggjort nödvändigheten av att skapa bättre balans mellan brottsbekämpning och förebyggande politik, riskreducerande politik och politik för social rättvisa.</w:t>
      </w:r>
    </w:p>
    <w:p w14:paraId="3A6EF84B" w14:textId="46E95F52" w:rsidR="00EC6CEC" w:rsidRPr="004C3D7D" w:rsidRDefault="00214F9F" w:rsidP="00EC6CEC">
      <w:pPr>
        <w:pStyle w:val="NormalHanging12a"/>
        <w:widowControl/>
      </w:pPr>
      <w:r w:rsidRPr="004C3D7D">
        <w:t>W</w:t>
      </w:r>
      <w:r w:rsidR="00EC6CEC" w:rsidRPr="004C3D7D">
        <w:t>.</w:t>
      </w:r>
      <w:r w:rsidR="00EC6CEC" w:rsidRPr="004C3D7D">
        <w:tab/>
        <w:t>EU:s narkotikastrategi vilar på viktiga pelare som kombinerar folkhälsa, förebyggande, rättsligt och polisiärt samarbete och samarbete med tredjeländer och skulle vinna på att kompletteras med en aspekt som rör regionernas sociala motståndskraft och grupper som engagerar sig mot narkotikahandel.</w:t>
      </w:r>
    </w:p>
    <w:p w14:paraId="4E382DF6" w14:textId="2ADDCE99" w:rsidR="00EC6CEC" w:rsidRPr="004C3D7D" w:rsidRDefault="00214F9F" w:rsidP="00EC6CEC">
      <w:pPr>
        <w:pStyle w:val="NormalHanging12a"/>
        <w:widowControl/>
      </w:pPr>
      <w:r w:rsidRPr="004C3D7D">
        <w:t>X</w:t>
      </w:r>
      <w:r w:rsidR="00EC6CEC" w:rsidRPr="004C3D7D">
        <w:t>.</w:t>
      </w:r>
      <w:r w:rsidR="00EC6CEC" w:rsidRPr="004C3D7D">
        <w:tab/>
        <w:t xml:space="preserve">Narkotikahandelns utbredning är ett europeiskt fenomen och kräver ett enat och bestämt svar. EU-organen måste bevisa sin förmåga att mobilisera sig så att inte </w:t>
      </w:r>
      <w:r w:rsidRPr="004C3D7D">
        <w:t>fler</w:t>
      </w:r>
      <w:r w:rsidR="00EC6CEC" w:rsidRPr="004C3D7D">
        <w:t xml:space="preserve"> liv går till spillo.</w:t>
      </w:r>
    </w:p>
    <w:p w14:paraId="5C48129A" w14:textId="77777777" w:rsidR="00EC6CEC" w:rsidRPr="004C3D7D" w:rsidRDefault="00EC6CEC" w:rsidP="00EC6CEC">
      <w:pPr>
        <w:pStyle w:val="NormalHanging12a"/>
        <w:widowControl/>
      </w:pPr>
      <w:r w:rsidRPr="004C3D7D">
        <w:t>1.</w:t>
      </w:r>
      <w:r w:rsidRPr="004C3D7D">
        <w:tab/>
        <w:t xml:space="preserve">Europaparlamentet fördömer i skarpast möjliga ordalag mordet på Mehdi </w:t>
      </w:r>
      <w:proofErr w:type="spellStart"/>
      <w:r w:rsidRPr="004C3D7D">
        <w:t>Kessaci</w:t>
      </w:r>
      <w:proofErr w:type="spellEnd"/>
      <w:r w:rsidRPr="004C3D7D">
        <w:t>. Parlamentet uttrycker sin djupa medkänsla och sitt uppriktiga deltagande med hans föräldrar, familj och anhöriga och, via dem, med alla direkta och indirekta offer för narkotikahandel i Europa och världen.</w:t>
      </w:r>
    </w:p>
    <w:p w14:paraId="53FE8EC9" w14:textId="77777777" w:rsidR="00EC6CEC" w:rsidRPr="004C3D7D" w:rsidRDefault="00EC6CEC" w:rsidP="00EC6CEC">
      <w:pPr>
        <w:pStyle w:val="NormalHanging12a"/>
        <w:widowControl/>
      </w:pPr>
      <w:r w:rsidRPr="004C3D7D">
        <w:t>2.</w:t>
      </w:r>
      <w:r w:rsidRPr="004C3D7D">
        <w:tab/>
        <w:t xml:space="preserve">Europaparlamentet hyllar engagemanget hos </w:t>
      </w:r>
      <w:proofErr w:type="spellStart"/>
      <w:r w:rsidRPr="004C3D7D">
        <w:t>Amine</w:t>
      </w:r>
      <w:proofErr w:type="spellEnd"/>
      <w:r w:rsidRPr="004C3D7D">
        <w:t xml:space="preserve"> </w:t>
      </w:r>
      <w:proofErr w:type="spellStart"/>
      <w:r w:rsidRPr="004C3D7D">
        <w:t>Kessaci</w:t>
      </w:r>
      <w:proofErr w:type="spellEnd"/>
      <w:r w:rsidRPr="004C3D7D">
        <w:t xml:space="preserve">, hos föreningen </w:t>
      </w:r>
      <w:proofErr w:type="spellStart"/>
      <w:r w:rsidRPr="004C3D7D">
        <w:t>Conscience</w:t>
      </w:r>
      <w:proofErr w:type="spellEnd"/>
      <w:r w:rsidRPr="004C3D7D">
        <w:t xml:space="preserve"> och hos alla aktivister som, ofta med risk för sin säkerhet, arbetar mot narkotikahandel. Parlamentet hedrar modet hos </w:t>
      </w:r>
      <w:proofErr w:type="spellStart"/>
      <w:r w:rsidRPr="004C3D7D">
        <w:t>Amine</w:t>
      </w:r>
      <w:proofErr w:type="spellEnd"/>
      <w:r w:rsidRPr="004C3D7D">
        <w:t xml:space="preserve"> </w:t>
      </w:r>
      <w:proofErr w:type="spellStart"/>
      <w:r w:rsidRPr="004C3D7D">
        <w:t>Kessaci</w:t>
      </w:r>
      <w:proofErr w:type="spellEnd"/>
      <w:r w:rsidRPr="004C3D7D">
        <w:t xml:space="preserve">, som fortsätter att stå upp mot narkotikahandlarna trots hoten mot honom. Parlamentet konstaterar att mordet på Mehdi </w:t>
      </w:r>
      <w:proofErr w:type="spellStart"/>
      <w:r w:rsidRPr="004C3D7D">
        <w:t>Kessaci</w:t>
      </w:r>
      <w:proofErr w:type="spellEnd"/>
      <w:r w:rsidRPr="004C3D7D">
        <w:t xml:space="preserve"> är ett frontalangrepp på yttrandefriheten, friheten att skapa och rättsstaten.</w:t>
      </w:r>
    </w:p>
    <w:p w14:paraId="67B8A3FC" w14:textId="77777777" w:rsidR="00EC6CEC" w:rsidRPr="004C3D7D" w:rsidRDefault="00EC6CEC" w:rsidP="00EC6CEC">
      <w:pPr>
        <w:pStyle w:val="NormalHanging12a"/>
        <w:widowControl/>
      </w:pPr>
      <w:r w:rsidRPr="004C3D7D">
        <w:t>3.</w:t>
      </w:r>
      <w:r w:rsidRPr="004C3D7D">
        <w:tab/>
        <w:t>Europaparlamentet påminner om att gräsrotsorganisationers insatser bidrar till skyddet av ungdomen, till den sociala sammanhållningen och till demokratins vitalitet men att de ofta inte får mycket erkännande, stöd eller skydd.</w:t>
      </w:r>
    </w:p>
    <w:p w14:paraId="3177FB20" w14:textId="77777777" w:rsidR="00EC6CEC" w:rsidRPr="004C3D7D" w:rsidRDefault="00EC6CEC" w:rsidP="00EC6CEC">
      <w:pPr>
        <w:pStyle w:val="NormalHanging12a"/>
        <w:widowControl/>
      </w:pPr>
      <w:r w:rsidRPr="004C3D7D">
        <w:lastRenderedPageBreak/>
        <w:t>4.</w:t>
      </w:r>
      <w:r w:rsidRPr="004C3D7D">
        <w:tab/>
        <w:t>Europaparlamentet understryker att kampen mot narkotikahandeln och den organiserade brottsligheten är en stor utmaning för hela EU när det gäller både säkerhet, folkhälsa, social rättvisa och respekt för rättsstaten.</w:t>
      </w:r>
    </w:p>
    <w:p w14:paraId="62E9C8C6" w14:textId="77777777" w:rsidR="00EC6CEC" w:rsidRPr="004C3D7D" w:rsidRDefault="00EC6CEC" w:rsidP="00EC6CEC">
      <w:pPr>
        <w:pStyle w:val="NormalHanging12a"/>
        <w:widowControl/>
      </w:pPr>
      <w:r w:rsidRPr="004C3D7D">
        <w:t>5.</w:t>
      </w:r>
      <w:r w:rsidRPr="004C3D7D">
        <w:tab/>
        <w:t>Europaparlamentet välkomnar antagandet av EU:s nya narkotikastrategi och dess handlingsplan och bekräftar sitt stöd för ett balanserat tillvägagångssätt som vilar på minskning av efterfrågan, rättsligt och polisiärt samarbete, samarbete med tredjeländer och förebyggande, inte minst på nätet. Parlamentet påminner om att de tidigare planerna inte räckt till för att stoppa gisslet med narkotikahandel men att det är allas ansvar att anta denna utmaning.</w:t>
      </w:r>
    </w:p>
    <w:p w14:paraId="61CA4363" w14:textId="77777777" w:rsidR="00AC7929" w:rsidRDefault="00597A36" w:rsidP="00EC6CEC">
      <w:pPr>
        <w:pStyle w:val="NormalHanging12a"/>
        <w:widowControl/>
        <w:rPr>
          <w:bCs/>
          <w:iCs/>
        </w:rPr>
      </w:pPr>
      <w:r w:rsidRPr="004C3D7D">
        <w:rPr>
          <w:bCs/>
          <w:iCs/>
        </w:rPr>
        <w:t>6.</w:t>
      </w:r>
      <w:r w:rsidRPr="004C3D7D">
        <w:rPr>
          <w:bCs/>
          <w:iCs/>
        </w:rPr>
        <w:tab/>
        <w:t>Europaparlamentet påminner om att medlemsstaterna i den nya strategin mot narkotika uppmanas att införa nolltoleranspolitik för drograttfylleri i enlighet med direktiv 2006/126/EG om körkort</w:t>
      </w:r>
      <w:r w:rsidRPr="004C3D7D">
        <w:rPr>
          <w:rStyle w:val="FootnoteReference"/>
          <w:bCs/>
          <w:iCs/>
        </w:rPr>
        <w:footnoteReference w:id="6"/>
      </w:r>
      <w:r w:rsidRPr="004C3D7D">
        <w:rPr>
          <w:bCs/>
          <w:iCs/>
        </w:rPr>
        <w:t xml:space="preserve"> och att fullt ut utnyttja de gränsöverskridande verktyg som står till buds för att se till att reglerna efterlevs.</w:t>
      </w:r>
    </w:p>
    <w:p w14:paraId="3DC83F14" w14:textId="5ABB62CD" w:rsidR="00EC6CEC" w:rsidRPr="004C3D7D" w:rsidRDefault="00597A36" w:rsidP="00EC6CEC">
      <w:pPr>
        <w:pStyle w:val="NormalHanging12a"/>
        <w:widowControl/>
      </w:pPr>
      <w:r w:rsidRPr="004C3D7D">
        <w:t>7</w:t>
      </w:r>
      <w:r w:rsidR="00EC6CEC" w:rsidRPr="004C3D7D">
        <w:t>.</w:t>
      </w:r>
      <w:r w:rsidR="00EC6CEC" w:rsidRPr="004C3D7D">
        <w:tab/>
        <w:t>Europaparlamentet ger sitt fulla stöd till pelaren för folkhälsa och förebyggande i unionens strategi mot narkotika, däribland tidiga förebyggande insatser, riskminskning, tillgång till vård, missbruksbehandling och social återanpassning. Parlamentet påminner om att narkotika i allt högre grad berör hela samhället och sätter det i ett beroendeförhållande, och kräver en storskalig mobilisering för att garantera européernas psykiska hälsa.</w:t>
      </w:r>
    </w:p>
    <w:p w14:paraId="4628B25D" w14:textId="1981225A" w:rsidR="00EC6CEC" w:rsidRPr="004C3D7D" w:rsidRDefault="00597A36" w:rsidP="00EC6CEC">
      <w:pPr>
        <w:pStyle w:val="NormalHanging12a"/>
        <w:widowControl/>
      </w:pPr>
      <w:r w:rsidRPr="004C3D7D">
        <w:t>8</w:t>
      </w:r>
      <w:r w:rsidR="00EC6CEC" w:rsidRPr="004C3D7D">
        <w:t>.</w:t>
      </w:r>
      <w:r w:rsidR="00EC6CEC" w:rsidRPr="004C3D7D">
        <w:tab/>
        <w:t xml:space="preserve"> Europaparlamentet stöder kommissionens förslag att stärka säkerheten i kampen mot narkotikahandel, bland annat den utvärdering som ska göras senast 2026 av det befintliga rambeslutet om olaglig narkotikahandel och moderniseringen av bestämmelserna om organiserad brottslighet. Parlamentet stöder nyckelåtgärder såsom förstärkt offentlig-privat samarbete för att förbättra förmågan att upptäcka narkotika som förs in som smuggelgods av post- och paketleveranstjänster samt utarbetandet av en ny europeisk hamnstrategi för att öka hamnarnas och leveranskedjornas säkerhet och resiliens mot narkotikahandel.</w:t>
      </w:r>
    </w:p>
    <w:p w14:paraId="224F7A4C" w14:textId="0A0F83A8" w:rsidR="00EC6CEC" w:rsidRPr="004C3D7D" w:rsidRDefault="00214F9F" w:rsidP="00EC6CEC">
      <w:pPr>
        <w:pStyle w:val="NormalHanging12a"/>
        <w:widowControl/>
      </w:pPr>
      <w:r w:rsidRPr="004C3D7D">
        <w:t>9</w:t>
      </w:r>
      <w:r w:rsidR="00EC6CEC" w:rsidRPr="004C3D7D">
        <w:t>.</w:t>
      </w:r>
      <w:r w:rsidR="00EC6CEC" w:rsidRPr="004C3D7D">
        <w:tab/>
        <w:t>Europaparlamentet välkomnar engagemanget hos brottsbekämpande myndigheter, väpnade styrkor, tullmyndigheter och åklagarmyndigheter i hela EU som mobiliserat sig i kampen mot narkotikahandel. Parlamentet erkänner deras viktiga bidrag till skyddet av den allmänna säkerheten och efterlyser en proportionerlig och ändamålsenlig ökning av de medel som ställs till polisstyrkornas och de rättsliga myndigheternas förfogande för att hantera utvecklingen av detta gränsöverskridande hot.</w:t>
      </w:r>
    </w:p>
    <w:p w14:paraId="5E136749" w14:textId="103A76E9" w:rsidR="00EC6CEC" w:rsidRPr="004C3D7D" w:rsidRDefault="00214F9F" w:rsidP="00DA2786">
      <w:pPr>
        <w:spacing w:before="240" w:after="240"/>
        <w:ind w:left="567" w:hanging="567"/>
        <w:rPr>
          <w:b/>
          <w:i/>
        </w:rPr>
      </w:pPr>
      <w:r w:rsidRPr="004C3D7D">
        <w:t>10</w:t>
      </w:r>
      <w:r w:rsidR="00EC6CEC" w:rsidRPr="004C3D7D">
        <w:t>.</w:t>
      </w:r>
      <w:r w:rsidR="00EC6CEC" w:rsidRPr="004C3D7D">
        <w:tab/>
      </w:r>
      <w:r w:rsidR="00597A36" w:rsidRPr="004C3D7D">
        <w:t>Europaparlamentet vill se en förstärkning av de mänskliga, materiella och tekniska resurser som avsätts för kontroller vid de yttre gränserna i kampen mot handel med vapen, människor och narkotika och av de gemensamma gränsöverskridande brottsbekämpande insatserna, särskilt på känsliga ställen som Marseille, Le Havre, Antwerpen, Rotterdam och Hamburg, i nära samordning med Europeiska gräns- och kustbevakningsbyrån,</w:t>
      </w:r>
      <w:r w:rsidR="00597A36" w:rsidRPr="004C3D7D">
        <w:rPr>
          <w:b/>
          <w:bCs/>
          <w:i/>
          <w:iCs/>
        </w:rPr>
        <w:t xml:space="preserve"> </w:t>
      </w:r>
      <w:r w:rsidR="00597A36" w:rsidRPr="004C3D7D">
        <w:t>Europol, Eurojust och EUDA, för att avveckla de kriminella nätverk som ligger bakom skjutningar, mord och skrämselhandlingar runt om i Europa.</w:t>
      </w:r>
      <w:r w:rsidR="00EC6CEC" w:rsidRPr="004C3D7D">
        <w:t xml:space="preserve"> </w:t>
      </w:r>
    </w:p>
    <w:p w14:paraId="296E45C5" w14:textId="2DF088EF" w:rsidR="00EC6CEC" w:rsidRPr="004C3D7D" w:rsidRDefault="00214F9F" w:rsidP="00EC6CEC">
      <w:pPr>
        <w:pStyle w:val="NormalHanging12a"/>
        <w:widowControl/>
      </w:pPr>
      <w:r w:rsidRPr="004C3D7D">
        <w:lastRenderedPageBreak/>
        <w:t>11</w:t>
      </w:r>
      <w:r w:rsidR="00EC6CEC" w:rsidRPr="004C3D7D">
        <w:t>.</w:t>
      </w:r>
      <w:r w:rsidR="00EC6CEC" w:rsidRPr="004C3D7D">
        <w:tab/>
        <w:t>Europaparlamentet framhåller nödvändigheten av att stärka samarbetet och informationsutbytet mellan tullmyndigheter, brottsbekämpande myndigheter, rättsliga myndigheter och administrativa myndigheter och uppmanar kommissionen att garantera den nödvändiga rättsliga ramen för att stödja dessa ansträngningar och att samtidigt slå vakt om de grundläggande rättigheterna och integritetsskyddet.</w:t>
      </w:r>
    </w:p>
    <w:p w14:paraId="06775FC6" w14:textId="7FC20CD1" w:rsidR="00EC6CEC" w:rsidRPr="004C3D7D" w:rsidRDefault="00214F9F" w:rsidP="00EC6CEC">
      <w:pPr>
        <w:pStyle w:val="NormalHanging12a"/>
        <w:widowControl/>
      </w:pPr>
      <w:r w:rsidRPr="004C3D7D">
        <w:t>12</w:t>
      </w:r>
      <w:r w:rsidR="00EC6CEC" w:rsidRPr="004C3D7D">
        <w:t>.</w:t>
      </w:r>
      <w:r w:rsidR="00EC6CEC" w:rsidRPr="004C3D7D">
        <w:tab/>
        <w:t>Europaparlamentet påminner om att kampen mot den organiserade brottsligheten måste angripa narkotikahandelns ekonomiska och finansiella strukturer, bland annat genom förstärkning av arrangemangen för förverkande av tillgångar som härrör från brott och genom bekämpande av skatteparadis. Parlamentet uppmanar EU och medlemsstaterna att till fullo och effektivt utnyttja det nya direktivet (EU) 2024/1260 om återvinning av tillgångar och förverkande</w:t>
      </w:r>
      <w:r w:rsidR="00EC6CEC" w:rsidRPr="004C3D7D">
        <w:rPr>
          <w:rStyle w:val="FootnoteReference"/>
        </w:rPr>
        <w:footnoteReference w:id="7"/>
      </w:r>
      <w:r w:rsidR="00EC6CEC" w:rsidRPr="004C3D7D">
        <w:t xml:space="preserve"> och att införa nödvändiga åtgärder för att förverkade tillgångar ska kunna användas för sociala ändamål, särskilt genom att de förverkade tillgångarna anförtros åt gräsrotsorganisationer som bekämpar narkotikahandelns territoriella inflytande, viket sker i Italien, samt åt de myndigheter som är mest exponerade för våld med anknytning till narkotikahandel och åt de rättsliga tjänster och tulltjänster som ansvarar för utredningar. Parlamentet uppmanar kommissionen och medlemsstaterna att se till att åtgärderna för användning av förverkade tillgångar i allmänhetens intresse eller för sociala ändamål skrivs in i deras nationella strategier för återvinning av tillgångar.</w:t>
      </w:r>
    </w:p>
    <w:p w14:paraId="2CA1F42A" w14:textId="52729F84" w:rsidR="00EC6CEC" w:rsidRPr="004C3D7D" w:rsidRDefault="00214F9F" w:rsidP="00EC6CEC">
      <w:pPr>
        <w:pStyle w:val="NormalHanging12a"/>
        <w:widowControl/>
      </w:pPr>
      <w:r w:rsidRPr="004C3D7D">
        <w:t>13</w:t>
      </w:r>
      <w:r w:rsidR="00EC6CEC" w:rsidRPr="004C3D7D">
        <w:t>.</w:t>
      </w:r>
      <w:r w:rsidR="00EC6CEC" w:rsidRPr="004C3D7D">
        <w:tab/>
        <w:t>Europaparlamentet understryker betydelsen av att inkludera krav på rättsligt samarbete och transparens i unionens yttre förbindelser och avtal med tredjeländer som berörs av narkotikahandels rutter. Parlamentet understryker att samarbetet med vissa av dessa stater är fruktbart, medan andra vägrar att samarbeta fullt ut med EU-myndigheterna.</w:t>
      </w:r>
    </w:p>
    <w:p w14:paraId="5C20C2CD" w14:textId="125E72E2" w:rsidR="00EC6CEC" w:rsidRPr="004C3D7D" w:rsidRDefault="00214F9F" w:rsidP="00EC6CEC">
      <w:pPr>
        <w:pStyle w:val="NormalHanging12a"/>
        <w:widowControl/>
      </w:pPr>
      <w:r w:rsidRPr="004C3D7D">
        <w:t>14</w:t>
      </w:r>
      <w:r w:rsidR="00EC6CEC" w:rsidRPr="004C3D7D">
        <w:t>.</w:t>
      </w:r>
      <w:r w:rsidR="00EC6CEC" w:rsidRPr="004C3D7D">
        <w:tab/>
        <w:t>Europaparlamentet välkomnar det lyckade ingåendet av avtal mellan Eurojust, Europol och Armenien, Bosnien och Hercegovina samt Libanon.</w:t>
      </w:r>
    </w:p>
    <w:p w14:paraId="6FDE209D" w14:textId="4C69F91B" w:rsidR="00EC6CEC" w:rsidRPr="004C3D7D" w:rsidRDefault="00214F9F" w:rsidP="00EC6CEC">
      <w:pPr>
        <w:pStyle w:val="NormalHanging12a"/>
        <w:widowControl/>
      </w:pPr>
      <w:r w:rsidRPr="004C3D7D">
        <w:t>15</w:t>
      </w:r>
      <w:r w:rsidR="00EC6CEC" w:rsidRPr="004C3D7D">
        <w:t>.</w:t>
      </w:r>
      <w:r w:rsidR="00EC6CEC" w:rsidRPr="004C3D7D">
        <w:tab/>
        <w:t>Europaparlamentet understryker betydelsen av att göra en ingående undersökning av de kriminella organisationernas metoder och av deras snabba utveckling för att utarbeta så ändamålsenliga rättsliga förfaranden som möjligt. Parlamentet vill framför allt att man inför ett gemensamt sätt att gripa sig an organiserad brottslighet, undersöker införandet av en status för brottslingar som samarbetar med domstolarna, skyddar minderåriga som integrerats i kriminella nätverk och kopplar ihop kampen mot narkotikahandel med bestämmelser om penningtvätt och korruption, utpressning, människohandel, miljöbrottslighet och vapenhandel. Parlamentet vill att en viktigare roll för Europeiska åklagarmyndigheten ska utforskas i kampen mot den organiserade brottsligheten.</w:t>
      </w:r>
    </w:p>
    <w:p w14:paraId="379627B0" w14:textId="188652B5" w:rsidR="00EC6CEC" w:rsidRPr="004C3D7D" w:rsidRDefault="00214F9F" w:rsidP="00EC6CEC">
      <w:pPr>
        <w:pStyle w:val="NormalHanging12a"/>
        <w:widowControl/>
      </w:pPr>
      <w:r w:rsidRPr="004C3D7D">
        <w:t>16</w:t>
      </w:r>
      <w:r w:rsidR="00EC6CEC" w:rsidRPr="004C3D7D">
        <w:t>.</w:t>
      </w:r>
      <w:r w:rsidR="00EC6CEC" w:rsidRPr="004C3D7D">
        <w:tab/>
        <w:t xml:space="preserve">Europaparlamentet åtar sig att närmare och på ett mer fördjupat sätt övervaka narkotikahandeln och kampen mot gränsöverskridande organiserad brottslighet med anknytning till narkotika. </w:t>
      </w:r>
    </w:p>
    <w:p w14:paraId="167D6022" w14:textId="741FB1AF" w:rsidR="00EC6CEC" w:rsidRPr="004C3D7D" w:rsidRDefault="00214F9F" w:rsidP="00EC6CEC">
      <w:pPr>
        <w:pStyle w:val="NormalHanging12a"/>
        <w:widowControl/>
      </w:pPr>
      <w:r w:rsidRPr="004C3D7D">
        <w:t>17</w:t>
      </w:r>
      <w:r w:rsidR="00EC6CEC" w:rsidRPr="004C3D7D">
        <w:t>.</w:t>
      </w:r>
      <w:r w:rsidR="00EC6CEC" w:rsidRPr="004C3D7D">
        <w:tab/>
        <w:t>Europaparlamentet efterlyser förstärkta mänskliga resurser till områdespolisverksamhet och specialiserade poliser samt till specialdomstolar för bekämpande av narkotikahandel, bland annat domstolar för bekämpande av penningtvätt.</w:t>
      </w:r>
    </w:p>
    <w:p w14:paraId="62DDBFFB" w14:textId="7EF06ECC" w:rsidR="00EC6CEC" w:rsidRPr="004C3D7D" w:rsidRDefault="00214F9F" w:rsidP="00EC6CEC">
      <w:pPr>
        <w:pStyle w:val="NormalHanging12a"/>
        <w:widowControl/>
      </w:pPr>
      <w:r w:rsidRPr="004C3D7D">
        <w:lastRenderedPageBreak/>
        <w:t>18</w:t>
      </w:r>
      <w:r w:rsidR="00EC6CEC" w:rsidRPr="004C3D7D">
        <w:t>.</w:t>
      </w:r>
      <w:r w:rsidR="00EC6CEC" w:rsidRPr="004C3D7D">
        <w:tab/>
        <w:t>Europaparlamentet uppmuntrar samarbete mellan EU-organ, nationella myndigheter och medlemsstater på det polisiära, rättsliga och administrativa området.</w:t>
      </w:r>
    </w:p>
    <w:p w14:paraId="701AF2E5" w14:textId="68D77B6C" w:rsidR="00EC6CEC" w:rsidRPr="004C3D7D" w:rsidRDefault="00214F9F" w:rsidP="00EC6CEC">
      <w:pPr>
        <w:pStyle w:val="NormalHanging12a"/>
        <w:widowControl/>
      </w:pPr>
      <w:r w:rsidRPr="004C3D7D">
        <w:t>19</w:t>
      </w:r>
      <w:r w:rsidR="00EC6CEC" w:rsidRPr="004C3D7D">
        <w:t>.</w:t>
      </w:r>
      <w:r w:rsidR="00EC6CEC" w:rsidRPr="004C3D7D">
        <w:tab/>
        <w:t>Europaparlamentet vill att kampen mot narkotikahandeln görs till en pelare i den europeiska hamnstrategin och i hamnalliansen, genom inkludering av både havshamnar och flodhamnar, och att utbildnings-, preventions- och skyddsarrangemang införs för hamnpersonal. Parlamentet vill se stöd och assistans till hamnarbetare och fiskare som utsätts för påtryckningar, hot och försök till utpressning från narkotikanätverk. Parlamentet understryker betydelsen av underrättelseutbyte om beslag av narkotika, prekursorer och viktiga kemikalier samt användning av övervakningsteknik inriktad på strategisk infrastruktur.</w:t>
      </w:r>
    </w:p>
    <w:p w14:paraId="54E53EEA" w14:textId="2DA6CD0E" w:rsidR="00EC6CEC" w:rsidRPr="004C3D7D" w:rsidRDefault="00214F9F" w:rsidP="00EC6CEC">
      <w:pPr>
        <w:pStyle w:val="NormalHanging12a"/>
        <w:widowControl/>
      </w:pPr>
      <w:r w:rsidRPr="004C3D7D">
        <w:t>20</w:t>
      </w:r>
      <w:r w:rsidR="00EC6CEC" w:rsidRPr="004C3D7D">
        <w:t>.</w:t>
      </w:r>
      <w:r w:rsidR="00EC6CEC" w:rsidRPr="004C3D7D">
        <w:tab/>
        <w:t xml:space="preserve">Europaparlamentet vill att kampen mot narkotikahandeln görs till en prioritering för unionens </w:t>
      </w:r>
      <w:proofErr w:type="spellStart"/>
      <w:r w:rsidR="00EC6CEC" w:rsidRPr="004C3D7D">
        <w:t>tullbyrå</w:t>
      </w:r>
      <w:proofErr w:type="spellEnd"/>
      <w:r w:rsidR="00EC6CEC" w:rsidRPr="004C3D7D">
        <w:t xml:space="preserve"> och att tullorganen förses med samma verktyg som hamnpersonalen.</w:t>
      </w:r>
    </w:p>
    <w:p w14:paraId="51261803" w14:textId="612047C2" w:rsidR="0060535E" w:rsidRPr="004C3D7D" w:rsidRDefault="00214F9F" w:rsidP="00EC6CEC">
      <w:pPr>
        <w:pStyle w:val="NormalHanging12a"/>
        <w:widowControl/>
      </w:pPr>
      <w:r w:rsidRPr="004C3D7D">
        <w:t>21</w:t>
      </w:r>
      <w:r w:rsidR="0060535E" w:rsidRPr="004C3D7D">
        <w:t>.</w:t>
      </w:r>
      <w:r w:rsidR="0060535E" w:rsidRPr="004C3D7D">
        <w:tab/>
        <w:t>Europaparlamentet understryker att kommande EU-initiativ, såsom den europeiska hamnalliansen, samt reformer av Europol, Eurojust och Europeiska åklagarmyndigheten bör bidra till att stärka integriteten, transparensen och resiliensen i europeiska hamnar, inte minst genom att förbättra skyddet för frontpersonal mot riskerna för hot och korruption.</w:t>
      </w:r>
    </w:p>
    <w:p w14:paraId="79AB7D6E" w14:textId="73155E5C" w:rsidR="00EC6CEC" w:rsidRPr="004C3D7D" w:rsidRDefault="00214F9F" w:rsidP="00EC6CEC">
      <w:pPr>
        <w:pStyle w:val="NormalHanging12a"/>
        <w:widowControl/>
      </w:pPr>
      <w:r w:rsidRPr="004C3D7D">
        <w:t>22</w:t>
      </w:r>
      <w:r w:rsidR="00EC6CEC" w:rsidRPr="004C3D7D">
        <w:t>.</w:t>
      </w:r>
      <w:r w:rsidR="00EC6CEC" w:rsidRPr="004C3D7D">
        <w:tab/>
        <w:t>Europaparlamentet trycker på förebyggandets centrala roll, även i sociala medier och på digitala plattformar, och manar till ett faktiskt genomförande av befintliga EU-regler, särskilt förordningen om digitala tjänster, för att förebygga rekrytering på nätet, uppvigling till våld och organisering av brottslig verksamhet och undersöka behoven för att få till stånd en utveckling härvidlag. Parlamentet uppmanar staterna att i sin förebyggande politik inkludera tydlig kommunikation som låter konsumenterna förstå att de bidrar till våldshandlingar från destruktiva kriminella nätverk.</w:t>
      </w:r>
    </w:p>
    <w:p w14:paraId="42F7F0C7" w14:textId="15D1EC2E" w:rsidR="00EC6CEC" w:rsidRPr="004C3D7D" w:rsidRDefault="00214F9F" w:rsidP="00EC6CEC">
      <w:pPr>
        <w:pStyle w:val="NormalHanging12a"/>
        <w:widowControl/>
      </w:pPr>
      <w:bookmarkStart w:id="7" w:name="_heading=h.wu2hczxpxd"/>
      <w:bookmarkEnd w:id="7"/>
      <w:r w:rsidRPr="004C3D7D">
        <w:t>23</w:t>
      </w:r>
      <w:r w:rsidR="00EC6CEC" w:rsidRPr="004C3D7D">
        <w:t>.</w:t>
      </w:r>
      <w:r w:rsidR="00EC6CEC" w:rsidRPr="004C3D7D">
        <w:tab/>
        <w:t>Europaparlamentet understryker nödvändigheten av att skyddet av minderåriga mot att bli rekryterade av kriminella nätverk integreras fullt ut i narkotikapolitiken i överensstämmelse med förordningen om digitala tjänster och parlamentets resolution om skydd av minderåriga på nätet (2025/2060(INI)), särskilt genom samarbete med digitala plattformar, riktat förebyggande arbete och tidig upptäckt.</w:t>
      </w:r>
    </w:p>
    <w:p w14:paraId="3CDCDA09" w14:textId="315E64D2" w:rsidR="00EC6CEC" w:rsidRPr="004C3D7D" w:rsidRDefault="00214F9F" w:rsidP="00EC6CEC">
      <w:pPr>
        <w:pStyle w:val="NormalHanging12a"/>
        <w:widowControl/>
      </w:pPr>
      <w:r w:rsidRPr="004C3D7D">
        <w:t>24</w:t>
      </w:r>
      <w:r w:rsidR="00EC6CEC" w:rsidRPr="004C3D7D">
        <w:t>.</w:t>
      </w:r>
      <w:r w:rsidR="00EC6CEC" w:rsidRPr="004C3D7D">
        <w:tab/>
        <w:t>Europaparlamentet understryker den avgörande betydelsen av att det som komplement till ett upplägg inriktat på säkerhet och brottsbekämpning även vidtas strukturella åtgärder mot de sociala, ekonomiska och territoriella faktorer som främjar varaktig etablering av denna brottsliga verksamhet, särskilt i missgynnade områden i städer. Parlamentet framhåller i detta avseende den avgörande rollen hos unionens budgetinstrument, inte minst Europeiska regionala utvecklingsfonden (</w:t>
      </w:r>
      <w:proofErr w:type="spellStart"/>
      <w:r w:rsidR="00EC6CEC" w:rsidRPr="004C3D7D">
        <w:t>Eruf</w:t>
      </w:r>
      <w:proofErr w:type="spellEnd"/>
      <w:r w:rsidR="00EC6CEC" w:rsidRPr="004C3D7D">
        <w:t>), Sammanhållningsfonden och Europeiska socialfonden+ (ESF+), för att stödja långsiktiga investeringar i tillgång till sysselsättning, stadsförnyelse, offentliga tjänster i närmiljön, utbildning, förebyggande och social sammanhållning och på så vis bidra till att stärka dessa områdens resiliens mot den olagliga ekonomin och lokalsamhällenas motståndskraft mot kriminella organisationer.</w:t>
      </w:r>
    </w:p>
    <w:p w14:paraId="7FA559A4" w14:textId="0D4EAA67" w:rsidR="00EC6CEC" w:rsidRPr="004C3D7D" w:rsidRDefault="00214F9F" w:rsidP="00EC6CEC">
      <w:pPr>
        <w:pStyle w:val="NormalHanging12a"/>
        <w:widowControl/>
      </w:pPr>
      <w:r w:rsidRPr="004C3D7D">
        <w:t>25</w:t>
      </w:r>
      <w:r w:rsidR="00EC6CEC" w:rsidRPr="004C3D7D">
        <w:t>.</w:t>
      </w:r>
      <w:r w:rsidR="00EC6CEC" w:rsidRPr="004C3D7D">
        <w:tab/>
        <w:t xml:space="preserve">Europaparlamentet uttrycker emellertid djup oro över kommissionens planerade riktlinjer för den fleråriga budgetramen 2028–2034, särskilt riskerna för en tilltagande åternationalisering av sammanhållningspolitiken, sammanslagning av sammanhållningsfonderna och andra instrument samt koncentration av finansiering </w:t>
      </w:r>
      <w:r w:rsidR="00EC6CEC" w:rsidRPr="004C3D7D">
        <w:lastRenderedPageBreak/>
        <w:t>uteslutande till de minst utvecklade regionerna. Parlamentet varnar för att denna utveckling kan skapa en skadlig konkurrens mellan olika prioriteringar och territorier till förfång för de nödvändiga investeringarna i utsatta stadsområden i medelinkomstregioner eller mer utvecklade regioner, trots att dessa områden ofta uppvisar en koncentration av akuta sociala sårbarheter och är kraftigt exponerade för narkotikahandel.</w:t>
      </w:r>
    </w:p>
    <w:p w14:paraId="056CE8A2" w14:textId="1DEBEA4A" w:rsidR="00EC6CEC" w:rsidRPr="004C3D7D" w:rsidRDefault="00214F9F" w:rsidP="00EC6CEC">
      <w:pPr>
        <w:pStyle w:val="NormalHanging12a"/>
        <w:widowControl/>
      </w:pPr>
      <w:r w:rsidRPr="004C3D7D">
        <w:t>26</w:t>
      </w:r>
      <w:r w:rsidR="00EC6CEC" w:rsidRPr="004C3D7D">
        <w:t>.</w:t>
      </w:r>
      <w:r w:rsidR="00EC6CEC" w:rsidRPr="004C3D7D">
        <w:tab/>
        <w:t xml:space="preserve">Europaparlamentet understryker att EU:s nya stadsagenda som kommissionen nyligen antog kommer att få konkreta resultat endast om den integreras fullt ut i framtida nationella och regionala partnerskapsprogram. Parlamentet vill härvidlag att dessa planer ska innehålla specifika, identifierbara åtgärder med tillräckliga resurser för offentliga investeringar i arbetarklassområden för att undvika att de blir långvarigt marginaliserade och hamnar i händerna på kriminella nätverk. Parlamentet trycker på nödvändigheten av att säkerställa en </w:t>
      </w:r>
      <w:proofErr w:type="spellStart"/>
      <w:r w:rsidR="00EC6CEC" w:rsidRPr="004C3D7D">
        <w:t>platsbaserad</w:t>
      </w:r>
      <w:proofErr w:type="spellEnd"/>
      <w:r w:rsidR="00EC6CEC" w:rsidRPr="004C3D7D">
        <w:t>, integrerad och inkluderande sammanhållningsansats, vilket är en nödvändighet för att inte lämna något område utanför och för att stärka säkerheten, den sociala rättvisan och sammanhållningen på ett varaktigt sätt inom EU.</w:t>
      </w:r>
    </w:p>
    <w:p w14:paraId="3E2552A9" w14:textId="7E87ED8C" w:rsidR="00EC6CEC" w:rsidRPr="004C3D7D" w:rsidRDefault="00214F9F" w:rsidP="00EC6CEC">
      <w:pPr>
        <w:pStyle w:val="NormalHanging12a"/>
        <w:widowControl/>
      </w:pPr>
      <w:r w:rsidRPr="004C3D7D">
        <w:t>27</w:t>
      </w:r>
      <w:r w:rsidR="00EC6CEC" w:rsidRPr="004C3D7D">
        <w:t>.</w:t>
      </w:r>
      <w:r w:rsidR="00EC6CEC" w:rsidRPr="004C3D7D">
        <w:tab/>
        <w:t>Europaparlamentet påminner om att framgångarna med den italienska strategin mot maffior i hög grad berodde på civilsamhällets mobilisering. Parlamentet vill därför att civilsamhället, särskilt gräsrotsorganisationer, involveras fullt ut i kampen mot organiserad brottslighet och narkotikahandel.</w:t>
      </w:r>
    </w:p>
    <w:p w14:paraId="38E105FF" w14:textId="3FB11DCD" w:rsidR="00EC6CEC" w:rsidRPr="004C3D7D" w:rsidRDefault="00214F9F" w:rsidP="00EC6CEC">
      <w:pPr>
        <w:pStyle w:val="NormalHanging12a"/>
        <w:widowControl/>
      </w:pPr>
      <w:r w:rsidRPr="004C3D7D">
        <w:t>28</w:t>
      </w:r>
      <w:r w:rsidR="00EC6CEC" w:rsidRPr="004C3D7D">
        <w:t>.</w:t>
      </w:r>
      <w:r w:rsidR="00EC6CEC" w:rsidRPr="004C3D7D">
        <w:tab/>
        <w:t>Europaparlamentet trycker på att erfarenheterna och synpunkterna från offrens familjer måste stå i centrum för utarbetandet, genomförandet och utvärderingen av EU:s narkotikapolitik och att deras viktiga roll i förebyggandet och i stödet till riskutsatta personer måste erkännas. Parlamentet vill därför att de involveras fullt ut i EU:s och medlemsstaternas kommande åtgärder i kampen mot narkotikahandel.</w:t>
      </w:r>
    </w:p>
    <w:p w14:paraId="2BAFD0FE" w14:textId="08D12AC0" w:rsidR="00EC6CEC" w:rsidRPr="004C3D7D" w:rsidRDefault="00214F9F" w:rsidP="00EC6CEC">
      <w:pPr>
        <w:pStyle w:val="NormalHanging12a"/>
        <w:widowControl/>
      </w:pPr>
      <w:r w:rsidRPr="004C3D7D">
        <w:t>29</w:t>
      </w:r>
      <w:r w:rsidR="00EC6CEC" w:rsidRPr="004C3D7D">
        <w:t>.</w:t>
      </w:r>
      <w:r w:rsidR="00EC6CEC" w:rsidRPr="004C3D7D">
        <w:tab/>
        <w:t>Europaparlamentet uppmanar narkotikabekämpningsstrategins styrande organ, intressentgrupper och medlemsstaterna att på ett strukturerat sätt involvera företrädare för offren och de berörda familjerna.</w:t>
      </w:r>
    </w:p>
    <w:p w14:paraId="12F17372" w14:textId="5086442A" w:rsidR="00EC6CEC" w:rsidRPr="004C3D7D" w:rsidRDefault="00214F9F" w:rsidP="00EC6CEC">
      <w:pPr>
        <w:pStyle w:val="NormalHanging12a"/>
        <w:widowControl/>
      </w:pPr>
      <w:r w:rsidRPr="004C3D7D">
        <w:t>30</w:t>
      </w:r>
      <w:r w:rsidR="00EC6CEC" w:rsidRPr="004C3D7D">
        <w:t>.</w:t>
      </w:r>
      <w:r w:rsidR="00EC6CEC" w:rsidRPr="004C3D7D">
        <w:tab/>
      </w:r>
      <w:r w:rsidR="0060535E" w:rsidRPr="004C3D7D">
        <w:t>Europaparlamentet uttrycker sitt stöd för alla aktörer på fältet, särskilt tjänstemän inom brottsbekämpningen,</w:t>
      </w:r>
      <w:r w:rsidR="0060535E" w:rsidRPr="004C3D7D">
        <w:rPr>
          <w:b/>
          <w:bCs/>
          <w:i/>
          <w:iCs/>
        </w:rPr>
        <w:t xml:space="preserve"> </w:t>
      </w:r>
      <w:r w:rsidR="0060535E" w:rsidRPr="004C3D7D">
        <w:t>sammanslutningar, utbildare, socialarbetare och lokala myndigheter. Parlamentet understryker betydelsen av adekvat ekonomiskt EU-stöd till dessa initiativ och preciserar att både medel som är avsedda för sociala åtgärder och medel som omfattas av förslaget till förordning om inrättande av unionsstödet för inre säkerhet för perioden 2028–2034</w:t>
      </w:r>
      <w:r w:rsidR="0060535E" w:rsidRPr="004C3D7D">
        <w:rPr>
          <w:b/>
          <w:i/>
        </w:rPr>
        <w:t xml:space="preserve"> </w:t>
      </w:r>
      <w:r w:rsidR="0060535E" w:rsidRPr="004C3D7D">
        <w:t>(COM(2025)0542) skulle kunna tas i anspråk i detta sammanhang.</w:t>
      </w:r>
    </w:p>
    <w:p w14:paraId="53E6A7B7" w14:textId="5C761906" w:rsidR="00EC6CEC" w:rsidRPr="004C3D7D" w:rsidRDefault="00214F9F" w:rsidP="00EC6CEC">
      <w:pPr>
        <w:pStyle w:val="NormalHanging12a"/>
        <w:widowControl/>
      </w:pPr>
      <w:r w:rsidRPr="004C3D7D">
        <w:t>31</w:t>
      </w:r>
      <w:r w:rsidR="00EC6CEC" w:rsidRPr="004C3D7D">
        <w:t>.</w:t>
      </w:r>
      <w:r w:rsidR="00EC6CEC" w:rsidRPr="004C3D7D">
        <w:tab/>
        <w:t>Europaparlamentet uppmanar kommissionen och medlemsstaterna att utveckla EU-samordning av god praxis när det gäller skydd av brottsoffer och vittnen och att ta hänsyn till de berörda familjernas ofta prekära sociala och ekonomiska situation.</w:t>
      </w:r>
    </w:p>
    <w:p w14:paraId="52BD0660" w14:textId="39AAD4CB" w:rsidR="00EC6CEC" w:rsidRPr="004C3D7D" w:rsidRDefault="00214F9F" w:rsidP="00EC6CEC">
      <w:pPr>
        <w:pStyle w:val="NormalHanging12a"/>
        <w:widowControl/>
      </w:pPr>
      <w:r w:rsidRPr="004C3D7D">
        <w:t>32</w:t>
      </w:r>
      <w:r w:rsidR="00EC6CEC" w:rsidRPr="004C3D7D">
        <w:t>.</w:t>
      </w:r>
      <w:r w:rsidR="00EC6CEC" w:rsidRPr="004C3D7D">
        <w:tab/>
        <w:t xml:space="preserve">Europaparlamentet uppmanar medlemsstaterna att säkerställa att familjer som drabbas av narkotikahandel kan flytta till ett alternativt boende och få tillgång till sysselsättning så att deras säkerhet kan garanteras, och uppmanar kommissionen att ta med denna dimension i sin </w:t>
      </w:r>
      <w:proofErr w:type="spellStart"/>
      <w:r w:rsidR="00EC6CEC" w:rsidRPr="004C3D7D">
        <w:t>bostadsplan</w:t>
      </w:r>
      <w:proofErr w:type="spellEnd"/>
      <w:r w:rsidR="00EC6CEC" w:rsidRPr="004C3D7D">
        <w:t>.</w:t>
      </w:r>
    </w:p>
    <w:p w14:paraId="38AA641F" w14:textId="69B252E0" w:rsidR="00EC6CEC" w:rsidRPr="004C3D7D" w:rsidRDefault="00214F9F" w:rsidP="00EC6CEC">
      <w:pPr>
        <w:pStyle w:val="NormalHanging12a"/>
        <w:widowControl/>
      </w:pPr>
      <w:r w:rsidRPr="004C3D7D">
        <w:lastRenderedPageBreak/>
        <w:t>33</w:t>
      </w:r>
      <w:r w:rsidR="00EC6CEC" w:rsidRPr="004C3D7D">
        <w:t>.</w:t>
      </w:r>
      <w:r w:rsidR="00EC6CEC" w:rsidRPr="004C3D7D">
        <w:tab/>
        <w:t xml:space="preserve">Europaparlamentet uppmanar medlemsstaterna att stödja dem som, i likhet med </w:t>
      </w:r>
      <w:proofErr w:type="spellStart"/>
      <w:r w:rsidR="00EC6CEC" w:rsidRPr="004C3D7D">
        <w:t>Amine</w:t>
      </w:r>
      <w:proofErr w:type="spellEnd"/>
      <w:r w:rsidR="00EC6CEC" w:rsidRPr="004C3D7D">
        <w:t> </w:t>
      </w:r>
      <w:proofErr w:type="spellStart"/>
      <w:r w:rsidR="00EC6CEC" w:rsidRPr="004C3D7D">
        <w:t>Kessaci</w:t>
      </w:r>
      <w:proofErr w:type="spellEnd"/>
      <w:r w:rsidR="00EC6CEC" w:rsidRPr="004C3D7D">
        <w:t xml:space="preserve"> och Roberto </w:t>
      </w:r>
      <w:proofErr w:type="spellStart"/>
      <w:r w:rsidR="00EC6CEC" w:rsidRPr="004C3D7D">
        <w:t>Saviano</w:t>
      </w:r>
      <w:proofErr w:type="spellEnd"/>
      <w:r w:rsidR="00EC6CEC" w:rsidRPr="004C3D7D">
        <w:t>, höjer rösten mot den organiserade brottsligheten och att göra dem till en pelare i försvaret av rättsstaten och yttrandefriheten.</w:t>
      </w:r>
    </w:p>
    <w:p w14:paraId="7BCFCB88" w14:textId="79224120" w:rsidR="008E4CD4" w:rsidRPr="004C3D7D" w:rsidRDefault="00214F9F" w:rsidP="008E4CD4">
      <w:pPr>
        <w:pStyle w:val="NormalHanging12a"/>
        <w:widowControl/>
      </w:pPr>
      <w:r w:rsidRPr="004C3D7D">
        <w:t>34</w:t>
      </w:r>
      <w:r w:rsidR="00EC6CEC" w:rsidRPr="004C3D7D">
        <w:t>.</w:t>
      </w:r>
      <w:r w:rsidR="00EC6CEC" w:rsidRPr="004C3D7D">
        <w:tab/>
        <w:t>Europaparlamentet uppdrar åt talmannen att översända denna resolution till rådet, kommissionen, medlemsstaternas regeringar och parlament och till berörda internationella institutioner och organisationer.</w:t>
      </w:r>
    </w:p>
    <w:p w14:paraId="2E544C9B" w14:textId="112FD0FE" w:rsidR="00E365E1" w:rsidRPr="004C3D7D" w:rsidRDefault="00E365E1" w:rsidP="00137C39"/>
    <w:sectPr w:rsidR="00E365E1" w:rsidRPr="004C3D7D" w:rsidSect="008E4CD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CE6DF0" w14:textId="77777777" w:rsidR="00137C39" w:rsidRPr="008E4CD4" w:rsidRDefault="00137C39">
      <w:r w:rsidRPr="008E4CD4">
        <w:separator/>
      </w:r>
    </w:p>
  </w:endnote>
  <w:endnote w:type="continuationSeparator" w:id="0">
    <w:p w14:paraId="2F7819F0" w14:textId="77777777" w:rsidR="00137C39" w:rsidRPr="008E4CD4" w:rsidRDefault="00137C39">
      <w:r w:rsidRPr="008E4CD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213F4E" w14:textId="77777777" w:rsidR="00064002" w:rsidRPr="008E4CD4"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2EAA83" w14:textId="77777777" w:rsidR="00064002" w:rsidRPr="008E4CD4"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A94DAF" w14:textId="77777777" w:rsidR="00064002" w:rsidRPr="008E4CD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EA80C7" w14:textId="77777777" w:rsidR="00137C39" w:rsidRPr="008E4CD4" w:rsidRDefault="00137C39">
      <w:r w:rsidRPr="008E4CD4">
        <w:separator/>
      </w:r>
    </w:p>
  </w:footnote>
  <w:footnote w:type="continuationSeparator" w:id="0">
    <w:p w14:paraId="32096267" w14:textId="77777777" w:rsidR="00137C39" w:rsidRPr="008E4CD4" w:rsidRDefault="00137C39">
      <w:r w:rsidRPr="008E4CD4">
        <w:continuationSeparator/>
      </w:r>
    </w:p>
  </w:footnote>
  <w:footnote w:id="1">
    <w:p w14:paraId="077DE694" w14:textId="19BF5AC4" w:rsidR="00EC6CEC" w:rsidRPr="00DA2786" w:rsidRDefault="00EC6CEC" w:rsidP="008E4CD4">
      <w:pPr>
        <w:pStyle w:val="FootnoteText"/>
        <w:ind w:left="567" w:hanging="567"/>
        <w:rPr>
          <w:sz w:val="24"/>
          <w:szCs w:val="24"/>
          <w:lang w:val="fr-BE"/>
        </w:rPr>
      </w:pPr>
      <w:r w:rsidRPr="00214F9F">
        <w:rPr>
          <w:rStyle w:val="FootnoteReference"/>
          <w:sz w:val="24"/>
          <w:szCs w:val="24"/>
          <w:lang w:val="sv-SE"/>
        </w:rPr>
        <w:footnoteRef/>
      </w:r>
      <w:r w:rsidR="008E4CD4" w:rsidRPr="00DA2786">
        <w:rPr>
          <w:sz w:val="24"/>
          <w:szCs w:val="24"/>
          <w:lang w:val="fr-BE"/>
        </w:rPr>
        <w:t xml:space="preserve"> </w:t>
      </w:r>
      <w:r w:rsidR="008E4CD4" w:rsidRPr="00DA2786">
        <w:rPr>
          <w:sz w:val="24"/>
          <w:szCs w:val="24"/>
          <w:lang w:val="fr-BE"/>
        </w:rPr>
        <w:tab/>
      </w:r>
      <w:r w:rsidRPr="00DA2786">
        <w:rPr>
          <w:sz w:val="24"/>
          <w:szCs w:val="24"/>
          <w:lang w:val="fr-BE"/>
        </w:rPr>
        <w:t xml:space="preserve">EUT L 315, 14.11.2012, s. 57, </w:t>
      </w:r>
      <w:proofErr w:type="gramStart"/>
      <w:r w:rsidRPr="00DA2786">
        <w:rPr>
          <w:sz w:val="24"/>
          <w:szCs w:val="24"/>
          <w:lang w:val="fr-BE"/>
        </w:rPr>
        <w:t>ELI:</w:t>
      </w:r>
      <w:proofErr w:type="gramEnd"/>
      <w:r w:rsidRPr="00DA2786">
        <w:rPr>
          <w:sz w:val="24"/>
          <w:szCs w:val="24"/>
          <w:lang w:val="fr-BE"/>
        </w:rPr>
        <w:t> </w:t>
      </w:r>
      <w:hyperlink r:id="rId1" w:tooltip="Ger tillgång till detta dokument via dess ELI-URI-adress." w:history="1">
        <w:r w:rsidRPr="00DA2786">
          <w:rPr>
            <w:rStyle w:val="Hyperlink"/>
            <w:sz w:val="24"/>
            <w:szCs w:val="24"/>
            <w:lang w:val="fr-BE"/>
          </w:rPr>
          <w:t>http://data.europa.eu/eli/dir/2012/29/oj</w:t>
        </w:r>
      </w:hyperlink>
      <w:r w:rsidRPr="00DA2786">
        <w:rPr>
          <w:sz w:val="24"/>
          <w:szCs w:val="24"/>
          <w:lang w:val="fr-BE"/>
        </w:rPr>
        <w:t>.</w:t>
      </w:r>
    </w:p>
  </w:footnote>
  <w:footnote w:id="2">
    <w:p w14:paraId="04036E7F" w14:textId="5E1B12BB" w:rsidR="00EC6CEC" w:rsidRPr="00DA2786" w:rsidRDefault="00EC6CEC" w:rsidP="008E4CD4">
      <w:pPr>
        <w:pStyle w:val="FootnoteText"/>
        <w:ind w:left="567" w:hanging="567"/>
        <w:rPr>
          <w:sz w:val="24"/>
          <w:szCs w:val="24"/>
          <w:lang w:val="fr-BE"/>
        </w:rPr>
      </w:pPr>
      <w:r w:rsidRPr="00214F9F">
        <w:rPr>
          <w:rStyle w:val="FootnoteReference"/>
          <w:sz w:val="24"/>
          <w:szCs w:val="24"/>
          <w:lang w:val="sv-SE"/>
        </w:rPr>
        <w:footnoteRef/>
      </w:r>
      <w:r w:rsidR="008E4CD4" w:rsidRPr="00DA2786">
        <w:rPr>
          <w:sz w:val="24"/>
          <w:szCs w:val="24"/>
          <w:lang w:val="fr-BE"/>
        </w:rPr>
        <w:t xml:space="preserve"> </w:t>
      </w:r>
      <w:r w:rsidR="008E4CD4" w:rsidRPr="00DA2786">
        <w:rPr>
          <w:sz w:val="24"/>
          <w:szCs w:val="24"/>
          <w:lang w:val="fr-BE"/>
        </w:rPr>
        <w:tab/>
      </w:r>
      <w:r w:rsidRPr="00DA2786">
        <w:rPr>
          <w:sz w:val="24"/>
          <w:szCs w:val="24"/>
          <w:lang w:val="fr-BE"/>
        </w:rPr>
        <w:t>EUT C 65, 19.2.2016, s. 16.</w:t>
      </w:r>
    </w:p>
  </w:footnote>
  <w:footnote w:id="3">
    <w:p w14:paraId="12B2B07E" w14:textId="59606ED0" w:rsidR="00EC6CEC" w:rsidRPr="00DA2786" w:rsidRDefault="00EC6CEC" w:rsidP="008E4CD4">
      <w:pPr>
        <w:pStyle w:val="FootnoteText"/>
        <w:ind w:left="567" w:hanging="567"/>
        <w:rPr>
          <w:sz w:val="24"/>
          <w:szCs w:val="24"/>
          <w:lang w:val="fr-BE"/>
        </w:rPr>
      </w:pPr>
      <w:r w:rsidRPr="00214F9F">
        <w:rPr>
          <w:rStyle w:val="FootnoteReference"/>
          <w:sz w:val="24"/>
          <w:szCs w:val="24"/>
          <w:lang w:val="sv-SE"/>
        </w:rPr>
        <w:footnoteRef/>
      </w:r>
      <w:r w:rsidR="008E4CD4" w:rsidRPr="00DA2786">
        <w:rPr>
          <w:sz w:val="24"/>
          <w:szCs w:val="24"/>
          <w:lang w:val="fr-BE"/>
        </w:rPr>
        <w:t xml:space="preserve"> </w:t>
      </w:r>
      <w:r w:rsidR="008E4CD4" w:rsidRPr="00DA2786">
        <w:rPr>
          <w:sz w:val="24"/>
          <w:szCs w:val="24"/>
          <w:lang w:val="fr-BE"/>
        </w:rPr>
        <w:tab/>
      </w:r>
      <w:r w:rsidRPr="00DA2786">
        <w:rPr>
          <w:sz w:val="24"/>
          <w:szCs w:val="24"/>
          <w:lang w:val="fr-BE"/>
        </w:rPr>
        <w:t xml:space="preserve">EUT L, 2024/1624, 19.6.2024, </w:t>
      </w:r>
      <w:proofErr w:type="gramStart"/>
      <w:r w:rsidRPr="00DA2786">
        <w:rPr>
          <w:sz w:val="24"/>
          <w:szCs w:val="24"/>
          <w:lang w:val="fr-BE"/>
        </w:rPr>
        <w:t>ELI:</w:t>
      </w:r>
      <w:proofErr w:type="gramEnd"/>
      <w:r w:rsidRPr="00DA2786">
        <w:rPr>
          <w:sz w:val="24"/>
          <w:szCs w:val="24"/>
          <w:lang w:val="fr-BE"/>
        </w:rPr>
        <w:t> </w:t>
      </w:r>
      <w:hyperlink r:id="rId2" w:tgtFrame="_blank" w:tooltip="Ger tillgång till detta dokument via dess ELI-URI-adress." w:history="1">
        <w:r w:rsidRPr="00DA2786">
          <w:rPr>
            <w:rStyle w:val="Hyperlink"/>
            <w:sz w:val="24"/>
            <w:szCs w:val="24"/>
            <w:lang w:val="fr-BE"/>
          </w:rPr>
          <w:t>http://data.europa.eu/eli/reg/2024/1624/oj</w:t>
        </w:r>
      </w:hyperlink>
      <w:r w:rsidRPr="00DA2786">
        <w:rPr>
          <w:sz w:val="24"/>
          <w:szCs w:val="24"/>
          <w:lang w:val="fr-BE"/>
        </w:rPr>
        <w:t>.</w:t>
      </w:r>
    </w:p>
  </w:footnote>
  <w:footnote w:id="4">
    <w:p w14:paraId="6C2987A5" w14:textId="75F1EB7D" w:rsidR="00EC6CEC" w:rsidRPr="00DA2786" w:rsidRDefault="00EC6CEC" w:rsidP="008E4CD4">
      <w:pPr>
        <w:pStyle w:val="FootnoteText"/>
        <w:ind w:left="567" w:hanging="567"/>
        <w:rPr>
          <w:sz w:val="24"/>
          <w:szCs w:val="24"/>
          <w:lang w:val="fr-BE"/>
        </w:rPr>
      </w:pPr>
      <w:r w:rsidRPr="00214F9F">
        <w:rPr>
          <w:rStyle w:val="FootnoteReference"/>
          <w:sz w:val="24"/>
          <w:szCs w:val="24"/>
          <w:lang w:val="sv-SE"/>
        </w:rPr>
        <w:footnoteRef/>
      </w:r>
      <w:r w:rsidR="008E4CD4" w:rsidRPr="00DA2786">
        <w:rPr>
          <w:sz w:val="24"/>
          <w:szCs w:val="24"/>
          <w:lang w:val="fr-BE"/>
        </w:rPr>
        <w:t xml:space="preserve"> </w:t>
      </w:r>
      <w:r w:rsidR="008E4CD4" w:rsidRPr="00DA2786">
        <w:rPr>
          <w:sz w:val="24"/>
          <w:szCs w:val="24"/>
          <w:lang w:val="fr-BE"/>
        </w:rPr>
        <w:tab/>
      </w:r>
      <w:r w:rsidRPr="00DA2786">
        <w:rPr>
          <w:sz w:val="24"/>
          <w:szCs w:val="24"/>
          <w:lang w:val="fr-BE"/>
        </w:rPr>
        <w:t xml:space="preserve">EUT L, 2024/1640, 19.6.2024, </w:t>
      </w:r>
      <w:proofErr w:type="gramStart"/>
      <w:r w:rsidRPr="00DA2786">
        <w:rPr>
          <w:sz w:val="24"/>
          <w:szCs w:val="24"/>
          <w:lang w:val="fr-BE"/>
        </w:rPr>
        <w:t>ELI:</w:t>
      </w:r>
      <w:proofErr w:type="gramEnd"/>
      <w:r w:rsidRPr="00DA2786">
        <w:rPr>
          <w:sz w:val="24"/>
          <w:szCs w:val="24"/>
          <w:lang w:val="fr-BE"/>
        </w:rPr>
        <w:t> </w:t>
      </w:r>
      <w:hyperlink r:id="rId3" w:tgtFrame="_blank" w:tooltip="Ger tillgång till detta dokument via dess ELI-URI-adress." w:history="1">
        <w:r w:rsidRPr="00DA2786">
          <w:rPr>
            <w:rStyle w:val="Hyperlink"/>
            <w:sz w:val="24"/>
            <w:szCs w:val="24"/>
            <w:lang w:val="fr-BE"/>
          </w:rPr>
          <w:t>http://data.europa.eu/eli/dir/2024/1640/oj</w:t>
        </w:r>
      </w:hyperlink>
      <w:r w:rsidRPr="00DA2786">
        <w:rPr>
          <w:sz w:val="24"/>
          <w:szCs w:val="24"/>
          <w:lang w:val="fr-BE"/>
        </w:rPr>
        <w:t>.</w:t>
      </w:r>
    </w:p>
  </w:footnote>
  <w:footnote w:id="5">
    <w:p w14:paraId="1045B5C9" w14:textId="337F45FF" w:rsidR="00EC6CEC" w:rsidRPr="00DA2786" w:rsidRDefault="00EC6CEC" w:rsidP="008E4CD4">
      <w:pPr>
        <w:pStyle w:val="FootnoteText"/>
        <w:ind w:left="567" w:hanging="567"/>
        <w:rPr>
          <w:sz w:val="24"/>
          <w:szCs w:val="24"/>
          <w:lang w:val="fr-BE"/>
        </w:rPr>
      </w:pPr>
      <w:r w:rsidRPr="00214F9F">
        <w:rPr>
          <w:rStyle w:val="FootnoteReference"/>
          <w:sz w:val="24"/>
          <w:szCs w:val="24"/>
          <w:lang w:val="sv-SE"/>
        </w:rPr>
        <w:footnoteRef/>
      </w:r>
      <w:r w:rsidR="008E4CD4" w:rsidRPr="00DA2786">
        <w:rPr>
          <w:sz w:val="24"/>
          <w:szCs w:val="24"/>
          <w:lang w:val="fr-BE"/>
        </w:rPr>
        <w:t xml:space="preserve"> </w:t>
      </w:r>
      <w:r w:rsidR="008E4CD4" w:rsidRPr="00DA2786">
        <w:rPr>
          <w:sz w:val="24"/>
          <w:szCs w:val="24"/>
          <w:lang w:val="fr-BE"/>
        </w:rPr>
        <w:tab/>
      </w:r>
      <w:r w:rsidRPr="00DA2786">
        <w:rPr>
          <w:sz w:val="24"/>
          <w:szCs w:val="24"/>
          <w:lang w:val="fr-BE"/>
        </w:rPr>
        <w:t xml:space="preserve">EUT L, 2024/1712, 24.6.2024, </w:t>
      </w:r>
      <w:proofErr w:type="gramStart"/>
      <w:r w:rsidRPr="00DA2786">
        <w:rPr>
          <w:sz w:val="24"/>
          <w:szCs w:val="24"/>
          <w:lang w:val="fr-BE"/>
        </w:rPr>
        <w:t>ELI:</w:t>
      </w:r>
      <w:proofErr w:type="gramEnd"/>
      <w:r w:rsidRPr="00DA2786">
        <w:rPr>
          <w:sz w:val="24"/>
          <w:szCs w:val="24"/>
          <w:lang w:val="fr-BE"/>
        </w:rPr>
        <w:t> </w:t>
      </w:r>
      <w:hyperlink r:id="rId4" w:tgtFrame="_blank" w:tooltip="Ger tillgång till detta dokument via dess ELI-URI-adress." w:history="1">
        <w:r w:rsidRPr="00DA2786">
          <w:rPr>
            <w:rStyle w:val="Hyperlink"/>
            <w:sz w:val="24"/>
            <w:szCs w:val="24"/>
            <w:lang w:val="fr-BE"/>
          </w:rPr>
          <w:t>http://data.europa.eu/eli/dir/2024/1712/oj</w:t>
        </w:r>
      </w:hyperlink>
      <w:r w:rsidRPr="00DA2786">
        <w:rPr>
          <w:sz w:val="24"/>
          <w:szCs w:val="24"/>
          <w:lang w:val="fr-BE"/>
        </w:rPr>
        <w:t>.</w:t>
      </w:r>
    </w:p>
  </w:footnote>
  <w:footnote w:id="6">
    <w:p w14:paraId="7C5EABC6" w14:textId="234D7B04" w:rsidR="00597A36" w:rsidRPr="00DA2786" w:rsidRDefault="00597A36">
      <w:pPr>
        <w:pStyle w:val="FootnoteText"/>
        <w:rPr>
          <w:sz w:val="24"/>
          <w:szCs w:val="24"/>
          <w:lang w:val="sv-SE"/>
        </w:rPr>
      </w:pPr>
      <w:r w:rsidRPr="00DA2786">
        <w:rPr>
          <w:rStyle w:val="FootnoteReference"/>
          <w:sz w:val="24"/>
          <w:szCs w:val="24"/>
        </w:rPr>
        <w:footnoteRef/>
      </w:r>
      <w:r w:rsidRPr="00DA2786">
        <w:rPr>
          <w:sz w:val="24"/>
          <w:szCs w:val="24"/>
          <w:lang w:val="sv-SE"/>
        </w:rPr>
        <w:t xml:space="preserve"> </w:t>
      </w:r>
      <w:r w:rsidRPr="00DA2786">
        <w:rPr>
          <w:sz w:val="24"/>
          <w:szCs w:val="24"/>
          <w:lang w:val="sv-SE"/>
        </w:rPr>
        <w:tab/>
        <w:t xml:space="preserve">Europaparlamentets och rådets direktiv 2006/126/EG av den 20 december 2006 om körkort (EUT L 403, 30.12.2006, s. 18, ELI: </w:t>
      </w:r>
      <w:hyperlink r:id="rId5" w:history="1">
        <w:r w:rsidRPr="00DA2786">
          <w:rPr>
            <w:rStyle w:val="Hyperlink"/>
            <w:sz w:val="24"/>
            <w:szCs w:val="24"/>
            <w:lang w:val="sv-SE"/>
          </w:rPr>
          <w:t>http://data.europa.eu/eli/dir/2006/126/oj</w:t>
        </w:r>
      </w:hyperlink>
      <w:r w:rsidRPr="00DA2786">
        <w:rPr>
          <w:sz w:val="24"/>
          <w:szCs w:val="24"/>
          <w:lang w:val="sv-SE"/>
        </w:rPr>
        <w:t>)</w:t>
      </w:r>
      <w:r w:rsidR="0060535E" w:rsidRPr="00DA2786">
        <w:rPr>
          <w:sz w:val="24"/>
          <w:szCs w:val="24"/>
          <w:lang w:val="sv-SE"/>
        </w:rPr>
        <w:t>.</w:t>
      </w:r>
    </w:p>
  </w:footnote>
  <w:footnote w:id="7">
    <w:p w14:paraId="5D5BA8C6" w14:textId="6EED4DE1" w:rsidR="00EC6CEC" w:rsidRPr="00DA2786" w:rsidRDefault="00EC6CEC" w:rsidP="008E4CD4">
      <w:pPr>
        <w:pStyle w:val="FootnoteText"/>
        <w:ind w:left="567" w:hanging="567"/>
        <w:rPr>
          <w:sz w:val="24"/>
          <w:szCs w:val="24"/>
          <w:lang w:val="fr-BE"/>
        </w:rPr>
      </w:pPr>
      <w:r w:rsidRPr="00214F9F">
        <w:rPr>
          <w:rStyle w:val="FootnoteReference"/>
          <w:sz w:val="24"/>
          <w:szCs w:val="24"/>
          <w:lang w:val="sv-SE"/>
        </w:rPr>
        <w:footnoteRef/>
      </w:r>
      <w:r w:rsidR="008E4CD4" w:rsidRPr="00DA2786">
        <w:rPr>
          <w:sz w:val="24"/>
          <w:szCs w:val="24"/>
          <w:lang w:val="fr-BE"/>
        </w:rPr>
        <w:t xml:space="preserve"> </w:t>
      </w:r>
      <w:r w:rsidR="008E4CD4" w:rsidRPr="00DA2786">
        <w:rPr>
          <w:sz w:val="24"/>
          <w:szCs w:val="24"/>
          <w:lang w:val="fr-BE"/>
        </w:rPr>
        <w:tab/>
      </w:r>
      <w:r w:rsidRPr="00DA2786">
        <w:rPr>
          <w:sz w:val="24"/>
          <w:szCs w:val="24"/>
          <w:lang w:val="fr-BE"/>
        </w:rPr>
        <w:t xml:space="preserve">EUT L, 2024/1260, 2.5.2024, </w:t>
      </w:r>
      <w:proofErr w:type="gramStart"/>
      <w:r w:rsidRPr="00DA2786">
        <w:rPr>
          <w:sz w:val="24"/>
          <w:szCs w:val="24"/>
          <w:lang w:val="fr-BE"/>
        </w:rPr>
        <w:t>ELI:</w:t>
      </w:r>
      <w:proofErr w:type="gramEnd"/>
      <w:r w:rsidRPr="00DA2786">
        <w:rPr>
          <w:sz w:val="24"/>
          <w:szCs w:val="24"/>
          <w:lang w:val="fr-BE"/>
        </w:rPr>
        <w:t> </w:t>
      </w:r>
      <w:hyperlink r:id="rId6" w:tgtFrame="_blank" w:tooltip="Ger tillgång till detta dokument via dess ELI-URI-adress." w:history="1">
        <w:r w:rsidRPr="00DA2786">
          <w:rPr>
            <w:rStyle w:val="Hyperlink"/>
            <w:sz w:val="24"/>
            <w:szCs w:val="24"/>
            <w:lang w:val="fr-BE"/>
          </w:rPr>
          <w:t>http://data.europa.eu/eli/dir/2024/1260/oj</w:t>
        </w:r>
      </w:hyperlink>
      <w:r w:rsidRPr="00DA2786">
        <w:rPr>
          <w:sz w:val="24"/>
          <w:szCs w:val="24"/>
          <w:lang w:val="fr-BE"/>
        </w:rPr>
        <w:t>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069DEF" w14:textId="77777777" w:rsidR="00064002" w:rsidRPr="008E4CD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7845F6" w14:textId="77777777" w:rsidR="00064002" w:rsidRPr="008E4CD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FA611C" w14:textId="77777777" w:rsidR="00064002" w:rsidRPr="008E4CD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84557919">
    <w:abstractNumId w:val="9"/>
  </w:num>
  <w:num w:numId="2" w16cid:durableId="530798256">
    <w:abstractNumId w:val="9"/>
  </w:num>
  <w:num w:numId="3" w16cid:durableId="1175075065">
    <w:abstractNumId w:val="7"/>
  </w:num>
  <w:num w:numId="4" w16cid:durableId="936181845">
    <w:abstractNumId w:val="7"/>
  </w:num>
  <w:num w:numId="5" w16cid:durableId="578364473">
    <w:abstractNumId w:val="6"/>
  </w:num>
  <w:num w:numId="6" w16cid:durableId="1186554552">
    <w:abstractNumId w:val="6"/>
  </w:num>
  <w:num w:numId="7" w16cid:durableId="768963494">
    <w:abstractNumId w:val="5"/>
  </w:num>
  <w:num w:numId="8" w16cid:durableId="244072159">
    <w:abstractNumId w:val="5"/>
  </w:num>
  <w:num w:numId="9" w16cid:durableId="720247641">
    <w:abstractNumId w:val="4"/>
  </w:num>
  <w:num w:numId="10" w16cid:durableId="1830636108">
    <w:abstractNumId w:val="4"/>
  </w:num>
  <w:num w:numId="11" w16cid:durableId="1125349420">
    <w:abstractNumId w:val="8"/>
  </w:num>
  <w:num w:numId="12" w16cid:durableId="707947727">
    <w:abstractNumId w:val="8"/>
  </w:num>
  <w:num w:numId="13" w16cid:durableId="772089719">
    <w:abstractNumId w:val="3"/>
  </w:num>
  <w:num w:numId="14" w16cid:durableId="1156921832">
    <w:abstractNumId w:val="3"/>
  </w:num>
  <w:num w:numId="15" w16cid:durableId="550700517">
    <w:abstractNumId w:val="2"/>
  </w:num>
  <w:num w:numId="16" w16cid:durableId="684208849">
    <w:abstractNumId w:val="2"/>
  </w:num>
  <w:num w:numId="17" w16cid:durableId="1492478573">
    <w:abstractNumId w:val="1"/>
  </w:num>
  <w:num w:numId="18" w16cid:durableId="16662800">
    <w:abstractNumId w:val="1"/>
  </w:num>
  <w:num w:numId="19" w16cid:durableId="985865513">
    <w:abstractNumId w:val="0"/>
  </w:num>
  <w:num w:numId="20" w16cid:durableId="478613606">
    <w:abstractNumId w:val="0"/>
  </w:num>
  <w:num w:numId="21" w16cid:durableId="1878467662">
    <w:abstractNumId w:val="9"/>
  </w:num>
  <w:num w:numId="22" w16cid:durableId="1316762876">
    <w:abstractNumId w:val="7"/>
  </w:num>
  <w:num w:numId="23" w16cid:durableId="1732340648">
    <w:abstractNumId w:val="6"/>
  </w:num>
  <w:num w:numId="24" w16cid:durableId="618755930">
    <w:abstractNumId w:val="5"/>
  </w:num>
  <w:num w:numId="25" w16cid:durableId="236018825">
    <w:abstractNumId w:val="4"/>
  </w:num>
  <w:num w:numId="26" w16cid:durableId="583153533">
    <w:abstractNumId w:val="8"/>
  </w:num>
  <w:num w:numId="27" w16cid:durableId="1557351196">
    <w:abstractNumId w:val="3"/>
  </w:num>
  <w:num w:numId="28" w16cid:durableId="1633709537">
    <w:abstractNumId w:val="2"/>
  </w:num>
  <w:num w:numId="29" w16cid:durableId="1761558616">
    <w:abstractNumId w:val="1"/>
  </w:num>
  <w:num w:numId="30" w16cid:durableId="445008385">
    <w:abstractNumId w:val="0"/>
  </w:num>
  <w:num w:numId="31" w16cid:durableId="1880165827">
    <w:abstractNumId w:val="9"/>
  </w:num>
  <w:num w:numId="32" w16cid:durableId="1298341573">
    <w:abstractNumId w:val="7"/>
  </w:num>
  <w:num w:numId="33" w16cid:durableId="2138641024">
    <w:abstractNumId w:val="6"/>
  </w:num>
  <w:num w:numId="34" w16cid:durableId="419837091">
    <w:abstractNumId w:val="5"/>
  </w:num>
  <w:num w:numId="35" w16cid:durableId="545678541">
    <w:abstractNumId w:val="4"/>
  </w:num>
  <w:num w:numId="36" w16cid:durableId="66734909">
    <w:abstractNumId w:val="8"/>
  </w:num>
  <w:num w:numId="37" w16cid:durableId="1112868862">
    <w:abstractNumId w:val="3"/>
  </w:num>
  <w:num w:numId="38" w16cid:durableId="1452823615">
    <w:abstractNumId w:val="2"/>
  </w:num>
  <w:num w:numId="39" w16cid:durableId="1898785386">
    <w:abstractNumId w:val="1"/>
  </w:num>
  <w:num w:numId="40" w16cid:durableId="1527254897">
    <w:abstractNumId w:val="0"/>
  </w:num>
  <w:num w:numId="41" w16cid:durableId="115834080">
    <w:abstractNumId w:val="10"/>
  </w:num>
  <w:num w:numId="42" w16cid:durableId="602610092">
    <w:abstractNumId w:val="10"/>
  </w:num>
  <w:num w:numId="43" w16cid:durableId="1653026754">
    <w:abstractNumId w:val="10"/>
  </w:num>
  <w:num w:numId="44" w16cid:durableId="22926855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057/2026"/>
    <w:docVar w:name="dvlangue" w:val="SV"/>
    <w:docVar w:name="dvnumam" w:val="0"/>
    <w:docVar w:name="dvpe" w:val="782.012"/>
    <w:docVar w:name="dvtitre" w:val="Europaparlamentets resolution av den xx xx 2026 om mordet på Mehdi Kessaci och det akuta behovet av ambitiösa europeiska åtgärder mot narkotikahandel(2025/3020(RSP))"/>
  </w:docVars>
  <w:rsids>
    <w:rsidRoot w:val="00137C39"/>
    <w:rsid w:val="00002272"/>
    <w:rsid w:val="00064002"/>
    <w:rsid w:val="000677B9"/>
    <w:rsid w:val="000831BA"/>
    <w:rsid w:val="000A42CC"/>
    <w:rsid w:val="000E7DD9"/>
    <w:rsid w:val="0010095E"/>
    <w:rsid w:val="00125B37"/>
    <w:rsid w:val="00137C39"/>
    <w:rsid w:val="00187494"/>
    <w:rsid w:val="001C3B15"/>
    <w:rsid w:val="001F32AE"/>
    <w:rsid w:val="00214F9F"/>
    <w:rsid w:val="002767FF"/>
    <w:rsid w:val="002B18FE"/>
    <w:rsid w:val="002B5493"/>
    <w:rsid w:val="00343214"/>
    <w:rsid w:val="00361C00"/>
    <w:rsid w:val="00395FA1"/>
    <w:rsid w:val="003E15D4"/>
    <w:rsid w:val="00411CCE"/>
    <w:rsid w:val="0041666E"/>
    <w:rsid w:val="00421060"/>
    <w:rsid w:val="00431F1F"/>
    <w:rsid w:val="00471C19"/>
    <w:rsid w:val="004867E3"/>
    <w:rsid w:val="00494A28"/>
    <w:rsid w:val="004C0004"/>
    <w:rsid w:val="004C3D7D"/>
    <w:rsid w:val="004C5D52"/>
    <w:rsid w:val="0050519A"/>
    <w:rsid w:val="005072A1"/>
    <w:rsid w:val="00514517"/>
    <w:rsid w:val="00545827"/>
    <w:rsid w:val="00547C97"/>
    <w:rsid w:val="00560270"/>
    <w:rsid w:val="00597A36"/>
    <w:rsid w:val="005C2568"/>
    <w:rsid w:val="005F1B17"/>
    <w:rsid w:val="006037C0"/>
    <w:rsid w:val="0060535E"/>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E4CD4"/>
    <w:rsid w:val="00930C23"/>
    <w:rsid w:val="0093193B"/>
    <w:rsid w:val="00947E2A"/>
    <w:rsid w:val="009509D8"/>
    <w:rsid w:val="00950B64"/>
    <w:rsid w:val="00981893"/>
    <w:rsid w:val="009839E2"/>
    <w:rsid w:val="00A1687D"/>
    <w:rsid w:val="00A43E52"/>
    <w:rsid w:val="00A4678D"/>
    <w:rsid w:val="00A54319"/>
    <w:rsid w:val="00A778C7"/>
    <w:rsid w:val="00AB441E"/>
    <w:rsid w:val="00AB6293"/>
    <w:rsid w:val="00AC7929"/>
    <w:rsid w:val="00AE0928"/>
    <w:rsid w:val="00AF3B82"/>
    <w:rsid w:val="00B12E95"/>
    <w:rsid w:val="00B22876"/>
    <w:rsid w:val="00B558F0"/>
    <w:rsid w:val="00B9306B"/>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2786"/>
    <w:rsid w:val="00DA7FCD"/>
    <w:rsid w:val="00E365E1"/>
    <w:rsid w:val="00E820A4"/>
    <w:rsid w:val="00EB006A"/>
    <w:rsid w:val="00EB4772"/>
    <w:rsid w:val="00EC6CEC"/>
    <w:rsid w:val="00ED169E"/>
    <w:rsid w:val="00ED4235"/>
    <w:rsid w:val="00F04346"/>
    <w:rsid w:val="00F075DC"/>
    <w:rsid w:val="00F149E9"/>
    <w:rsid w:val="00F5134D"/>
    <w:rsid w:val="00F55DCE"/>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EE52D4"/>
  <w15:chartTrackingRefBased/>
  <w15:docId w15:val="{9C2FA14A-A819-4955-8B77-BF9152FF9C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C6CEC"/>
    <w:pPr>
      <w:spacing w:before="480" w:after="240"/>
    </w:pPr>
  </w:style>
  <w:style w:type="paragraph" w:customStyle="1" w:styleId="NormalBold">
    <w:name w:val="NormalBold"/>
    <w:basedOn w:val="Normal"/>
    <w:rsid w:val="00EC6CEC"/>
    <w:rPr>
      <w:b/>
    </w:rPr>
  </w:style>
  <w:style w:type="paragraph" w:customStyle="1" w:styleId="NormalBold12a">
    <w:name w:val="NormalBold12a"/>
    <w:basedOn w:val="Normal"/>
    <w:rsid w:val="00EC6CEC"/>
    <w:pPr>
      <w:spacing w:after="240"/>
    </w:pPr>
    <w:rPr>
      <w:b/>
    </w:rPr>
  </w:style>
  <w:style w:type="paragraph" w:customStyle="1" w:styleId="NormalHanging12a">
    <w:name w:val="NormalHanging12a"/>
    <w:basedOn w:val="Normal"/>
    <w:rsid w:val="00EC6CEC"/>
    <w:pPr>
      <w:spacing w:after="240"/>
      <w:ind w:left="567" w:hanging="567"/>
    </w:pPr>
  </w:style>
  <w:style w:type="character" w:styleId="Hyperlink">
    <w:name w:val="Hyperlink"/>
    <w:basedOn w:val="DefaultParagraphFont"/>
    <w:uiPriority w:val="99"/>
    <w:unhideWhenUsed/>
    <w:rsid w:val="00EC6CEC"/>
    <w:rPr>
      <w:color w:val="0563C1" w:themeColor="hyperlink"/>
      <w:u w:val="single"/>
    </w:rPr>
  </w:style>
  <w:style w:type="paragraph" w:styleId="Revision">
    <w:name w:val="Revision"/>
    <w:hidden/>
    <w:uiPriority w:val="99"/>
    <w:semiHidden/>
    <w:rsid w:val="00A54319"/>
    <w:rPr>
      <w:sz w:val="24"/>
      <w:lang w:val="sv-SE"/>
    </w:rPr>
  </w:style>
  <w:style w:type="character" w:styleId="CommentReference">
    <w:name w:val="annotation reference"/>
    <w:basedOn w:val="DefaultParagraphFont"/>
    <w:rsid w:val="00597A36"/>
    <w:rPr>
      <w:sz w:val="16"/>
      <w:szCs w:val="16"/>
    </w:rPr>
  </w:style>
  <w:style w:type="paragraph" w:styleId="CommentText">
    <w:name w:val="annotation text"/>
    <w:basedOn w:val="Normal"/>
    <w:link w:val="CommentTextChar"/>
    <w:rsid w:val="00597A36"/>
    <w:rPr>
      <w:sz w:val="20"/>
    </w:rPr>
  </w:style>
  <w:style w:type="character" w:customStyle="1" w:styleId="CommentTextChar">
    <w:name w:val="Comment Text Char"/>
    <w:basedOn w:val="DefaultParagraphFont"/>
    <w:link w:val="CommentText"/>
    <w:rsid w:val="00597A36"/>
    <w:rPr>
      <w:lang w:val="sv-SE"/>
    </w:rPr>
  </w:style>
  <w:style w:type="paragraph" w:styleId="CommentSubject">
    <w:name w:val="annotation subject"/>
    <w:basedOn w:val="CommentText"/>
    <w:next w:val="CommentText"/>
    <w:link w:val="CommentSubjectChar"/>
    <w:rsid w:val="00597A36"/>
    <w:rPr>
      <w:b/>
      <w:bCs/>
    </w:rPr>
  </w:style>
  <w:style w:type="character" w:customStyle="1" w:styleId="CommentSubjectChar">
    <w:name w:val="Comment Subject Char"/>
    <w:basedOn w:val="CommentTextChar"/>
    <w:link w:val="CommentSubject"/>
    <w:rsid w:val="00597A36"/>
    <w:rPr>
      <w:b/>
      <w:bCs/>
      <w:lang w:val="sv-SE"/>
    </w:rPr>
  </w:style>
  <w:style w:type="character" w:styleId="UnresolvedMention">
    <w:name w:val="Unresolved Mention"/>
    <w:basedOn w:val="DefaultParagraphFont"/>
    <w:uiPriority w:val="99"/>
    <w:semiHidden/>
    <w:unhideWhenUsed/>
    <w:rsid w:val="00597A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24/1640/oj" TargetMode="External"/><Relationship Id="rId2" Type="http://schemas.openxmlformats.org/officeDocument/2006/relationships/hyperlink" Target="http://data.europa.eu/eli/reg/2024/1624/oj" TargetMode="External"/><Relationship Id="rId1" Type="http://schemas.openxmlformats.org/officeDocument/2006/relationships/hyperlink" Target="http://data.europa.eu/eli/dir/2012/29/oj" TargetMode="External"/><Relationship Id="rId6" Type="http://schemas.openxmlformats.org/officeDocument/2006/relationships/hyperlink" Target="http://data.europa.eu/eli/dir/2024/1260/oj" TargetMode="External"/><Relationship Id="rId5" Type="http://schemas.openxmlformats.org/officeDocument/2006/relationships/hyperlink" Target="http://data.europa.eu/eli/dir/2006/126/oj" TargetMode="External"/><Relationship Id="rId4" Type="http://schemas.openxmlformats.org/officeDocument/2006/relationships/hyperlink" Target="http://data.europa.eu/eli/dir/2024/171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3534</Words>
  <Characters>23223</Characters>
  <Application>Microsoft Office Word</Application>
  <DocSecurity>0</DocSecurity>
  <Lines>193</Lines>
  <Paragraphs>53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EDHOLM Erik Thomas</cp:lastModifiedBy>
  <cp:revision>2</cp:revision>
  <cp:lastPrinted>2004-11-19T15:42:00Z</cp:lastPrinted>
  <dcterms:created xsi:type="dcterms:W3CDTF">2026-02-25T08:59:00Z</dcterms:created>
  <dcterms:modified xsi:type="dcterms:W3CDTF">2026-02-25T08:59:00Z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B10-0057/2026</vt:lpwstr>
  </property>
  <property fmtid="{D5CDD505-2E9C-101B-9397-08002B2CF9AE}" pid="4" name="&lt;Type&gt;">
    <vt:lpwstr>RR</vt:lpwstr>
  </property>
</Properties>
</file>