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70BD2" w:rsidRPr="005252AC" w14:paraId="119C0DFA" w14:textId="77777777" w:rsidTr="004539EE">
        <w:trPr>
          <w:trHeight w:hRule="exact" w:val="1418"/>
        </w:trPr>
        <w:tc>
          <w:tcPr>
            <w:tcW w:w="6804" w:type="dxa"/>
            <w:shd w:val="clear" w:color="auto" w:fill="auto"/>
            <w:vAlign w:val="center"/>
          </w:tcPr>
          <w:p w14:paraId="708AC05D" w14:textId="77777777" w:rsidR="00B70BD2" w:rsidRPr="005252AC" w:rsidRDefault="00B70BD2" w:rsidP="004539EE">
            <w:pPr>
              <w:spacing w:before="80" w:after="80"/>
              <w:rPr>
                <w:rFonts w:ascii="Arial Narrow" w:hAnsi="Arial Narrow" w:cs="Arial"/>
                <w:b/>
                <w:color w:val="000000"/>
                <w:sz w:val="32"/>
                <w:szCs w:val="22"/>
                <w:lang w:val="ga-IE"/>
              </w:rPr>
            </w:pPr>
            <w:bookmarkStart w:id="0" w:name="TANumber"/>
            <w:r w:rsidRPr="005252AC">
              <w:rPr>
                <w:rFonts w:ascii="Arial Narrow" w:hAnsi="Arial Narrow" w:cs="Arial"/>
                <w:b/>
                <w:color w:val="000000"/>
                <w:sz w:val="32"/>
                <w:szCs w:val="22"/>
                <w:lang w:val="ga-IE"/>
              </w:rPr>
              <w:t>Parlaimint na hEorpa</w:t>
            </w:r>
          </w:p>
          <w:p w14:paraId="1602B529" w14:textId="77777777" w:rsidR="00B70BD2" w:rsidRPr="005252AC" w:rsidRDefault="00B70BD2" w:rsidP="004539EE">
            <w:pPr>
              <w:spacing w:after="80"/>
              <w:rPr>
                <w:rFonts w:ascii="Arial" w:hAnsi="Arial" w:cs="Arial"/>
                <w:noProof/>
                <w:color w:val="000080"/>
                <w:sz w:val="20"/>
                <w:szCs w:val="22"/>
                <w:lang w:val="ga-IE"/>
              </w:rPr>
            </w:pPr>
            <w:r w:rsidRPr="005252AC">
              <w:rPr>
                <w:rFonts w:ascii="Arial" w:hAnsi="Arial" w:cs="Arial"/>
                <w:sz w:val="20"/>
                <w:szCs w:val="22"/>
                <w:lang w:val="ga-IE"/>
              </w:rPr>
              <w:t>2024-2029</w:t>
            </w:r>
          </w:p>
        </w:tc>
        <w:tc>
          <w:tcPr>
            <w:tcW w:w="2268" w:type="dxa"/>
            <w:shd w:val="clear" w:color="auto" w:fill="auto"/>
          </w:tcPr>
          <w:p w14:paraId="00ECA5AA" w14:textId="77777777" w:rsidR="00B70BD2" w:rsidRPr="005252AC" w:rsidRDefault="00B70BD2" w:rsidP="004539EE">
            <w:pPr>
              <w:jc w:val="right"/>
              <w:rPr>
                <w:lang w:val="ga-IE"/>
              </w:rPr>
            </w:pPr>
            <w:r w:rsidRPr="005252AC">
              <w:rPr>
                <w:noProof/>
                <w:lang w:val="ga-IE"/>
              </w:rPr>
              <w:drawing>
                <wp:inline distT="0" distB="0" distL="0" distR="0" wp14:anchorId="575510D3" wp14:editId="757362FA">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AD0F189" w14:textId="77777777" w:rsidR="00B70BD2" w:rsidRPr="005252AC" w:rsidRDefault="00B70BD2" w:rsidP="00B70BD2">
      <w:pPr>
        <w:pBdr>
          <w:top w:val="single" w:sz="4" w:space="1" w:color="auto"/>
        </w:pBdr>
        <w:jc w:val="center"/>
        <w:rPr>
          <w:rFonts w:ascii="Arial" w:hAnsi="Arial"/>
          <w:sz w:val="16"/>
          <w:szCs w:val="16"/>
          <w:lang w:val="ga-IE"/>
        </w:rPr>
      </w:pPr>
    </w:p>
    <w:p w14:paraId="2CCEDF36" w14:textId="77777777" w:rsidR="00B70BD2" w:rsidRPr="005252AC" w:rsidRDefault="00B70BD2" w:rsidP="00B70BD2">
      <w:pPr>
        <w:jc w:val="center"/>
        <w:rPr>
          <w:rFonts w:ascii="Arial" w:hAnsi="Arial" w:cs="Arial"/>
          <w:b/>
          <w:sz w:val="22"/>
          <w:szCs w:val="22"/>
          <w:lang w:val="ga-IE"/>
        </w:rPr>
      </w:pPr>
      <w:r w:rsidRPr="005252AC">
        <w:rPr>
          <w:rFonts w:ascii="Arial" w:hAnsi="Arial" w:cs="Arial"/>
          <w:b/>
          <w:sz w:val="22"/>
          <w:szCs w:val="22"/>
          <w:lang w:val="ga-IE"/>
        </w:rPr>
        <w:t>TÉACSANNA ARNA nGLACADH</w:t>
      </w:r>
    </w:p>
    <w:p w14:paraId="1755F2EC" w14:textId="77777777" w:rsidR="00B70BD2" w:rsidRPr="005252AC" w:rsidRDefault="00B70BD2" w:rsidP="00B70BD2">
      <w:pPr>
        <w:pBdr>
          <w:bottom w:val="single" w:sz="4" w:space="1" w:color="auto"/>
        </w:pBdr>
        <w:spacing w:after="240"/>
        <w:jc w:val="center"/>
        <w:rPr>
          <w:rFonts w:ascii="Arial" w:hAnsi="Arial"/>
          <w:sz w:val="16"/>
          <w:szCs w:val="16"/>
          <w:lang w:val="ga-IE"/>
        </w:rPr>
      </w:pPr>
      <w:r w:rsidRPr="005252AC">
        <w:rPr>
          <w:rFonts w:ascii="Arial" w:hAnsi="Arial" w:cs="Arial"/>
          <w:i/>
          <w:sz w:val="20"/>
          <w:szCs w:val="22"/>
          <w:lang w:val="ga-IE"/>
        </w:rPr>
        <w:t xml:space="preserve"> </w:t>
      </w:r>
    </w:p>
    <w:p w14:paraId="10872152" w14:textId="3A268EC5" w:rsidR="00A968F9" w:rsidRPr="005252AC" w:rsidRDefault="00A968F9" w:rsidP="00A968F9">
      <w:pPr>
        <w:pStyle w:val="ATHeading1"/>
        <w:rPr>
          <w:lang w:val="ga-IE"/>
        </w:rPr>
      </w:pPr>
      <w:r w:rsidRPr="005252AC">
        <w:rPr>
          <w:lang w:val="ga-IE"/>
        </w:rPr>
        <w:t>P10_TA(2026)000</w:t>
      </w:r>
      <w:bookmarkEnd w:id="0"/>
      <w:r w:rsidR="002548E7">
        <w:rPr>
          <w:lang w:val="ga-IE"/>
        </w:rPr>
        <w:t>8</w:t>
      </w:r>
    </w:p>
    <w:p w14:paraId="2B15FE3D" w14:textId="016BF08B" w:rsidR="00A968F9" w:rsidRPr="005252AC" w:rsidRDefault="00B70BD2" w:rsidP="00A968F9">
      <w:pPr>
        <w:pStyle w:val="ATHeading2"/>
        <w:rPr>
          <w:lang w:val="ga-IE"/>
        </w:rPr>
      </w:pPr>
      <w:r w:rsidRPr="005252AC">
        <w:rPr>
          <w:lang w:val="ga-IE"/>
        </w:rPr>
        <w:t>Iarraidh ar thuairim ón gCúirt Bhreithiúnais maidir le comhoiriúnacht an Chomhaontaithe Comhpháirtíochta idir an tAontas Eorpach agus Mercosur (EMPA) agus an Chomhaontaithe Trádála Eatramhaigh (ITA) atá beartaithe leis na Conarthaí</w:t>
      </w:r>
    </w:p>
    <w:p w14:paraId="05C72D86" w14:textId="77777777" w:rsidR="00A968F9" w:rsidRPr="005252AC" w:rsidRDefault="00A968F9" w:rsidP="00A968F9">
      <w:pPr>
        <w:rPr>
          <w:i/>
          <w:vanish/>
          <w:lang w:val="ga-IE"/>
        </w:rPr>
      </w:pPr>
      <w:r w:rsidRPr="005252AC">
        <w:rPr>
          <w:i/>
          <w:lang w:val="ga-IE"/>
        </w:rPr>
        <w:fldChar w:fldCharType="begin"/>
      </w:r>
      <w:r w:rsidRPr="005252AC">
        <w:rPr>
          <w:i/>
          <w:lang w:val="ga-IE"/>
        </w:rPr>
        <w:instrText xml:space="preserve"> TC"(</w:instrText>
      </w:r>
      <w:bookmarkStart w:id="1" w:name="DocNumber"/>
      <w:r w:rsidRPr="005252AC">
        <w:rPr>
          <w:i/>
          <w:lang w:val="ga-IE"/>
        </w:rPr>
        <w:instrText>B10-0060/2026</w:instrText>
      </w:r>
      <w:bookmarkEnd w:id="1"/>
      <w:r w:rsidRPr="005252AC">
        <w:rPr>
          <w:i/>
          <w:lang w:val="ga-IE"/>
        </w:rPr>
        <w:instrText xml:space="preserve">)"\l3 \n&gt; \* MERGEFORMAT </w:instrText>
      </w:r>
      <w:r w:rsidRPr="005252AC">
        <w:rPr>
          <w:i/>
          <w:lang w:val="ga-IE"/>
        </w:rPr>
        <w:fldChar w:fldCharType="end"/>
      </w:r>
    </w:p>
    <w:p w14:paraId="452A2C78" w14:textId="77777777" w:rsidR="00A968F9" w:rsidRPr="005252AC" w:rsidRDefault="00A968F9" w:rsidP="00A968F9">
      <w:pPr>
        <w:rPr>
          <w:vanish/>
          <w:lang w:val="ga-IE"/>
        </w:rPr>
      </w:pPr>
      <w:bookmarkStart w:id="2" w:name="PE"/>
      <w:r w:rsidRPr="005252AC">
        <w:rPr>
          <w:vanish/>
          <w:lang w:val="ga-IE"/>
        </w:rPr>
        <w:t>PE782.015</w:t>
      </w:r>
      <w:bookmarkEnd w:id="2"/>
    </w:p>
    <w:p w14:paraId="7DF8D9AC" w14:textId="66B10387" w:rsidR="00A968F9" w:rsidRPr="005252AC" w:rsidRDefault="00B70BD2" w:rsidP="00A968F9">
      <w:pPr>
        <w:pStyle w:val="ATHeading3"/>
        <w:rPr>
          <w:lang w:val="ga-IE"/>
        </w:rPr>
      </w:pPr>
      <w:bookmarkStart w:id="3" w:name="Sujet"/>
      <w:r w:rsidRPr="005252AC">
        <w:rPr>
          <w:lang w:val="ga-IE"/>
        </w:rPr>
        <w:t>Rún ó Pharlaimint na hEorpa an 21 Eanáir 2026 ag lorg tuairim ón gCúirt Bhreithiúnais</w:t>
      </w:r>
      <w:r w:rsidR="00A63915" w:rsidRPr="005252AC">
        <w:rPr>
          <w:lang w:val="ga-IE"/>
        </w:rPr>
        <w:t xml:space="preserve"> maidir le comhoiriúnacht an Chomhaontaithe Comhpháirtíochta </w:t>
      </w:r>
      <w:r w:rsidR="005252AC" w:rsidRPr="005252AC">
        <w:rPr>
          <w:lang w:val="ga-IE"/>
        </w:rPr>
        <w:t xml:space="preserve">atá beartaithe </w:t>
      </w:r>
      <w:r w:rsidR="00A63915" w:rsidRPr="005252AC">
        <w:rPr>
          <w:lang w:val="ga-IE"/>
        </w:rPr>
        <w:t>idir an tAontas Eorpach agus a Bhallstát, de pháirt amháin, agus an Cómhargadh Theas, Poblacht na hAirgintíne, Poblacht Chónaidhmitheach na Brasaíle, Poblacht Pharagua agus Poblacht Oirthearach Uragua, den pháirt eile, agus an Chomhaontaithe Trádála Eatramhaigh atá beartaithe idir an tAontas Eorpach, de pháirt amháin, agus an Cómhargadh Theas, Poblacht na hAirgintíne, Poblacht Chónaidhmitheach na Brasaíle, Poblacht Pharagua agus Poblacht Oirthearach Uragua, den pháirt eile</w:t>
      </w:r>
      <w:r w:rsidR="0044630D">
        <w:rPr>
          <w:lang w:val="ga-IE"/>
        </w:rPr>
        <w:t>,</w:t>
      </w:r>
      <w:r w:rsidR="00A63915" w:rsidRPr="005252AC">
        <w:rPr>
          <w:lang w:val="ga-IE"/>
        </w:rPr>
        <w:t xml:space="preserve"> leis na Conarthaí</w:t>
      </w:r>
      <w:bookmarkStart w:id="4" w:name="References"/>
      <w:bookmarkEnd w:id="3"/>
      <w:r w:rsidR="005252AC">
        <w:rPr>
          <w:lang w:val="ga-IE"/>
        </w:rPr>
        <w:t xml:space="preserve"> </w:t>
      </w:r>
      <w:r w:rsidR="00A968F9" w:rsidRPr="005252AC">
        <w:rPr>
          <w:lang w:val="ga-IE"/>
        </w:rPr>
        <w:t>(2026/2560(RSP))</w:t>
      </w:r>
      <w:bookmarkEnd w:id="4"/>
    </w:p>
    <w:p w14:paraId="1F94F3B4" w14:textId="716184CD" w:rsidR="00B70BD2" w:rsidRPr="005252AC" w:rsidRDefault="00B70BD2" w:rsidP="00B70BD2">
      <w:pPr>
        <w:rPr>
          <w:lang w:val="ga-IE" w:eastAsia="fr-FR"/>
        </w:rPr>
      </w:pPr>
      <w:r w:rsidRPr="005252AC">
        <w:rPr>
          <w:i/>
          <w:iCs/>
          <w:lang w:val="ga-IE" w:eastAsia="fr-FR"/>
        </w:rPr>
        <w:t>(Níl an téacs seo ar fáil as Gaeilge faoi láthair)</w:t>
      </w:r>
    </w:p>
    <w:sectPr w:rsidR="00B70BD2" w:rsidRPr="005252AC" w:rsidSect="004A59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B6149" w14:textId="77777777" w:rsidR="00A968F9" w:rsidRPr="004A5974" w:rsidRDefault="00A968F9">
      <w:r w:rsidRPr="004A5974">
        <w:separator/>
      </w:r>
    </w:p>
  </w:endnote>
  <w:endnote w:type="continuationSeparator" w:id="0">
    <w:p w14:paraId="689833BB" w14:textId="77777777" w:rsidR="00A968F9" w:rsidRPr="004A5974" w:rsidRDefault="00A968F9">
      <w:r w:rsidRPr="004A59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5C1F" w14:textId="77777777" w:rsidR="00064002" w:rsidRPr="004A59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AF3CF" w14:textId="77777777" w:rsidR="00064002" w:rsidRPr="004A59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C09B4" w14:textId="77777777" w:rsidR="00064002" w:rsidRPr="004A59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13E64" w14:textId="77777777" w:rsidR="00A968F9" w:rsidRPr="004A5974" w:rsidRDefault="00A968F9">
      <w:r w:rsidRPr="004A5974">
        <w:separator/>
      </w:r>
    </w:p>
  </w:footnote>
  <w:footnote w:type="continuationSeparator" w:id="0">
    <w:p w14:paraId="35455A58" w14:textId="77777777" w:rsidR="00A968F9" w:rsidRPr="004A5974" w:rsidRDefault="00A968F9">
      <w:r w:rsidRPr="004A59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9D95F" w14:textId="77777777" w:rsidR="00064002" w:rsidRPr="004A59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1A0E" w14:textId="77777777" w:rsidR="00064002" w:rsidRPr="004A59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8B264" w14:textId="77777777" w:rsidR="00064002" w:rsidRPr="004A59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8384126">
    <w:abstractNumId w:val="9"/>
  </w:num>
  <w:num w:numId="2" w16cid:durableId="1197691640">
    <w:abstractNumId w:val="9"/>
  </w:num>
  <w:num w:numId="3" w16cid:durableId="367603598">
    <w:abstractNumId w:val="7"/>
  </w:num>
  <w:num w:numId="4" w16cid:durableId="1467622112">
    <w:abstractNumId w:val="7"/>
  </w:num>
  <w:num w:numId="5" w16cid:durableId="750199889">
    <w:abstractNumId w:val="6"/>
  </w:num>
  <w:num w:numId="6" w16cid:durableId="2058042527">
    <w:abstractNumId w:val="6"/>
  </w:num>
  <w:num w:numId="7" w16cid:durableId="777288169">
    <w:abstractNumId w:val="5"/>
  </w:num>
  <w:num w:numId="8" w16cid:durableId="1682270066">
    <w:abstractNumId w:val="5"/>
  </w:num>
  <w:num w:numId="9" w16cid:durableId="249434634">
    <w:abstractNumId w:val="4"/>
  </w:num>
  <w:num w:numId="10" w16cid:durableId="82730111">
    <w:abstractNumId w:val="4"/>
  </w:num>
  <w:num w:numId="11" w16cid:durableId="1239949241">
    <w:abstractNumId w:val="8"/>
  </w:num>
  <w:num w:numId="12" w16cid:durableId="931082249">
    <w:abstractNumId w:val="8"/>
  </w:num>
  <w:num w:numId="13" w16cid:durableId="1116749166">
    <w:abstractNumId w:val="3"/>
  </w:num>
  <w:num w:numId="14" w16cid:durableId="581568255">
    <w:abstractNumId w:val="3"/>
  </w:num>
  <w:num w:numId="15" w16cid:durableId="1787235579">
    <w:abstractNumId w:val="2"/>
  </w:num>
  <w:num w:numId="16" w16cid:durableId="983587069">
    <w:abstractNumId w:val="2"/>
  </w:num>
  <w:num w:numId="17" w16cid:durableId="1400707583">
    <w:abstractNumId w:val="1"/>
  </w:num>
  <w:num w:numId="18" w16cid:durableId="203444733">
    <w:abstractNumId w:val="1"/>
  </w:num>
  <w:num w:numId="19" w16cid:durableId="829902102">
    <w:abstractNumId w:val="0"/>
  </w:num>
  <w:num w:numId="20" w16cid:durableId="912666184">
    <w:abstractNumId w:val="0"/>
  </w:num>
  <w:num w:numId="21" w16cid:durableId="10496980">
    <w:abstractNumId w:val="9"/>
  </w:num>
  <w:num w:numId="22" w16cid:durableId="651058415">
    <w:abstractNumId w:val="7"/>
  </w:num>
  <w:num w:numId="23" w16cid:durableId="1462070307">
    <w:abstractNumId w:val="6"/>
  </w:num>
  <w:num w:numId="24" w16cid:durableId="419452656">
    <w:abstractNumId w:val="5"/>
  </w:num>
  <w:num w:numId="25" w16cid:durableId="599532608">
    <w:abstractNumId w:val="4"/>
  </w:num>
  <w:num w:numId="26" w16cid:durableId="46727544">
    <w:abstractNumId w:val="8"/>
  </w:num>
  <w:num w:numId="27" w16cid:durableId="1080711742">
    <w:abstractNumId w:val="3"/>
  </w:num>
  <w:num w:numId="28" w16cid:durableId="103614785">
    <w:abstractNumId w:val="2"/>
  </w:num>
  <w:num w:numId="29" w16cid:durableId="1162817848">
    <w:abstractNumId w:val="1"/>
  </w:num>
  <w:num w:numId="30" w16cid:durableId="65764549">
    <w:abstractNumId w:val="0"/>
  </w:num>
  <w:num w:numId="31" w16cid:durableId="361588072">
    <w:abstractNumId w:val="9"/>
  </w:num>
  <w:num w:numId="32" w16cid:durableId="2053190772">
    <w:abstractNumId w:val="7"/>
  </w:num>
  <w:num w:numId="33" w16cid:durableId="1684477178">
    <w:abstractNumId w:val="6"/>
  </w:num>
  <w:num w:numId="34" w16cid:durableId="1192760598">
    <w:abstractNumId w:val="5"/>
  </w:num>
  <w:num w:numId="35" w16cid:durableId="96609395">
    <w:abstractNumId w:val="4"/>
  </w:num>
  <w:num w:numId="36" w16cid:durableId="1206061604">
    <w:abstractNumId w:val="8"/>
  </w:num>
  <w:num w:numId="37" w16cid:durableId="2029402290">
    <w:abstractNumId w:val="3"/>
  </w:num>
  <w:num w:numId="38" w16cid:durableId="1459252830">
    <w:abstractNumId w:val="2"/>
  </w:num>
  <w:num w:numId="39" w16cid:durableId="1304964070">
    <w:abstractNumId w:val="1"/>
  </w:num>
  <w:num w:numId="40" w16cid:durableId="1487745855">
    <w:abstractNumId w:val="0"/>
  </w:num>
  <w:num w:numId="41" w16cid:durableId="2004622260">
    <w:abstractNumId w:val="10"/>
  </w:num>
  <w:num w:numId="42" w16cid:durableId="36123895">
    <w:abstractNumId w:val="10"/>
  </w:num>
  <w:num w:numId="43" w16cid:durableId="1445034475">
    <w:abstractNumId w:val="10"/>
  </w:num>
  <w:num w:numId="44" w16cid:durableId="13527566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EN"/>
    <w:docVar w:name="dvnumam" w:val="0"/>
    <w:docVar w:name="dvpe" w:val="782.015"/>
    <w:docVar w:name="dvtitre" w:val="European Parliament resolution of xx Xxxx 2026 seeking an opinion from the Court of Justice on the compatibility with the Treaties of the proposed Partnership Agreement between the European Union and its Member States, of the one part, and the Common Market of the South, the Argentine Republic, the Federative Republic of Brazil, the Republic of Paraguay and the Oriental Republic of Uruguay, of the other part, and the proposed Interim Agreement on Trade between the European Union, of the one part, and the Common Market of the South, the Argentine Republic, the Federative Republic of Brazil, the Republic of Paraguay and the Oriental Republic of Uruguay, of the other part(2026/2560(RSP))"/>
  </w:docVars>
  <w:rsids>
    <w:rsidRoot w:val="00A968F9"/>
    <w:rsid w:val="00002272"/>
    <w:rsid w:val="00064002"/>
    <w:rsid w:val="000677B9"/>
    <w:rsid w:val="000831BA"/>
    <w:rsid w:val="000A42CC"/>
    <w:rsid w:val="000E7DD9"/>
    <w:rsid w:val="0010095E"/>
    <w:rsid w:val="00125B37"/>
    <w:rsid w:val="00163CE5"/>
    <w:rsid w:val="00187494"/>
    <w:rsid w:val="001F32AE"/>
    <w:rsid w:val="002548E7"/>
    <w:rsid w:val="002767FF"/>
    <w:rsid w:val="002B18FE"/>
    <w:rsid w:val="002B5493"/>
    <w:rsid w:val="002C7A18"/>
    <w:rsid w:val="00343214"/>
    <w:rsid w:val="00361C00"/>
    <w:rsid w:val="00385D37"/>
    <w:rsid w:val="00395FA1"/>
    <w:rsid w:val="003E15D4"/>
    <w:rsid w:val="0040553E"/>
    <w:rsid w:val="00411CCE"/>
    <w:rsid w:val="0041666E"/>
    <w:rsid w:val="00421060"/>
    <w:rsid w:val="0044630D"/>
    <w:rsid w:val="00471C19"/>
    <w:rsid w:val="004867E3"/>
    <w:rsid w:val="00494A28"/>
    <w:rsid w:val="004A5974"/>
    <w:rsid w:val="004C0004"/>
    <w:rsid w:val="004C5D52"/>
    <w:rsid w:val="004E4826"/>
    <w:rsid w:val="0050519A"/>
    <w:rsid w:val="005072A1"/>
    <w:rsid w:val="00514517"/>
    <w:rsid w:val="005252A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A89"/>
    <w:rsid w:val="009009FE"/>
    <w:rsid w:val="00930C23"/>
    <w:rsid w:val="0093193B"/>
    <w:rsid w:val="009509D8"/>
    <w:rsid w:val="00950B64"/>
    <w:rsid w:val="00981893"/>
    <w:rsid w:val="00A1687D"/>
    <w:rsid w:val="00A43E52"/>
    <w:rsid w:val="00A4678D"/>
    <w:rsid w:val="00A63915"/>
    <w:rsid w:val="00A778C7"/>
    <w:rsid w:val="00A968F9"/>
    <w:rsid w:val="00AB441E"/>
    <w:rsid w:val="00AB6293"/>
    <w:rsid w:val="00AE0928"/>
    <w:rsid w:val="00AF3B82"/>
    <w:rsid w:val="00B12E95"/>
    <w:rsid w:val="00B22876"/>
    <w:rsid w:val="00B558F0"/>
    <w:rsid w:val="00B70BD2"/>
    <w:rsid w:val="00BA6B57"/>
    <w:rsid w:val="00BD48FE"/>
    <w:rsid w:val="00BD7BD8"/>
    <w:rsid w:val="00BE6ADC"/>
    <w:rsid w:val="00C05BFE"/>
    <w:rsid w:val="00C23CD4"/>
    <w:rsid w:val="00C61C0C"/>
    <w:rsid w:val="00C91E4E"/>
    <w:rsid w:val="00C941CB"/>
    <w:rsid w:val="00CB64A7"/>
    <w:rsid w:val="00CC2357"/>
    <w:rsid w:val="00CF071A"/>
    <w:rsid w:val="00D058B8"/>
    <w:rsid w:val="00D273AC"/>
    <w:rsid w:val="00D56C11"/>
    <w:rsid w:val="00D834A0"/>
    <w:rsid w:val="00D872DF"/>
    <w:rsid w:val="00D8745F"/>
    <w:rsid w:val="00D91E21"/>
    <w:rsid w:val="00DA7FCD"/>
    <w:rsid w:val="00DC7CF8"/>
    <w:rsid w:val="00DD4D3B"/>
    <w:rsid w:val="00E365E1"/>
    <w:rsid w:val="00E64843"/>
    <w:rsid w:val="00E64B9C"/>
    <w:rsid w:val="00E820A4"/>
    <w:rsid w:val="00EB006A"/>
    <w:rsid w:val="00EB4772"/>
    <w:rsid w:val="00ED169E"/>
    <w:rsid w:val="00ED4235"/>
    <w:rsid w:val="00ED7ADF"/>
    <w:rsid w:val="00F003E2"/>
    <w:rsid w:val="00F04346"/>
    <w:rsid w:val="00F075DC"/>
    <w:rsid w:val="00F149E9"/>
    <w:rsid w:val="00F5134D"/>
    <w:rsid w:val="00F54881"/>
    <w:rsid w:val="00F74202"/>
    <w:rsid w:val="00F87713"/>
    <w:rsid w:val="00FB4360"/>
    <w:rsid w:val="00FD0C70"/>
    <w:rsid w:val="00FF37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68E93"/>
  <w15:chartTrackingRefBased/>
  <w15:docId w15:val="{3EE5E334-D658-4F33-986C-4DDD48B39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7CF8"/>
    <w:pPr>
      <w:spacing w:before="480" w:after="240"/>
    </w:pPr>
  </w:style>
  <w:style w:type="paragraph" w:customStyle="1" w:styleId="NormalHanging12a">
    <w:name w:val="NormalHanging12a"/>
    <w:basedOn w:val="Normal"/>
    <w:rsid w:val="00DC7CF8"/>
    <w:pPr>
      <w:spacing w:after="240"/>
      <w:ind w:left="567" w:hanging="567"/>
    </w:pPr>
  </w:style>
  <w:style w:type="character" w:styleId="Hyperlink">
    <w:name w:val="Hyperlink"/>
    <w:basedOn w:val="DefaultParagraphFont"/>
    <w:uiPriority w:val="99"/>
    <w:unhideWhenUsed/>
    <w:rsid w:val="00DC7CF8"/>
    <w:rPr>
      <w:color w:val="0563C1" w:themeColor="hyperlink"/>
      <w:u w:val="single"/>
    </w:rPr>
  </w:style>
  <w:style w:type="character" w:customStyle="1" w:styleId="hgkelc">
    <w:name w:val="hgkelc"/>
    <w:basedOn w:val="DefaultParagraphFont"/>
    <w:rsid w:val="00DC7CF8"/>
  </w:style>
  <w:style w:type="paragraph" w:styleId="Revision">
    <w:name w:val="Revision"/>
    <w:hidden/>
    <w:uiPriority w:val="99"/>
    <w:semiHidden/>
    <w:rsid w:val="002C7A18"/>
    <w:rPr>
      <w:sz w:val="24"/>
    </w:rPr>
  </w:style>
  <w:style w:type="character" w:styleId="CommentReference">
    <w:name w:val="annotation reference"/>
    <w:basedOn w:val="DefaultParagraphFont"/>
    <w:rsid w:val="00D273AC"/>
    <w:rPr>
      <w:sz w:val="16"/>
      <w:szCs w:val="16"/>
    </w:rPr>
  </w:style>
  <w:style w:type="paragraph" w:styleId="CommentText">
    <w:name w:val="annotation text"/>
    <w:basedOn w:val="Normal"/>
    <w:link w:val="CommentTextChar"/>
    <w:rsid w:val="00D273AC"/>
    <w:rPr>
      <w:sz w:val="20"/>
    </w:rPr>
  </w:style>
  <w:style w:type="character" w:customStyle="1" w:styleId="CommentTextChar">
    <w:name w:val="Comment Text Char"/>
    <w:basedOn w:val="DefaultParagraphFont"/>
    <w:link w:val="CommentText"/>
    <w:rsid w:val="00D273AC"/>
  </w:style>
  <w:style w:type="paragraph" w:styleId="CommentSubject">
    <w:name w:val="annotation subject"/>
    <w:basedOn w:val="CommentText"/>
    <w:next w:val="CommentText"/>
    <w:link w:val="CommentSubjectChar"/>
    <w:rsid w:val="00D273AC"/>
    <w:rPr>
      <w:b/>
      <w:bCs/>
    </w:rPr>
  </w:style>
  <w:style w:type="character" w:customStyle="1" w:styleId="CommentSubjectChar">
    <w:name w:val="Comment Subject Char"/>
    <w:basedOn w:val="CommentTextChar"/>
    <w:link w:val="CommentSubject"/>
    <w:rsid w:val="00D273AC"/>
    <w:rPr>
      <w:b/>
      <w:bCs/>
    </w:rPr>
  </w:style>
  <w:style w:type="character" w:styleId="UnresolvedMention">
    <w:name w:val="Unresolved Mention"/>
    <w:basedOn w:val="DefaultParagraphFont"/>
    <w:uiPriority w:val="99"/>
    <w:semiHidden/>
    <w:unhideWhenUsed/>
    <w:rsid w:val="00ED7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2026-01-21T13:11:00Z</dcterms:created>
  <dcterms:modified xsi:type="dcterms:W3CDTF">2026-01-21T13:11:00Z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B10-0060/2026</vt:lpwstr>
  </property>
  <property fmtid="{D5CDD505-2E9C-101B-9397-08002B2CF9AE}" pid="4" name="&lt;Type&gt;">
    <vt:lpwstr>RR</vt:lpwstr>
  </property>
</Properties>
</file>