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E3C" w14:paraId="3CECC0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C3AFAD" w14:textId="77777777" w:rsidR="00751A4A" w:rsidRPr="00364E3C" w:rsidRDefault="007B70C3" w:rsidP="0010095E">
            <w:pPr>
              <w:pStyle w:val="EPName"/>
            </w:pPr>
            <w:r w:rsidRPr="00364E3C">
              <w:t>Parlament Ewropew</w:t>
            </w:r>
          </w:p>
          <w:p w14:paraId="05371FB2" w14:textId="77777777" w:rsidR="00751A4A" w:rsidRPr="00364E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E3C">
              <w:t>2024</w:t>
            </w:r>
            <w:r w:rsidR="00817416" w:rsidRPr="00364E3C">
              <w:t>-202</w:t>
            </w:r>
            <w:r w:rsidRPr="00364E3C">
              <w:t>9</w:t>
            </w:r>
          </w:p>
        </w:tc>
        <w:tc>
          <w:tcPr>
            <w:tcW w:w="2268" w:type="dxa"/>
            <w:shd w:val="clear" w:color="auto" w:fill="auto"/>
          </w:tcPr>
          <w:p w14:paraId="2EC7AAB5" w14:textId="77777777" w:rsidR="00751A4A" w:rsidRPr="00364E3C" w:rsidRDefault="00187494" w:rsidP="0010095E">
            <w:pPr>
              <w:pStyle w:val="EPLogo"/>
            </w:pPr>
            <w:r w:rsidRPr="00364E3C">
              <w:rPr>
                <w:noProof/>
                <w:lang w:eastAsia="ja-JP"/>
              </w:rPr>
              <w:drawing>
                <wp:inline distT="0" distB="0" distL="0" distR="0" wp14:anchorId="02D18EC8" wp14:editId="3C5F36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8FF18" w14:textId="77777777" w:rsidR="00D058B8" w:rsidRPr="00364E3C" w:rsidRDefault="00D058B8" w:rsidP="004C5D52">
      <w:pPr>
        <w:pStyle w:val="LineTop"/>
      </w:pPr>
    </w:p>
    <w:p w14:paraId="2B4F2FC9" w14:textId="77777777" w:rsidR="00680577" w:rsidRPr="00364E3C" w:rsidRDefault="007B70C3" w:rsidP="00680577">
      <w:pPr>
        <w:pStyle w:val="EPBodyTA1"/>
      </w:pPr>
      <w:r w:rsidRPr="00364E3C">
        <w:t>TESTI ADOTTATI</w:t>
      </w:r>
    </w:p>
    <w:p w14:paraId="17E8F35C" w14:textId="77777777" w:rsidR="00D058B8" w:rsidRPr="00364E3C" w:rsidRDefault="00D058B8" w:rsidP="00D058B8">
      <w:pPr>
        <w:pStyle w:val="LineBottom"/>
      </w:pPr>
    </w:p>
    <w:p w14:paraId="5ECCD2E2" w14:textId="1805F685" w:rsidR="007B70C3" w:rsidRPr="00364E3C" w:rsidRDefault="007B70C3" w:rsidP="007B70C3">
      <w:pPr>
        <w:pStyle w:val="ATHeading1"/>
      </w:pPr>
      <w:bookmarkStart w:id="0" w:name="TANumber"/>
      <w:r w:rsidRPr="00364E3C">
        <w:t>P10_TA(2026)000</w:t>
      </w:r>
      <w:bookmarkEnd w:id="0"/>
      <w:r w:rsidR="00CA457E">
        <w:t>8</w:t>
      </w:r>
    </w:p>
    <w:p w14:paraId="72C3065C" w14:textId="77777777" w:rsidR="007B70C3" w:rsidRPr="00364E3C" w:rsidRDefault="007B70C3" w:rsidP="007B70C3">
      <w:pPr>
        <w:pStyle w:val="ATHeading2"/>
      </w:pPr>
      <w:bookmarkStart w:id="1" w:name="title"/>
      <w:r w:rsidRPr="00364E3C">
        <w:t>Talba għal opinjoni mill-Qorti tal-Ġustizzja dwar il-kompatibbiltà mat-Trattati tal-Ftehim ta’ Sħubija UE-</w:t>
      </w:r>
      <w:proofErr w:type="spellStart"/>
      <w:r w:rsidRPr="00364E3C">
        <w:t>Mercosur</w:t>
      </w:r>
      <w:proofErr w:type="spellEnd"/>
      <w:r w:rsidRPr="00364E3C">
        <w:t xml:space="preserve"> (EMPA) u tal-Ftehim Kummerċjali Interim (ITA) li ġew proposti</w:t>
      </w:r>
      <w:bookmarkEnd w:id="1"/>
    </w:p>
    <w:p w14:paraId="3ED7E498" w14:textId="77777777" w:rsidR="007B70C3" w:rsidRPr="00364E3C" w:rsidRDefault="007B70C3" w:rsidP="007B70C3">
      <w:pPr>
        <w:rPr>
          <w:i/>
          <w:vanish/>
        </w:rPr>
      </w:pPr>
      <w:r w:rsidRPr="00364E3C">
        <w:rPr>
          <w:i/>
        </w:rPr>
        <w:fldChar w:fldCharType="begin"/>
      </w:r>
      <w:r w:rsidRPr="00364E3C">
        <w:rPr>
          <w:i/>
        </w:rPr>
        <w:instrText xml:space="preserve"> TC"(</w:instrText>
      </w:r>
      <w:bookmarkStart w:id="2" w:name="DocNumber"/>
      <w:r w:rsidRPr="00364E3C">
        <w:rPr>
          <w:i/>
        </w:rPr>
        <w:instrText>B10-0060/2026</w:instrText>
      </w:r>
      <w:bookmarkEnd w:id="2"/>
      <w:r w:rsidRPr="00364E3C">
        <w:rPr>
          <w:i/>
        </w:rPr>
        <w:instrText xml:space="preserve">)"\l3 \n&gt; \* MERGEFORMAT </w:instrText>
      </w:r>
      <w:r w:rsidRPr="00364E3C">
        <w:rPr>
          <w:i/>
        </w:rPr>
        <w:fldChar w:fldCharType="end"/>
      </w:r>
    </w:p>
    <w:p w14:paraId="7B6967B8" w14:textId="77777777" w:rsidR="007B70C3" w:rsidRPr="00364E3C" w:rsidRDefault="007B70C3" w:rsidP="007B70C3">
      <w:pPr>
        <w:rPr>
          <w:vanish/>
        </w:rPr>
      </w:pPr>
      <w:bookmarkStart w:id="3" w:name="PE"/>
      <w:r w:rsidRPr="00364E3C">
        <w:rPr>
          <w:vanish/>
        </w:rPr>
        <w:t>PE782.015</w:t>
      </w:r>
      <w:bookmarkEnd w:id="3"/>
    </w:p>
    <w:p w14:paraId="0B48E81E" w14:textId="3A045F9D" w:rsidR="007B70C3" w:rsidRPr="00364E3C" w:rsidRDefault="007B70C3" w:rsidP="00B44704">
      <w:pPr>
        <w:pStyle w:val="ATHeading3"/>
      </w:pPr>
      <w:bookmarkStart w:id="4" w:name="Sujet"/>
      <w:r w:rsidRPr="00364E3C">
        <w:t xml:space="preserve">Riżoluzzjoni tal-Parlament Ewropew </w:t>
      </w:r>
      <w:r w:rsidR="00B44704">
        <w:t>tal-21 ta’ Jannar</w:t>
      </w:r>
      <w:r w:rsidRPr="00364E3C">
        <w:t xml:space="preserve"> 2026 għal talba għal opinjoni mill-Qorti tal-Ġustizzja dwar il-kompatibbiltà mat-Trattati tal-Ftehim ta’ Sħubija previst bejn l-Unjoni Ewropea u l-Istati Membri tagħha, minn naħa waħda, u s-Suq Komuni tan-Nofsinhar, ir-Repubblika Arġentina, ir-Repubblika Federattiva tal-Brażil, ir-Repubblika tal-Paragwaj u r-Repubblika Orjentali tal-Urugwaj, min-naħa l-oħra, u l-Ftehim Interim dwar il-Kummerċ previst bejn l-Unjoni Ewropea, minn naħa waħda, u s-Suq Komuni tan-Nofsinhar, ir-Repubblika Arġentina, ir-Repubblika Federattiva tal-Brażil, ir-Repubblika tal-Paragwaj u r-Repubblika Orjentali tal-Urugwaj, min-naħa l-oħra</w:t>
      </w:r>
      <w:bookmarkEnd w:id="4"/>
      <w:r w:rsidRPr="00364E3C">
        <w:t xml:space="preserve"> </w:t>
      </w:r>
      <w:bookmarkStart w:id="5" w:name="References"/>
      <w:r w:rsidRPr="00364E3C">
        <w:t>(2026/2560(RSP))</w:t>
      </w:r>
      <w:bookmarkEnd w:id="5"/>
    </w:p>
    <w:p w14:paraId="26EB1515" w14:textId="77777777" w:rsidR="00A060E3" w:rsidRPr="00364E3C" w:rsidRDefault="00A060E3" w:rsidP="00A060E3">
      <w:pPr>
        <w:pStyle w:val="EPComma"/>
      </w:pPr>
      <w:bookmarkStart w:id="6" w:name="TextBodyBegin"/>
      <w:bookmarkEnd w:id="6"/>
      <w:r w:rsidRPr="00364E3C">
        <w:rPr>
          <w:i/>
        </w:rPr>
        <w:t>Il-Parlament Ewropew</w:t>
      </w:r>
      <w:r w:rsidRPr="00364E3C">
        <w:t>,</w:t>
      </w:r>
    </w:p>
    <w:p w14:paraId="23949E4C" w14:textId="1E5E34F9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l-Ftehim ta’ Sħubija previst bejn l-Unjoni Ewropea u l-Istati Membri tagħha, minn naħa waħda, u s-Suq Komuni tan-Nofsinhar, ir-Repubblika Arġentina, ir-Repubblika Federattiva tal-Brażil, ir-Repubblika tal-Paragwaj u r-Repubblika Orjentali tal-Urugwaj, min-naħa l-oħra</w:t>
      </w:r>
      <w:r w:rsidR="00E46C94">
        <w:t xml:space="preserve"> </w:t>
      </w:r>
      <w:r w:rsidR="00E46C94" w:rsidRPr="00E46C94">
        <w:t>(12450/2025)</w:t>
      </w:r>
      <w:r w:rsidRPr="00364E3C">
        <w:t>,</w:t>
      </w:r>
    </w:p>
    <w:p w14:paraId="17899105" w14:textId="08C82E85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l-Ftehim Interim dwar il-Kummerċ previst bejn l-Unjoni Ewropea, minn naħa waħda, u s-Suq Komuni tan-Nofsinhar, ir-Repubblika Arġentina, ir-Repubblika Federattiva tal-Brażil, ir-Repubblika tal-Paragwaj u r-Repubblika Orjentali tal-Urugwaj, min-naħa l-oħra</w:t>
      </w:r>
      <w:r w:rsidR="00E46C94">
        <w:t xml:space="preserve"> </w:t>
      </w:r>
      <w:r w:rsidR="00E46C94" w:rsidRPr="00E46C94">
        <w:t>(12419/2025)</w:t>
      </w:r>
      <w:r w:rsidRPr="00364E3C">
        <w:t>,</w:t>
      </w:r>
    </w:p>
    <w:p w14:paraId="138D2444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 xml:space="preserve">wara li kkunsidra l-proposta għal deċiżjoni tal-Kunsill dwar il-konklużjoni, f’isem l-Unjoni Ewropea, tal-Ftehim ta’ Sħubija bejn l-Unjoni Ewropea u l-Istati Membri tagħha, minn naħa waħda, u s-Suq Komuni tan-Nofsinhar, ir-Repubblika Arġentina, ir-Repubblika Federattiva tal-Brażil, ir-Repubblika tal-Paragwaj u r-Repubblika Orjentali tal-Urugwaj, min-naħa l-oħra (COM(2025)0357), </w:t>
      </w:r>
    </w:p>
    <w:p w14:paraId="28B50811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 xml:space="preserve">wara li kkunsidra l-proposta għal deċiżjoni tal-Kunsill dwar il-konklużjoni, f’isem l-Unjoni Ewropea, tal-Ftehim Interim dwar il-Kummerċ bejn l-Unjoni Ewropea, minn naħa waħda, u s-Suq Komuni tan-Nofsinhar, ir-Repubblika Arġentina, ir-Repubblika Federattiva tal-Brażil, ir-Repubblika tal-Paragwaj u r-Repubblika Orjentali tal-Urugwaj, min-naħa l-oħra (COM(2025)0339), </w:t>
      </w:r>
    </w:p>
    <w:p w14:paraId="440332F7" w14:textId="777834E2" w:rsidR="00A060E3" w:rsidRPr="00364E3C" w:rsidRDefault="00A060E3" w:rsidP="00A060E3">
      <w:pPr>
        <w:pStyle w:val="NormalHanging12a"/>
      </w:pPr>
      <w:r w:rsidRPr="00364E3C">
        <w:lastRenderedPageBreak/>
        <w:t>–</w:t>
      </w:r>
      <w:r w:rsidRPr="00364E3C">
        <w:tab/>
        <w:t>wara li kkunsidra l-abbozz ta’ deċiżjoni tal-Kunsill dwar il-konklużjoni, f’isem l-Unjoni Ewropea, tal-Ftehim ta’ Sħubija bejn l-Unjoni Ewropea u l-Istati Membri tagħha, minn naħa waħda, u s-Suq Komuni tan-Nofsinhar, ir-Repubblika Arġentina, ir-Repubblika Federattiva tal-Brażil, ir-Repubblika tal-Paragwaj u r-Repubblika Orjentali tal-Urugwaj, min-naħa l-oħra</w:t>
      </w:r>
      <w:r w:rsidR="00E46C94">
        <w:t xml:space="preserve"> </w:t>
      </w:r>
      <w:bookmarkStart w:id="7" w:name="_Hlk219797408"/>
      <w:r w:rsidR="00E46C94">
        <w:t>(12443/2025)</w:t>
      </w:r>
      <w:bookmarkEnd w:id="7"/>
      <w:r w:rsidRPr="00364E3C">
        <w:t>,</w:t>
      </w:r>
    </w:p>
    <w:p w14:paraId="49C70FD0" w14:textId="7C6A9406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 xml:space="preserve">wara li kkunsidra </w:t>
      </w:r>
      <w:r w:rsidR="00E46C94">
        <w:t>d-</w:t>
      </w:r>
      <w:r w:rsidRPr="00364E3C">
        <w:t xml:space="preserve">deċiżjoni tal-Kunsill </w:t>
      </w:r>
      <w:r w:rsidR="00E46C94">
        <w:t xml:space="preserve">tad-9 ta’ Jannar 2026 </w:t>
      </w:r>
      <w:r w:rsidRPr="00364E3C">
        <w:t>dwar l-iffirmar u l-applikazzjoni proviżorja tal-Ftehim Interim dwar il-Kummerċ bejn l-Unjoni Ewropea, minn naħa waħda, u s-Suq Komuni tan-Nofsinhar, ir-Repubblika Arġentina, ir-Repubblika Federattiva tal-Brażil, ir-Repubblika tal-Paragwaj u r-Repubblika Orjentali tal-Urugwaj, min-naħa l-oħra</w:t>
      </w:r>
      <w:r w:rsidR="00E46C94">
        <w:t xml:space="preserve"> (12417/1/2025 REV 1)</w:t>
      </w:r>
      <w:r w:rsidRPr="00364E3C">
        <w:t xml:space="preserve">, </w:t>
      </w:r>
    </w:p>
    <w:p w14:paraId="15DFC87C" w14:textId="33FEAB5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l-abbozz ta’ deċiżjoni tal-Kunsill dwar il-konklużjoni, f’isem l-Unjoni Ewropea, tal-Ftehim Interim dwar il-Kummerċ bejn l-Unjoni Ewropea, minn naħa waħda, u s-Suq Komuni tan-Nofsinhar, ir-Repubblika Arġentina, ir-Repubblika Federattiva tal-Brażil, ir-Repubblika tal-Paragwaj u r-Repubblika Orjentali tal-Urugwaj, min-naħa l-oħra</w:t>
      </w:r>
      <w:r w:rsidR="00E46C94">
        <w:t xml:space="preserve"> (12418/1/2025 REV 1)</w:t>
      </w:r>
      <w:r w:rsidRPr="00364E3C">
        <w:t>,</w:t>
      </w:r>
    </w:p>
    <w:p w14:paraId="451AE7D5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l-Artikolu 3(5), l-Artikolu 4(3), l-Artikolu 10(3), l-Artikolu 13(2) u l-Artikolu 21 tat-Trattat dwar l-Unjoni Ewropea (TUE),</w:t>
      </w:r>
    </w:p>
    <w:p w14:paraId="343CA55B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l-Artikolu 218 tat-Trattat dwar il-Funzjonament tal-Unjoni Ewropea (TFUE), b’mod partikolari l-paragrafi 2, 4, 5, 6, 8, 10 u 11 tiegħu,</w:t>
      </w:r>
    </w:p>
    <w:p w14:paraId="15A058C5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l-Artikoli 11, 168, 169, 171 u 191 tat-TFUE,</w:t>
      </w:r>
    </w:p>
    <w:p w14:paraId="437A46B2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t>–</w:t>
      </w:r>
      <w:r w:rsidRPr="00364E3C">
        <w:tab/>
        <w:t xml:space="preserve">wara li kkunsidra </w:t>
      </w:r>
      <w:r w:rsidRPr="00364E3C">
        <w:rPr>
          <w:rStyle w:val="hgkelc"/>
          <w:color w:val="000000"/>
        </w:rPr>
        <w:t>l-Artikoli 35, 37 u 38 tal-Karta tad-Drittijiet Fundamentali tal-Unjoni Ewropea (il-Karta),</w:t>
      </w:r>
    </w:p>
    <w:p w14:paraId="44F6FF4B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d-direttivi ta’ negozjati tal-Kunsill tal-1999 għall-ftehim bejn l-Unjoni Ewropea u l-erba’ membri fundaturi tal-</w:t>
      </w:r>
      <w:proofErr w:type="spellStart"/>
      <w:r w:rsidRPr="00364E3C">
        <w:t>Mercosur</w:t>
      </w:r>
      <w:proofErr w:type="spellEnd"/>
      <w:r w:rsidRPr="00364E3C">
        <w:t xml:space="preserve"> – l-Arġentina, il-Brażil, il-Paragwaj u l-Urugwaj (minn hawn ’il quddiem id-direttivi ta’ negozjati tal-1999),</w:t>
      </w:r>
    </w:p>
    <w:p w14:paraId="52ACB7E9" w14:textId="77777777" w:rsidR="00A060E3" w:rsidRPr="00364E3C" w:rsidRDefault="00A060E3" w:rsidP="00A060E3">
      <w:pPr>
        <w:pStyle w:val="NormalHanging12a"/>
        <w:rPr>
          <w:rStyle w:val="Hyperlink"/>
          <w:color w:val="000000"/>
        </w:rPr>
      </w:pPr>
      <w:r w:rsidRPr="00364E3C">
        <w:t>–</w:t>
      </w:r>
      <w:r w:rsidRPr="00364E3C">
        <w:tab/>
        <w:t>wara li kkunsidra l-ftehim fil-prinċipju bejn l-Unjoni Ewropea u l-erba’ membri fundaturi tal-</w:t>
      </w:r>
      <w:proofErr w:type="spellStart"/>
      <w:r w:rsidRPr="00364E3C">
        <w:t>Mercosur</w:t>
      </w:r>
      <w:proofErr w:type="spellEnd"/>
      <w:r w:rsidRPr="00364E3C">
        <w:t xml:space="preserve"> – l-Arġentina, il-Brażil, il-Paragwaj u l-Urugwaj – kif innegozjat fl-2019 u l-</w:t>
      </w:r>
      <w:proofErr w:type="spellStart"/>
      <w:r w:rsidRPr="00364E3C">
        <w:t>kapitoli</w:t>
      </w:r>
      <w:proofErr w:type="spellEnd"/>
      <w:r w:rsidRPr="00364E3C">
        <w:t xml:space="preserve"> ġodda u riveduti tiegħu u l-protokolli u l-</w:t>
      </w:r>
      <w:proofErr w:type="spellStart"/>
      <w:r w:rsidRPr="00364E3C">
        <w:t>annessi</w:t>
      </w:r>
      <w:proofErr w:type="spellEnd"/>
      <w:r w:rsidRPr="00364E3C">
        <w:t xml:space="preserve"> tiegħu,</w:t>
      </w:r>
    </w:p>
    <w:p w14:paraId="4718536A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l-Opinjoni 1/17 tal-Qorti tal-Ġustizzja tal-Unjoni Ewropea (QĠUE) tat-30 ta’ April 2019 dwar il-Ftehim Ekonomiku u Kummerċjali Komprensiv bejn il-Kanada, minn naħa waħda, u l-Unjoni Ewropea u l-Istati Membri tagħha, min-naħa l-oħra (CETA), u l-Opinjoni 2/15 tal-QĠUE tas-16 ta’ Mejju 2017 dwar il-Ftehim ta’ Kummerċ Ħieles bejn l-Unjoni Ewropea u r-Repubblika ta’ Singapore,</w:t>
      </w:r>
    </w:p>
    <w:p w14:paraId="0B44E752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l-Ftehim Qafas dwar ir-relazzjonijiet bejn il-Parlament Ewropew u l-Kummissjoni Ewropea</w:t>
      </w:r>
      <w:r w:rsidRPr="00364E3C">
        <w:rPr>
          <w:rStyle w:val="FootnoteReference"/>
        </w:rPr>
        <w:footnoteReference w:id="1"/>
      </w:r>
      <w:r w:rsidRPr="00364E3C">
        <w:t>, b’mod partikolari l-paragrafi 23-29 tiegħu dwar il-ftehimiet internazzjonali,</w:t>
      </w:r>
    </w:p>
    <w:p w14:paraId="6D6AF826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l-konklużjonijiet tal-Kunsill tat-22 ta’ Mejju 2018 dwar in-negozjar u l-konklużjoni ta’ ftehimiet kummerċjali tal-UE (minn hawn ’il quddiem il-</w:t>
      </w:r>
      <w:r w:rsidRPr="00364E3C">
        <w:lastRenderedPageBreak/>
        <w:t>konklużjonijiet tal-Kunsill tal-2018), b’mod partikolari l-paragrafu 3 tagħhom,</w:t>
      </w:r>
    </w:p>
    <w:p w14:paraId="3BBEAEF5" w14:textId="77777777" w:rsidR="00A060E3" w:rsidRPr="00364E3C" w:rsidRDefault="00A060E3" w:rsidP="00A060E3">
      <w:pPr>
        <w:pStyle w:val="NormalHanging12a"/>
      </w:pPr>
      <w:r w:rsidRPr="00364E3C">
        <w:t>–</w:t>
      </w:r>
      <w:r w:rsidRPr="00364E3C">
        <w:tab/>
        <w:t>wara li kkunsidra l-Artikolu 117(6) tar-Regoli ta’ Proċedura tiegħu,</w:t>
      </w:r>
    </w:p>
    <w:p w14:paraId="1D4ACF3D" w14:textId="77777777" w:rsidR="00A060E3" w:rsidRPr="00364E3C" w:rsidRDefault="00A060E3" w:rsidP="00A060E3">
      <w:pPr>
        <w:pStyle w:val="NormalHanging12a"/>
      </w:pPr>
      <w:bookmarkStart w:id="8" w:name="_Hlk219278397"/>
      <w:r w:rsidRPr="00364E3C">
        <w:t>A.</w:t>
      </w:r>
      <w:r w:rsidRPr="00364E3C">
        <w:tab/>
        <w:t>billi fl-2019, il-Kummissjoni ppubblikat il-ftehim fil-prinċipju li jiġbor fil-qosor “ir-riżultati tan-negozjati tal-parti kummerċjali tal-Ftehim ta’ Assoċjazzjoni UE-</w:t>
      </w:r>
      <w:proofErr w:type="spellStart"/>
      <w:r w:rsidRPr="00364E3C">
        <w:t>Mercosur</w:t>
      </w:r>
      <w:proofErr w:type="spellEnd"/>
      <w:r w:rsidRPr="00364E3C">
        <w:t>”; billi f’Diċembru 2024, il-Kummissjoni ħabbret li kienet iffinalizzat in-negozjati tal-ftehim UE-</w:t>
      </w:r>
      <w:proofErr w:type="spellStart"/>
      <w:r w:rsidRPr="00364E3C">
        <w:t>Mercosur</w:t>
      </w:r>
      <w:proofErr w:type="spellEnd"/>
      <w:r w:rsidRPr="00364E3C">
        <w:t>; billi fit-3 ta’ Settembru 2025, il-Kummissjoni ppreżentat il-ftehim UE-</w:t>
      </w:r>
      <w:proofErr w:type="spellStart"/>
      <w:r w:rsidRPr="00364E3C">
        <w:t>Mercosur</w:t>
      </w:r>
      <w:proofErr w:type="spellEnd"/>
      <w:r w:rsidRPr="00364E3C">
        <w:t xml:space="preserve"> bħala żewġ testi legali paralleli, jiġifieri l-Ftehim ta’ Sħubija UE-</w:t>
      </w:r>
      <w:proofErr w:type="spellStart"/>
      <w:r w:rsidRPr="00364E3C">
        <w:t>Mercosur</w:t>
      </w:r>
      <w:proofErr w:type="spellEnd"/>
      <w:r w:rsidRPr="00364E3C">
        <w:t xml:space="preserve"> (EMPA) u Ftehim Kummerċjali Interim (ITA), u ressqet il-proposti tagħha lill-Kunsill għall-iffirmar u l-konklużjoni tal-EMPA; billi l-EMPA huwa ftehim qafas imħallat, li jirrikjedi approvazzjoni unanima fil-Kunsill, l-approvazzjoni tal-Parlament u r-ratifika mis-27 Stat Membru kollha qabel ma jkun jista’ jidħol fis-seħħ bis-sħiħ; billi l-ITA jkopri biss dawk id-dispożizzjonijiet li jaqgħu taħt il-kompetenza esklużiva tal-UE u jirrikjedi biss maġġoranza kwalifikata fil-Kunsill u l-approvazzjoni tal-Parlament biex jidħol fis-seħħ;</w:t>
      </w:r>
    </w:p>
    <w:p w14:paraId="59FD0FA8" w14:textId="77777777" w:rsidR="00A060E3" w:rsidRPr="00364E3C" w:rsidRDefault="00A060E3" w:rsidP="00A060E3">
      <w:pPr>
        <w:pStyle w:val="NormalHanging12a"/>
      </w:pPr>
      <w:r w:rsidRPr="00364E3C">
        <w:t>B.</w:t>
      </w:r>
      <w:r w:rsidRPr="00364E3C">
        <w:tab/>
        <w:t xml:space="preserve">billi l-Ftehim Qafas ta’ Kooperazzjoni </w:t>
      </w:r>
      <w:proofErr w:type="spellStart"/>
      <w:r w:rsidRPr="00364E3C">
        <w:t>Interreġjonali</w:t>
      </w:r>
      <w:proofErr w:type="spellEnd"/>
      <w:r w:rsidRPr="00364E3C">
        <w:t xml:space="preserve"> tal-1995, li jifforma l-bażi tad-direttivi ta’ negozjati tal-1999, ġie ppreżentat, fil-</w:t>
      </w:r>
      <w:proofErr w:type="spellStart"/>
      <w:r w:rsidRPr="00364E3C">
        <w:t>preambolu</w:t>
      </w:r>
      <w:proofErr w:type="spellEnd"/>
      <w:r w:rsidRPr="00364E3C">
        <w:t xml:space="preserve"> tiegħu, bħala “preludju għan-negozjar ta’ Ftehim ta’ Assoċjazzjoni </w:t>
      </w:r>
      <w:proofErr w:type="spellStart"/>
      <w:r w:rsidRPr="00364E3C">
        <w:t>Interreġjonali</w:t>
      </w:r>
      <w:proofErr w:type="spellEnd"/>
      <w:r w:rsidRPr="00364E3C">
        <w:t xml:space="preserve">” u bħala li għandu l-għan li “jħejji l-kundizzjonijiet li jippermettu l-ħolqien ta’ assoċjazzjoni </w:t>
      </w:r>
      <w:proofErr w:type="spellStart"/>
      <w:r w:rsidRPr="00364E3C">
        <w:t>interreġjonali</w:t>
      </w:r>
      <w:proofErr w:type="spellEnd"/>
      <w:r w:rsidRPr="00364E3C">
        <w:t>”;</w:t>
      </w:r>
    </w:p>
    <w:p w14:paraId="5C4E7838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t>C.</w:t>
      </w:r>
      <w:r w:rsidRPr="00364E3C">
        <w:tab/>
      </w:r>
      <w:r w:rsidRPr="00364E3C">
        <w:rPr>
          <w:rStyle w:val="hgkelc"/>
          <w:color w:val="000000"/>
        </w:rPr>
        <w:t>billi d-direttivi ta’ negozjati tal-1999 awtorizzaw in-negozjar ta’ ftehim ta’ assoċjazzjoni mal-pajjiżi tal-</w:t>
      </w:r>
      <w:proofErr w:type="spellStart"/>
      <w:r w:rsidRPr="00364E3C">
        <w:rPr>
          <w:rStyle w:val="hgkelc"/>
          <w:color w:val="000000"/>
        </w:rPr>
        <w:t>Mercosur</w:t>
      </w:r>
      <w:proofErr w:type="spellEnd"/>
      <w:r w:rsidRPr="00364E3C">
        <w:rPr>
          <w:rStyle w:val="hgkelc"/>
          <w:color w:val="000000"/>
        </w:rPr>
        <w:t xml:space="preserve">, u b’hekk </w:t>
      </w:r>
      <w:proofErr w:type="spellStart"/>
      <w:r w:rsidRPr="00364E3C">
        <w:rPr>
          <w:rStyle w:val="hgkelc"/>
          <w:color w:val="000000"/>
        </w:rPr>
        <w:t>irrikjedew</w:t>
      </w:r>
      <w:proofErr w:type="spellEnd"/>
      <w:r w:rsidRPr="00364E3C">
        <w:rPr>
          <w:rStyle w:val="hgkelc"/>
          <w:color w:val="000000"/>
        </w:rPr>
        <w:t xml:space="preserve"> l-unanimità tal-Kunsill u r-ratifika mill-parlamenti nazzjonali; billi la l-kamp ta’ applikazzjoni tal-ITA u lanqas il-konsegwenzi tiegħu fuq is-setgħa ta’ veto tal-Istati Membri ma setgħu jiġu </w:t>
      </w:r>
      <w:proofErr w:type="spellStart"/>
      <w:r w:rsidRPr="00364E3C">
        <w:rPr>
          <w:rStyle w:val="hgkelc"/>
          <w:color w:val="000000"/>
        </w:rPr>
        <w:t>antiċipati</w:t>
      </w:r>
      <w:proofErr w:type="spellEnd"/>
      <w:r w:rsidRPr="00364E3C">
        <w:rPr>
          <w:rStyle w:val="hgkelc"/>
          <w:color w:val="000000"/>
        </w:rPr>
        <w:t xml:space="preserve"> fiż-żmien meta dan il-mandat inħareġ u ntlaħaq qbil dwaru; billi l-Kunsill ikkonferma l-pożizzjoni tiegħu fil-konklużjonijiet tal-Kunsill tal-2018 u ddikjara li “huwa l-Kunsill li jiddeċiedi jekk jiftaħx in-negozjati fuq din il-bażi. Bl-istess mod huwa l-Kunsill li għandu jiddeċiedi, abbażi ta’ każ b’każ, dwar it-taqsim ta’ ftehimiet kummerċjali. Skont il-kontenut tagħhom, ftehimiet ta’ assoċjazzjoni għandhom ikunu mħallta. Dawk li qed jiġu nnegozjati attwalment, bħal pereżempju mal-Messiku, il-</w:t>
      </w:r>
      <w:proofErr w:type="spellStart"/>
      <w:r w:rsidRPr="00364E3C">
        <w:rPr>
          <w:rStyle w:val="hgkelc"/>
          <w:color w:val="000000"/>
        </w:rPr>
        <w:t>Mercosur</w:t>
      </w:r>
      <w:proofErr w:type="spellEnd"/>
      <w:r w:rsidRPr="00364E3C">
        <w:rPr>
          <w:rStyle w:val="hgkelc"/>
          <w:color w:val="000000"/>
        </w:rPr>
        <w:t xml:space="preserve"> u ċ-Ċilì, ser jibqgħu ftehimiet imħallta”; </w:t>
      </w:r>
      <w:r w:rsidRPr="00364E3C">
        <w:t>billi l-Ftehim Kummerċjali UE-</w:t>
      </w:r>
      <w:proofErr w:type="spellStart"/>
      <w:r w:rsidRPr="00364E3C">
        <w:t>Mercosur</w:t>
      </w:r>
      <w:proofErr w:type="spellEnd"/>
      <w:r w:rsidRPr="00364E3C">
        <w:t>, miftiehem fil-prinċipju f’Lulju 2019, jirreferi wkoll għall-Ftehim ta’ Assoċjazzjoni UE-</w:t>
      </w:r>
      <w:proofErr w:type="spellStart"/>
      <w:r w:rsidRPr="00364E3C">
        <w:t>Mercosur</w:t>
      </w:r>
      <w:proofErr w:type="spellEnd"/>
      <w:r w:rsidRPr="00364E3C">
        <w:t xml:space="preserve">; </w:t>
      </w:r>
      <w:r w:rsidRPr="00364E3C">
        <w:rPr>
          <w:rStyle w:val="hgkelc"/>
          <w:color w:val="000000"/>
        </w:rPr>
        <w:t>billi devjazzjoni mid-direttivi ta’ negozjati tal-1999 u l-konklużjonijiet tal-Kunsill tal-2018 tista’ titqies inkompatibbli mad-dritt tal-Unjoni;</w:t>
      </w:r>
    </w:p>
    <w:p w14:paraId="4966F487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rPr>
          <w:rStyle w:val="hgkelc"/>
          <w:color w:val="000000"/>
        </w:rPr>
        <w:t>D.</w:t>
      </w:r>
      <w:r w:rsidRPr="00364E3C">
        <w:rPr>
          <w:rStyle w:val="hgkelc"/>
          <w:color w:val="000000"/>
        </w:rPr>
        <w:tab/>
        <w:t xml:space="preserve">billi l-parlamenti nazzjonali f’diversi Stati Membri diġà wrew l-oppożizzjoni tagħhom għar-ratifika </w:t>
      </w:r>
      <w:r w:rsidRPr="00364E3C">
        <w:t>tal-ftehim UE-</w:t>
      </w:r>
      <w:proofErr w:type="spellStart"/>
      <w:r w:rsidRPr="00364E3C">
        <w:t>Mercosur</w:t>
      </w:r>
      <w:proofErr w:type="spellEnd"/>
      <w:r w:rsidRPr="00364E3C">
        <w:t xml:space="preserve"> </w:t>
      </w:r>
      <w:r w:rsidRPr="00364E3C">
        <w:rPr>
          <w:rStyle w:val="hgkelc"/>
          <w:color w:val="000000"/>
        </w:rPr>
        <w:t xml:space="preserve">billi adottaw riżoluzzjonijiet f’dak ir-rigward; </w:t>
      </w:r>
      <w:r w:rsidRPr="00364E3C">
        <w:t>billi l-fatt li l-ftehim UE-</w:t>
      </w:r>
      <w:proofErr w:type="spellStart"/>
      <w:r w:rsidRPr="00364E3C">
        <w:t>Mercosur</w:t>
      </w:r>
      <w:proofErr w:type="spellEnd"/>
      <w:r w:rsidRPr="00364E3C">
        <w:t xml:space="preserve"> inqasam f’żewġ testi legali separati, jiġifieri l-EMPA u l-ITA, jevita d-dritt tal-parlamenti nazzjonali li jirratifikaw l-ITA; billi huwa importanti li tiġi żgurata konsultazzjoni effettiva taċ-ċittadini, tal-Parlament Ewropew, tal-parlamenti nazzjonali u reġjonali, tas-soċjetà ċivili u ta’ partijiet ikkonċernati rilevanti oħra f’kull stadju tal-proċess biex tiġi </w:t>
      </w:r>
      <w:proofErr w:type="spellStart"/>
      <w:r w:rsidRPr="00364E3C">
        <w:t>ggarantita</w:t>
      </w:r>
      <w:proofErr w:type="spellEnd"/>
      <w:r w:rsidRPr="00364E3C">
        <w:t xml:space="preserve"> r-responsabbiltà demokratika;</w:t>
      </w:r>
    </w:p>
    <w:p w14:paraId="0DBFC65F" w14:textId="77777777" w:rsidR="00A060E3" w:rsidRPr="00364E3C" w:rsidRDefault="00A060E3" w:rsidP="00A060E3">
      <w:pPr>
        <w:pStyle w:val="NormalHanging12a"/>
      </w:pPr>
      <w:r w:rsidRPr="00364E3C">
        <w:rPr>
          <w:rStyle w:val="hgkelc"/>
          <w:color w:val="000000"/>
        </w:rPr>
        <w:t>E.</w:t>
      </w:r>
      <w:r w:rsidRPr="00364E3C">
        <w:rPr>
          <w:rStyle w:val="hgkelc"/>
          <w:color w:val="000000"/>
        </w:rPr>
        <w:tab/>
      </w:r>
      <w:r w:rsidRPr="00364E3C">
        <w:t xml:space="preserve">billi l-Kapitolu 21, l-Artikolu 21.4(b) u l-Kapitolu 1, l-Artikolu 1.3(k) tal-ITA jintroduċu “mekkaniżmu jew klawżola ta’ </w:t>
      </w:r>
      <w:proofErr w:type="spellStart"/>
      <w:r w:rsidRPr="00364E3C">
        <w:t>riekwilibriju</w:t>
      </w:r>
      <w:proofErr w:type="spellEnd"/>
      <w:r w:rsidRPr="00364E3C">
        <w:t xml:space="preserve">” mfassla ġodda li jippermettu lil parti tfittex kumpens jekk “miżura applikata mill-parti l-oħra tannulla jew tfixkel sostanzjalment kwalunkwe benefiċċju li jakkumula taħt id-dispożizzjonijiet koperti b’mod li jaffettwa ħażin il-kummerċ bejn il-partijiet, kemm jekk miżura bħal din tmur kontra d-dispożizzjonijiet ta’ dan il-Ftehim kif ukoll jekk le, ħlief kif provdut </w:t>
      </w:r>
      <w:r w:rsidRPr="00364E3C">
        <w:lastRenderedPageBreak/>
        <w:t xml:space="preserve">espliċitament mod ieħor”; billi dan il-mekkaniżmu għandu l-għan li jikkumpensa għall-impatt ekonomiku tal-leġiżlazzjoni jew il-prattika ta’ sieħeb kummerċjali, anke meta dawn ma jiksrux id-dispożizzjonijiet tal-Ftehim; billi, pereżempju, fil-Kapitolu 21 tal-ITA, l-Artikolu 21.20 u l-Artikolu 21.21 tiegħu jipprevedu li </w:t>
      </w:r>
      <w:proofErr w:type="spellStart"/>
      <w:r w:rsidRPr="00364E3C">
        <w:t>kontromiżura</w:t>
      </w:r>
      <w:proofErr w:type="spellEnd"/>
      <w:r w:rsidRPr="00364E3C">
        <w:t xml:space="preserve"> tiġi sospiża biss ladarba l-miżura inkwistjoni tkun ġiet “irtirata jew emendata sabiex telimina dik </w:t>
      </w:r>
      <w:proofErr w:type="spellStart"/>
      <w:r w:rsidRPr="00364E3C">
        <w:t>in-nullifikazzjoni</w:t>
      </w:r>
      <w:proofErr w:type="spellEnd"/>
      <w:r w:rsidRPr="00364E3C">
        <w:t xml:space="preserve"> jew </w:t>
      </w:r>
      <w:proofErr w:type="spellStart"/>
      <w:r w:rsidRPr="00364E3C">
        <w:t>indeboliment</w:t>
      </w:r>
      <w:proofErr w:type="spellEnd"/>
      <w:r w:rsidRPr="00364E3C">
        <w:t xml:space="preserve"> sostanzjali”; billi dan il-mekkaniżmu jista’ jintuża mill-pajjiżi tal-</w:t>
      </w:r>
      <w:proofErr w:type="spellStart"/>
      <w:r w:rsidRPr="00364E3C">
        <w:t>Mercosur</w:t>
      </w:r>
      <w:proofErr w:type="spellEnd"/>
      <w:r w:rsidRPr="00364E3C">
        <w:t xml:space="preserve"> biex jagħmlu pressjoni fuq l-UE biex toqgħod lura milli </w:t>
      </w:r>
      <w:proofErr w:type="spellStart"/>
      <w:r w:rsidRPr="00364E3C">
        <w:t>tippromulga</w:t>
      </w:r>
      <w:proofErr w:type="spellEnd"/>
      <w:r w:rsidRPr="00364E3C">
        <w:t xml:space="preserve"> jew tinforza leġiżlazzjoni u miżuri oħra relatati mal-protezzjoni tal-klima u tal-ambjent, is-sikurezza tal-ikel jew il-projbizzjonijiet fuq ċerti pestiċidi;</w:t>
      </w:r>
    </w:p>
    <w:p w14:paraId="1129F07F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t>F.</w:t>
      </w:r>
      <w:r w:rsidRPr="00364E3C">
        <w:tab/>
        <w:t xml:space="preserve">billi </w:t>
      </w:r>
      <w:r w:rsidRPr="00364E3C">
        <w:rPr>
          <w:rStyle w:val="hgkelc"/>
          <w:color w:val="000000"/>
        </w:rPr>
        <w:t xml:space="preserve">l-interpretazzjoni tal-Gvern Brażiljan tal-kamp ta’ applikazzjoni </w:t>
      </w:r>
      <w:proofErr w:type="spellStart"/>
      <w:r w:rsidRPr="00364E3C">
        <w:rPr>
          <w:rStyle w:val="hgkelc"/>
          <w:color w:val="000000"/>
        </w:rPr>
        <w:t>temporali</w:t>
      </w:r>
      <w:proofErr w:type="spellEnd"/>
      <w:r w:rsidRPr="00364E3C">
        <w:rPr>
          <w:rStyle w:val="hgkelc"/>
          <w:color w:val="000000"/>
        </w:rPr>
        <w:t xml:space="preserve"> tal-klawżola ta’ </w:t>
      </w:r>
      <w:proofErr w:type="spellStart"/>
      <w:r w:rsidRPr="00364E3C">
        <w:rPr>
          <w:rStyle w:val="hgkelc"/>
          <w:color w:val="000000"/>
        </w:rPr>
        <w:t>riekwilibriju</w:t>
      </w:r>
      <w:proofErr w:type="spellEnd"/>
      <w:r w:rsidRPr="00364E3C">
        <w:rPr>
          <w:rStyle w:val="hgkelc"/>
          <w:color w:val="000000"/>
        </w:rPr>
        <w:t xml:space="preserve"> hija differenti mill-interpretazzjoni tal-Kummissjoni, billi l-Brażil iqis li din tmur lura sal-2019;</w:t>
      </w:r>
    </w:p>
    <w:p w14:paraId="10FC04A4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rPr>
          <w:rStyle w:val="hgkelc"/>
          <w:color w:val="000000"/>
        </w:rPr>
        <w:t>G.</w:t>
      </w:r>
      <w:r w:rsidRPr="00364E3C">
        <w:rPr>
          <w:rStyle w:val="hgkelc"/>
          <w:color w:val="000000"/>
        </w:rPr>
        <w:tab/>
        <w:t xml:space="preserve">billi din il-klawżola hija aktar estensiva minn dawk eżistenti fi ftehimiet ta’ kummerċ ħieles preċedenti konklużi mill-UE u tvarja fil-kamp ta’ applikazzjoni u fil-kontenut mill-klawżola stabbilita fil-Ftehim Ġenerali dwar it-Tariffi u l-Kummerċ (GATT) u fl-Artikolu 26(1) tal-Qbil tad-WTO dwar is-Soluzzjoni tat-Tilwim; billi l-klawżola ta’ </w:t>
      </w:r>
      <w:proofErr w:type="spellStart"/>
      <w:r w:rsidRPr="00364E3C">
        <w:rPr>
          <w:rStyle w:val="hgkelc"/>
          <w:color w:val="000000"/>
        </w:rPr>
        <w:t>riekwilibriju</w:t>
      </w:r>
      <w:proofErr w:type="spellEnd"/>
      <w:r w:rsidRPr="00364E3C">
        <w:rPr>
          <w:rStyle w:val="hgkelc"/>
          <w:color w:val="000000"/>
        </w:rPr>
        <w:t xml:space="preserve"> li tinsab </w:t>
      </w:r>
      <w:proofErr w:type="spellStart"/>
      <w:r w:rsidRPr="00364E3C">
        <w:rPr>
          <w:rStyle w:val="hgkelc"/>
          <w:color w:val="000000"/>
        </w:rPr>
        <w:t>fil-GATT</w:t>
      </w:r>
      <w:proofErr w:type="spellEnd"/>
      <w:r w:rsidRPr="00364E3C">
        <w:rPr>
          <w:rStyle w:val="hgkelc"/>
          <w:color w:val="000000"/>
        </w:rPr>
        <w:t xml:space="preserve"> qatt ma ġiet invokata kontra leġiżlazzjoni dwar l-iżvilupp sostenibbli, </w:t>
      </w:r>
      <w:proofErr w:type="spellStart"/>
      <w:r w:rsidRPr="00364E3C">
        <w:rPr>
          <w:rStyle w:val="hgkelc"/>
          <w:color w:val="000000"/>
        </w:rPr>
        <w:t>preżumibbilment</w:t>
      </w:r>
      <w:proofErr w:type="spellEnd"/>
      <w:r w:rsidRPr="00364E3C">
        <w:rPr>
          <w:rStyle w:val="hgkelc"/>
          <w:color w:val="000000"/>
        </w:rPr>
        <w:t xml:space="preserve"> minħabba li tali leġiżlazzjoni tkun koperta mill-klawżola ta’ eċċezzjonijiet ġenerali tal-Artikolu XX </w:t>
      </w:r>
      <w:proofErr w:type="spellStart"/>
      <w:r w:rsidRPr="00364E3C">
        <w:rPr>
          <w:rStyle w:val="hgkelc"/>
          <w:color w:val="000000"/>
        </w:rPr>
        <w:t>tal-GATT</w:t>
      </w:r>
      <w:proofErr w:type="spellEnd"/>
      <w:r w:rsidRPr="00364E3C">
        <w:rPr>
          <w:rStyle w:val="hgkelc"/>
          <w:color w:val="000000"/>
        </w:rPr>
        <w:t>;</w:t>
      </w:r>
    </w:p>
    <w:p w14:paraId="2F4ACC83" w14:textId="77777777" w:rsidR="00A060E3" w:rsidRPr="00364E3C" w:rsidRDefault="00A060E3" w:rsidP="00A060E3">
      <w:pPr>
        <w:pStyle w:val="NormalHanging12a"/>
      </w:pPr>
      <w:r w:rsidRPr="00364E3C">
        <w:rPr>
          <w:rStyle w:val="hgkelc"/>
          <w:color w:val="000000"/>
        </w:rPr>
        <w:t>H.</w:t>
      </w:r>
      <w:r w:rsidRPr="00364E3C">
        <w:rPr>
          <w:rStyle w:val="hgkelc"/>
          <w:color w:val="000000"/>
        </w:rPr>
        <w:tab/>
        <w:t>billi l-possibbiltà li l-pajjiżi tal-</w:t>
      </w:r>
      <w:proofErr w:type="spellStart"/>
      <w:r w:rsidRPr="00364E3C">
        <w:rPr>
          <w:rStyle w:val="hgkelc"/>
          <w:color w:val="000000"/>
        </w:rPr>
        <w:t>Mercosur</w:t>
      </w:r>
      <w:proofErr w:type="spellEnd"/>
      <w:r w:rsidRPr="00364E3C">
        <w:rPr>
          <w:rStyle w:val="hgkelc"/>
          <w:color w:val="000000"/>
        </w:rPr>
        <w:t xml:space="preserve"> jiksbu kumpens għall-effetti kummerċjali tal-miżuri ta’ sostenibbiltà tal-UE tista’ twassal biex il-koleġiżlaturi tal-UE jżommu lura milli jadottaw tali miżuri u jagħmlu pressjoni fuq il-Kummissjoni biex tirtira, temenda jew twaqqaf l-implimentazzjoni tal-leġiżlazzjoni attwali; </w:t>
      </w:r>
      <w:r w:rsidRPr="00364E3C">
        <w:t xml:space="preserve">billi l-mekkaniżmu jista’ jkollu impatt, b’mod partikolari, fuq leġiżlazzjoni li għandha l-għan li tħares id-drittijiet protetti mill-Karta u l-prinċipji tat-Trattati li fuqhom huwa </w:t>
      </w:r>
      <w:proofErr w:type="spellStart"/>
      <w:r w:rsidRPr="00364E3C">
        <w:t>bbażat</w:t>
      </w:r>
      <w:proofErr w:type="spellEnd"/>
      <w:r w:rsidRPr="00364E3C">
        <w:t xml:space="preserve"> l-ordni ġuridiku tal-UE;</w:t>
      </w:r>
    </w:p>
    <w:p w14:paraId="63949B9F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rPr>
          <w:rStyle w:val="hgkelc"/>
          <w:color w:val="000000"/>
        </w:rPr>
        <w:t xml:space="preserve">I. </w:t>
      </w:r>
      <w:sdt>
        <w:sdtPr>
          <w:tag w:val="goog_rdk_108"/>
          <w:id w:val="-1211211179"/>
        </w:sdtPr>
        <w:sdtEndPr/>
        <w:sdtContent>
          <w:r w:rsidRPr="00364E3C">
            <w:tab/>
          </w:r>
        </w:sdtContent>
      </w:sdt>
      <w:r w:rsidRPr="00364E3C">
        <w:t>billi hemm differenzi regolatorji sinifikanti bejn l-UE u l-pajjiżi tal-</w:t>
      </w:r>
      <w:proofErr w:type="spellStart"/>
      <w:r w:rsidRPr="00364E3C">
        <w:t>Mercosur</w:t>
      </w:r>
      <w:proofErr w:type="spellEnd"/>
      <w:r w:rsidRPr="00364E3C">
        <w:t xml:space="preserve"> fir-rigward tal-produzzjoni tal-ikel u l-istandards sanitarji u veterinarji; billi l-ftehim UE-</w:t>
      </w:r>
      <w:proofErr w:type="spellStart"/>
      <w:r w:rsidRPr="00364E3C">
        <w:t>Mercosur</w:t>
      </w:r>
      <w:proofErr w:type="spellEnd"/>
      <w:r w:rsidRPr="00364E3C">
        <w:t xml:space="preserve"> inaqqas il-miżuri ta’ awditjar u kontroll għall-importazzjonijiet agrikoli mill-</w:t>
      </w:r>
      <w:proofErr w:type="spellStart"/>
      <w:r w:rsidRPr="00364E3C">
        <w:t>Mercosur</w:t>
      </w:r>
      <w:proofErr w:type="spellEnd"/>
      <w:r w:rsidRPr="00364E3C">
        <w:t xml:space="preserve">; billi l-Kapitolu 6 tal-ITA, dwar miżuri sanitarji u </w:t>
      </w:r>
      <w:proofErr w:type="spellStart"/>
      <w:r w:rsidRPr="00364E3C">
        <w:t>fitosanitarji</w:t>
      </w:r>
      <w:proofErr w:type="spellEnd"/>
      <w:r w:rsidRPr="00364E3C">
        <w:t xml:space="preserve">, jinkludi diversi miżuri li jdgħajfu l-mekkaniżmi ta’ kontroll eżistenti; </w:t>
      </w:r>
      <w:r w:rsidRPr="00364E3C">
        <w:rPr>
          <w:rStyle w:val="hgkelc"/>
          <w:color w:val="000000"/>
        </w:rPr>
        <w:t xml:space="preserve">billi f’konformità mal-Artikolu 6.12(2) tiegħu, il-miżuri sanitarji u </w:t>
      </w:r>
      <w:proofErr w:type="spellStart"/>
      <w:r w:rsidRPr="00364E3C">
        <w:rPr>
          <w:rStyle w:val="hgkelc"/>
          <w:color w:val="000000"/>
        </w:rPr>
        <w:t>fitosanitarji</w:t>
      </w:r>
      <w:proofErr w:type="spellEnd"/>
      <w:r w:rsidRPr="00364E3C">
        <w:rPr>
          <w:rStyle w:val="hgkelc"/>
          <w:color w:val="000000"/>
        </w:rPr>
        <w:t xml:space="preserve"> huma aċċettabbli biss jekk ikunu proviżorji u </w:t>
      </w:r>
      <w:proofErr w:type="spellStart"/>
      <w:r w:rsidRPr="00364E3C">
        <w:rPr>
          <w:rStyle w:val="hgkelc"/>
          <w:color w:val="000000"/>
        </w:rPr>
        <w:t>rieżaminati</w:t>
      </w:r>
      <w:proofErr w:type="spellEnd"/>
      <w:r w:rsidRPr="00364E3C">
        <w:rPr>
          <w:rStyle w:val="hgkelc"/>
          <w:color w:val="000000"/>
        </w:rPr>
        <w:t xml:space="preserve"> “f’perjodu ta’ żmien raġonevoli”; billi skont id-dritt tal-Unjoni, l-applikazzjoni tal-prinċipju ta’ prekawzjoni mhijiex </w:t>
      </w:r>
      <w:proofErr w:type="spellStart"/>
      <w:r w:rsidRPr="00364E3C">
        <w:rPr>
          <w:rStyle w:val="hgkelc"/>
          <w:color w:val="000000"/>
        </w:rPr>
        <w:t>kundizzjonali</w:t>
      </w:r>
      <w:proofErr w:type="spellEnd"/>
      <w:r w:rsidRPr="00364E3C">
        <w:rPr>
          <w:rStyle w:val="hgkelc"/>
          <w:color w:val="000000"/>
        </w:rPr>
        <w:t xml:space="preserve"> fuq tali rekwiżit;</w:t>
      </w:r>
    </w:p>
    <w:p w14:paraId="57232164" w14:textId="77777777" w:rsidR="00A060E3" w:rsidRPr="00364E3C" w:rsidRDefault="00A060E3" w:rsidP="00A060E3">
      <w:pPr>
        <w:pStyle w:val="NormalHanging12a"/>
      </w:pPr>
      <w:r w:rsidRPr="00364E3C">
        <w:rPr>
          <w:rStyle w:val="hgkelc"/>
          <w:color w:val="000000"/>
        </w:rPr>
        <w:t>J.</w:t>
      </w:r>
      <w:r w:rsidRPr="00364E3C">
        <w:rPr>
          <w:rStyle w:val="hgkelc"/>
          <w:color w:val="000000"/>
        </w:rPr>
        <w:tab/>
        <w:t>billi l-Kapitolu 18 tal-ITA, dwar il-kummerċ u l-iżvilupp sostenibbli, jirrestrinġi l-applikazzjoni tal-prinċipju ta’ prekawzjoni, b’mod partikolari għal sitwazzjonijiet ta’ “riskju ta’ degradazzjoni ambjentali serja jew għas-saħħa u s-sikurezza okkupazzjonali”</w:t>
      </w:r>
      <w:r w:rsidRPr="00364E3C">
        <w:t>;</w:t>
      </w:r>
      <w:r w:rsidRPr="00364E3C">
        <w:rPr>
          <w:rStyle w:val="hgkelc"/>
          <w:color w:val="000000"/>
        </w:rPr>
        <w:t xml:space="preserve"> billi dawn ir-restrizzjonijiet jistgħu jirriżultaw fit-tnaqqis tal-livelli ta’ protezzjoni tas-saħħa, tal-konsumatur u tal-ambjent fl-UE; billi l-miżuri attwali tal-UE permessi skont il-prinċipju ta’ prekawzjoni tal-UE jistgħu jiġu </w:t>
      </w:r>
      <w:proofErr w:type="spellStart"/>
      <w:r w:rsidRPr="00364E3C">
        <w:rPr>
          <w:rStyle w:val="hgkelc"/>
          <w:color w:val="000000"/>
        </w:rPr>
        <w:t>kkontestati</w:t>
      </w:r>
      <w:proofErr w:type="spellEnd"/>
      <w:r w:rsidRPr="00364E3C">
        <w:rPr>
          <w:rStyle w:val="hgkelc"/>
          <w:color w:val="000000"/>
        </w:rPr>
        <w:t xml:space="preserve"> quddiem bord ta’ arbitraġġ u jistgħu jiġġustifikaw </w:t>
      </w:r>
      <w:proofErr w:type="spellStart"/>
      <w:r w:rsidRPr="00364E3C">
        <w:rPr>
          <w:rStyle w:val="hgkelc"/>
          <w:color w:val="000000"/>
        </w:rPr>
        <w:t>kumpensi</w:t>
      </w:r>
      <w:proofErr w:type="spellEnd"/>
      <w:r w:rsidRPr="00364E3C">
        <w:rPr>
          <w:rStyle w:val="hgkelc"/>
          <w:color w:val="000000"/>
        </w:rPr>
        <w:t>;</w:t>
      </w:r>
    </w:p>
    <w:p w14:paraId="79C4D21D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t>1.</w:t>
      </w:r>
      <w:r w:rsidRPr="00364E3C">
        <w:tab/>
        <w:t>Huwa mħasseb</w:t>
      </w:r>
      <w:r w:rsidRPr="00364E3C">
        <w:rPr>
          <w:rStyle w:val="hgkelc"/>
          <w:color w:val="000000"/>
        </w:rPr>
        <w:t xml:space="preserve"> li l-qsim tal-ftehim UE-</w:t>
      </w:r>
      <w:proofErr w:type="spellStart"/>
      <w:r w:rsidRPr="00364E3C">
        <w:rPr>
          <w:rStyle w:val="hgkelc"/>
          <w:color w:val="000000"/>
        </w:rPr>
        <w:t>Mercosur</w:t>
      </w:r>
      <w:proofErr w:type="spellEnd"/>
      <w:r w:rsidRPr="00364E3C">
        <w:rPr>
          <w:rStyle w:val="hgkelc"/>
          <w:color w:val="000000"/>
        </w:rPr>
        <w:t xml:space="preserve"> </w:t>
      </w:r>
      <w:r w:rsidRPr="00364E3C">
        <w:t xml:space="preserve">fl-EMPA u l-ITA </w:t>
      </w:r>
      <w:r w:rsidRPr="00364E3C">
        <w:rPr>
          <w:rStyle w:val="hgkelc"/>
          <w:color w:val="000000"/>
        </w:rPr>
        <w:t>jista’ jkun inkompatibbli mal-Artikolu 218(2) u (4) tat-TFUE, kif ukoll mal-prinċipju tal-għoti tal-kompetenzi, il-prinċipju tal-bilanċ istituzzjonali u l-prinċipju tal-kooperazzjoni leali minqux fl-Artikolu 4(3) u l-Artikolu 13(2) tat-TUE; huwa mħasseb li l-linji gwida għan-</w:t>
      </w:r>
      <w:r w:rsidRPr="00364E3C">
        <w:rPr>
          <w:rStyle w:val="hgkelc"/>
          <w:color w:val="000000"/>
        </w:rPr>
        <w:lastRenderedPageBreak/>
        <w:t>negozjati maħruġa mill-Kunsill jistgħu ma jiġux rispettati u li dan jista’ jaffettwa r-regoli tal-votazzjoni fil-Kunsill u jipprevjeni lill-parlamenti nazzjonali milli jkollhom leħen leġittimu dwar il-ftehim;</w:t>
      </w:r>
    </w:p>
    <w:p w14:paraId="0EBDAC1B" w14:textId="77777777" w:rsidR="00A060E3" w:rsidRPr="00364E3C" w:rsidRDefault="00A060E3" w:rsidP="00A060E3">
      <w:pPr>
        <w:pStyle w:val="NormalHanging12a"/>
        <w:rPr>
          <w:rStyle w:val="hgkelc"/>
          <w:color w:val="000000"/>
        </w:rPr>
      </w:pPr>
      <w:r w:rsidRPr="00364E3C">
        <w:rPr>
          <w:rStyle w:val="hgkelc"/>
          <w:color w:val="000000"/>
        </w:rPr>
        <w:t>2.</w:t>
      </w:r>
      <w:r w:rsidRPr="00364E3C">
        <w:rPr>
          <w:rStyle w:val="hgkelc"/>
          <w:color w:val="000000"/>
        </w:rPr>
        <w:tab/>
        <w:t xml:space="preserve">Huwa mħasseb li l-mekkaniżmu ta’ </w:t>
      </w:r>
      <w:proofErr w:type="spellStart"/>
      <w:r w:rsidRPr="00364E3C">
        <w:rPr>
          <w:rStyle w:val="hgkelc"/>
          <w:color w:val="000000"/>
        </w:rPr>
        <w:t>riekwilibriju</w:t>
      </w:r>
      <w:proofErr w:type="spellEnd"/>
      <w:r w:rsidRPr="00364E3C">
        <w:rPr>
          <w:rStyle w:val="hgkelc"/>
          <w:color w:val="000000"/>
        </w:rPr>
        <w:t xml:space="preserve"> previst fil-ftehim UE-</w:t>
      </w:r>
      <w:proofErr w:type="spellStart"/>
      <w:r w:rsidRPr="00364E3C">
        <w:rPr>
          <w:rStyle w:val="hgkelc"/>
          <w:color w:val="000000"/>
        </w:rPr>
        <w:t>Mercosur</w:t>
      </w:r>
      <w:proofErr w:type="spellEnd"/>
      <w:r w:rsidRPr="00364E3C">
        <w:rPr>
          <w:rStyle w:val="hgkelc"/>
          <w:color w:val="000000"/>
        </w:rPr>
        <w:t xml:space="preserve"> jista’, mill-anqas, ikun inkompatibbli mal-Artikoli 11, 168, 169 u 191 tat-TFUE u l-Artikoli 35, 37 u 38 tal-Karta u jista’ jhedded il-kapaċità tal-UE li żżomm </w:t>
      </w:r>
      <w:r w:rsidRPr="00364E3C">
        <w:t>l-awtonomija tal-ordni ġuridiku tal-UE;</w:t>
      </w:r>
    </w:p>
    <w:p w14:paraId="1D804E2B" w14:textId="77777777" w:rsidR="00A060E3" w:rsidRPr="00364E3C" w:rsidRDefault="00A060E3" w:rsidP="00A060E3">
      <w:pPr>
        <w:pStyle w:val="NormalHanging12a"/>
      </w:pPr>
      <w:r w:rsidRPr="00364E3C">
        <w:rPr>
          <w:rStyle w:val="hgkelc"/>
          <w:color w:val="000000"/>
        </w:rPr>
        <w:t>3.</w:t>
      </w:r>
      <w:r w:rsidRPr="00364E3C">
        <w:rPr>
          <w:rStyle w:val="hgkelc"/>
          <w:color w:val="000000"/>
        </w:rPr>
        <w:tab/>
        <w:t>Huwa mħasseb li l-EMPA u l-ITA jistgħu jikkompromettu l-applikazzjoni tal-prinċipju ta’ prekawzjoni, li jista’ jirriżulta f’inkompatibbiltà, mill-anqas, mal-Artikoli 168, 169 u 191 tat-TFUE kif ukoll mal-Artikoli 35, 37 u 38 tal-Karta; huwa mħasseb ukoll li l-prinċipju ta’ prekawzjoni jista’ jiġi affettwat b’mod negattiv mill-awtorità mogħtija lil bord ta’ arbitraġġ biex jivvaluta l-applikazzjoni mill-UE tal-prinċipju ta’ prekawzjoni;</w:t>
      </w:r>
    </w:p>
    <w:p w14:paraId="5E43909A" w14:textId="77777777" w:rsidR="00A060E3" w:rsidRPr="00364E3C" w:rsidRDefault="00A060E3" w:rsidP="00A060E3">
      <w:pPr>
        <w:pStyle w:val="NormalHanging12a"/>
      </w:pPr>
      <w:r w:rsidRPr="00364E3C">
        <w:t>4.</w:t>
      </w:r>
      <w:r w:rsidRPr="00364E3C">
        <w:tab/>
        <w:t>Jiddeċiedi li jitlob opinjoni mill-Qorti tal-Ġustizzja</w:t>
      </w:r>
      <w:r w:rsidRPr="00364E3C">
        <w:rPr>
          <w:rStyle w:val="hgkelc"/>
        </w:rPr>
        <w:t>, f’konformità mal-Artikolu 218(11) tat-TFUE,</w:t>
      </w:r>
      <w:r w:rsidRPr="00364E3C">
        <w:t xml:space="preserve"> dwar il-kompatibbiltà mat-Trattati tal-ftehim previst u </w:t>
      </w:r>
      <w:r w:rsidRPr="00364E3C">
        <w:rPr>
          <w:rStyle w:val="hgkelc"/>
        </w:rPr>
        <w:t>l-konklużjoni prevista tal-UE tal-EMPA u tal-ITA, u l-proċedura segwita biex tinkiseb dik il-konklużjoni</w:t>
      </w:r>
      <w:r w:rsidRPr="00364E3C">
        <w:t>;</w:t>
      </w:r>
    </w:p>
    <w:p w14:paraId="610F3AA3" w14:textId="744A2B5D" w:rsidR="00364E3C" w:rsidRPr="00364E3C" w:rsidRDefault="00A060E3" w:rsidP="00364E3C">
      <w:pPr>
        <w:pStyle w:val="NormalHanging12a"/>
      </w:pPr>
      <w:r w:rsidRPr="00364E3C">
        <w:t>5.</w:t>
      </w:r>
      <w:r w:rsidRPr="00364E3C">
        <w:tab/>
        <w:t>Jagħti istruzzjonijiet lill-President tiegħu biex tieħu l-miżuri meħtieġa bil-għan li tikseb l-opinjoni tal-Qorti tal-Ġustizzja u biex tgħaddi din ir-riżoluzzjoni, għal skopijiet ta’ informazzjoni, lill-Kunsill u lill-Kummissjoni.</w:t>
      </w:r>
      <w:bookmarkEnd w:id="8"/>
    </w:p>
    <w:p w14:paraId="45102943" w14:textId="48A84C3C" w:rsidR="00E365E1" w:rsidRPr="00364E3C" w:rsidRDefault="00E365E1" w:rsidP="007B70C3"/>
    <w:sectPr w:rsidR="00E365E1" w:rsidRPr="00364E3C" w:rsidSect="00364E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EB52F" w14:textId="77777777" w:rsidR="007B70C3" w:rsidRPr="00364E3C" w:rsidRDefault="007B70C3">
      <w:r w:rsidRPr="00364E3C">
        <w:separator/>
      </w:r>
    </w:p>
  </w:endnote>
  <w:endnote w:type="continuationSeparator" w:id="0">
    <w:p w14:paraId="58FD83E7" w14:textId="77777777" w:rsidR="007B70C3" w:rsidRPr="00364E3C" w:rsidRDefault="007B70C3">
      <w:r w:rsidRPr="00364E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6838" w14:textId="77777777" w:rsidR="00064002" w:rsidRPr="00364E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6606" w14:textId="77777777" w:rsidR="00064002" w:rsidRPr="00364E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EA821" w14:textId="77777777" w:rsidR="00064002" w:rsidRPr="00364E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A56EA" w14:textId="77777777" w:rsidR="007B70C3" w:rsidRPr="00364E3C" w:rsidRDefault="007B70C3">
      <w:r w:rsidRPr="00364E3C">
        <w:separator/>
      </w:r>
    </w:p>
  </w:footnote>
  <w:footnote w:type="continuationSeparator" w:id="0">
    <w:p w14:paraId="3093F247" w14:textId="77777777" w:rsidR="007B70C3" w:rsidRPr="00364E3C" w:rsidRDefault="007B70C3">
      <w:r w:rsidRPr="00364E3C">
        <w:continuationSeparator/>
      </w:r>
    </w:p>
  </w:footnote>
  <w:footnote w:id="1">
    <w:p w14:paraId="39D31548" w14:textId="44DF454B" w:rsidR="00A060E3" w:rsidRPr="00364E3C" w:rsidRDefault="00A060E3" w:rsidP="00364E3C">
      <w:pPr>
        <w:pStyle w:val="FootnoteText"/>
        <w:ind w:left="567" w:hanging="567"/>
        <w:rPr>
          <w:sz w:val="24"/>
          <w:lang w:val="mt-MT"/>
        </w:rPr>
      </w:pPr>
      <w:r w:rsidRPr="00364E3C">
        <w:rPr>
          <w:rStyle w:val="FootnoteReference"/>
          <w:sz w:val="24"/>
          <w:lang w:val="mt-MT"/>
        </w:rPr>
        <w:footnoteRef/>
      </w:r>
      <w:r w:rsidR="00364E3C" w:rsidRPr="00364E3C">
        <w:rPr>
          <w:sz w:val="24"/>
          <w:lang w:val="mt-MT"/>
        </w:rPr>
        <w:t xml:space="preserve"> </w:t>
      </w:r>
      <w:r w:rsidR="00364E3C" w:rsidRPr="00364E3C">
        <w:rPr>
          <w:sz w:val="24"/>
          <w:lang w:val="mt-MT"/>
        </w:rPr>
        <w:tab/>
      </w:r>
      <w:r w:rsidRPr="00364E3C">
        <w:rPr>
          <w:sz w:val="24"/>
          <w:lang w:val="mt-MT"/>
        </w:rPr>
        <w:t xml:space="preserve">ĠU L 304, 20.11.2010, p. 47, ELI: </w:t>
      </w:r>
      <w:hyperlink r:id="rId1" w:history="1">
        <w:r w:rsidRPr="00364E3C">
          <w:rPr>
            <w:rStyle w:val="Hyperlink"/>
            <w:sz w:val="24"/>
            <w:lang w:val="mt-MT"/>
          </w:rPr>
          <w:t>http://data.europa.eu/eli/agree_interinstit/2010/1120/oj</w:t>
        </w:r>
      </w:hyperlink>
      <w:r w:rsidRPr="00364E3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881E8" w14:textId="77777777" w:rsidR="00064002" w:rsidRPr="00364E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493A" w14:textId="77777777" w:rsidR="00064002" w:rsidRPr="00364E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0C1B" w14:textId="77777777" w:rsidR="00064002" w:rsidRPr="00364E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9601424">
    <w:abstractNumId w:val="9"/>
  </w:num>
  <w:num w:numId="2" w16cid:durableId="1472559670">
    <w:abstractNumId w:val="9"/>
  </w:num>
  <w:num w:numId="3" w16cid:durableId="266541382">
    <w:abstractNumId w:val="7"/>
  </w:num>
  <w:num w:numId="4" w16cid:durableId="418479111">
    <w:abstractNumId w:val="7"/>
  </w:num>
  <w:num w:numId="5" w16cid:durableId="1648434871">
    <w:abstractNumId w:val="6"/>
  </w:num>
  <w:num w:numId="6" w16cid:durableId="1423911197">
    <w:abstractNumId w:val="6"/>
  </w:num>
  <w:num w:numId="7" w16cid:durableId="2126264712">
    <w:abstractNumId w:val="5"/>
  </w:num>
  <w:num w:numId="8" w16cid:durableId="1709063744">
    <w:abstractNumId w:val="5"/>
  </w:num>
  <w:num w:numId="9" w16cid:durableId="1861431671">
    <w:abstractNumId w:val="4"/>
  </w:num>
  <w:num w:numId="10" w16cid:durableId="276252374">
    <w:abstractNumId w:val="4"/>
  </w:num>
  <w:num w:numId="11" w16cid:durableId="690882542">
    <w:abstractNumId w:val="8"/>
  </w:num>
  <w:num w:numId="12" w16cid:durableId="1301034861">
    <w:abstractNumId w:val="8"/>
  </w:num>
  <w:num w:numId="13" w16cid:durableId="2002997793">
    <w:abstractNumId w:val="3"/>
  </w:num>
  <w:num w:numId="14" w16cid:durableId="1599828673">
    <w:abstractNumId w:val="3"/>
  </w:num>
  <w:num w:numId="15" w16cid:durableId="2048142884">
    <w:abstractNumId w:val="2"/>
  </w:num>
  <w:num w:numId="16" w16cid:durableId="1591231357">
    <w:abstractNumId w:val="2"/>
  </w:num>
  <w:num w:numId="17" w16cid:durableId="289939214">
    <w:abstractNumId w:val="1"/>
  </w:num>
  <w:num w:numId="18" w16cid:durableId="1667594157">
    <w:abstractNumId w:val="1"/>
  </w:num>
  <w:num w:numId="19" w16cid:durableId="1752041473">
    <w:abstractNumId w:val="0"/>
  </w:num>
  <w:num w:numId="20" w16cid:durableId="118303809">
    <w:abstractNumId w:val="0"/>
  </w:num>
  <w:num w:numId="21" w16cid:durableId="770781475">
    <w:abstractNumId w:val="9"/>
  </w:num>
  <w:num w:numId="22" w16cid:durableId="515266842">
    <w:abstractNumId w:val="7"/>
  </w:num>
  <w:num w:numId="23" w16cid:durableId="2130542550">
    <w:abstractNumId w:val="6"/>
  </w:num>
  <w:num w:numId="24" w16cid:durableId="589655892">
    <w:abstractNumId w:val="5"/>
  </w:num>
  <w:num w:numId="25" w16cid:durableId="1172650104">
    <w:abstractNumId w:val="4"/>
  </w:num>
  <w:num w:numId="26" w16cid:durableId="209193763">
    <w:abstractNumId w:val="8"/>
  </w:num>
  <w:num w:numId="27" w16cid:durableId="1379865662">
    <w:abstractNumId w:val="3"/>
  </w:num>
  <w:num w:numId="28" w16cid:durableId="627854910">
    <w:abstractNumId w:val="2"/>
  </w:num>
  <w:num w:numId="29" w16cid:durableId="783810640">
    <w:abstractNumId w:val="1"/>
  </w:num>
  <w:num w:numId="30" w16cid:durableId="1836802235">
    <w:abstractNumId w:val="0"/>
  </w:num>
  <w:num w:numId="31" w16cid:durableId="2009361019">
    <w:abstractNumId w:val="9"/>
  </w:num>
  <w:num w:numId="32" w16cid:durableId="1851870300">
    <w:abstractNumId w:val="7"/>
  </w:num>
  <w:num w:numId="33" w16cid:durableId="1076980160">
    <w:abstractNumId w:val="6"/>
  </w:num>
  <w:num w:numId="34" w16cid:durableId="848640817">
    <w:abstractNumId w:val="5"/>
  </w:num>
  <w:num w:numId="35" w16cid:durableId="1976061742">
    <w:abstractNumId w:val="4"/>
  </w:num>
  <w:num w:numId="36" w16cid:durableId="998771651">
    <w:abstractNumId w:val="8"/>
  </w:num>
  <w:num w:numId="37" w16cid:durableId="598025967">
    <w:abstractNumId w:val="3"/>
  </w:num>
  <w:num w:numId="38" w16cid:durableId="1572690081">
    <w:abstractNumId w:val="2"/>
  </w:num>
  <w:num w:numId="39" w16cid:durableId="86192982">
    <w:abstractNumId w:val="1"/>
  </w:num>
  <w:num w:numId="40" w16cid:durableId="1050034227">
    <w:abstractNumId w:val="0"/>
  </w:num>
  <w:num w:numId="41" w16cid:durableId="1296137569">
    <w:abstractNumId w:val="10"/>
  </w:num>
  <w:num w:numId="42" w16cid:durableId="973873560">
    <w:abstractNumId w:val="10"/>
  </w:num>
  <w:num w:numId="43" w16cid:durableId="1303996433">
    <w:abstractNumId w:val="10"/>
  </w:num>
  <w:num w:numId="44" w16cid:durableId="1225525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0/2026"/>
    <w:docVar w:name="dvlangue" w:val="MT"/>
    <w:docVar w:name="dvnumam" w:val="0"/>
    <w:docVar w:name="dvpe" w:val="782.015"/>
    <w:docVar w:name="dvtitre" w:val="Riżoluzzjoni tal-Parlament Ewropew xx xx xxxx 2026 għal talba għal opinjoni mill-Qorti tal-Ġustizzja dwar il-kompatibbiltà mat-Trattati tal-Ftehim ta’ Sħubija previst bejn l-Unjoni Ewropea u l-Istati Membri tagħha, minn naħa waħda, u s-Suq Komuni tan-Nofsinhar, ir-Repubblika Arġentina, ir-Repubblika Federattiva tal-Brażil, ir-Repubblika tal-Paragwaj u r-Repubblika Orjentali tal-Urugwaj, min-naħa l-oħra, u l-Ftehim Interim dwar il-Kummerċ previst bejn l-Unjoni Ewropea, minn naħa waħda, u s-Suq Komuni tan-Nofsinhar, ir-Repubblika Arġentina, ir-Repubblika Federattiva tal-Brażil, ir-Repubblika tal-Paragwaj u r-Repubblika Orjentali tal-Urugwaj, min-naħa l-oħra(2026/2560(RSP))"/>
  </w:docVars>
  <w:rsids>
    <w:rsidRoot w:val="007B70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E3C"/>
    <w:rsid w:val="00395FA1"/>
    <w:rsid w:val="003C0BA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0C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0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704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A457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C9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4D84C"/>
  <w15:chartTrackingRefBased/>
  <w15:docId w15:val="{FD93E7DA-12DE-4B50-8328-1E49BCFB4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60E3"/>
    <w:pPr>
      <w:spacing w:before="480" w:after="240"/>
    </w:pPr>
  </w:style>
  <w:style w:type="paragraph" w:customStyle="1" w:styleId="NormalHanging12a">
    <w:name w:val="NormalHanging12a"/>
    <w:basedOn w:val="Normal"/>
    <w:rsid w:val="00A060E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060E3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A060E3"/>
  </w:style>
  <w:style w:type="paragraph" w:styleId="Revision">
    <w:name w:val="Revision"/>
    <w:hidden/>
    <w:uiPriority w:val="99"/>
    <w:semiHidden/>
    <w:rsid w:val="00E46C9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10/11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1685</Words>
  <Characters>12500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2026-01-21T12:12:00Z</dcterms:created>
  <dcterms:modified xsi:type="dcterms:W3CDTF">2026-01-21T12:12:00Z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B10-0060/2026</vt:lpwstr>
  </property>
  <property fmtid="{D5CDD505-2E9C-101B-9397-08002B2CF9AE}" pid="4" name="&lt;Type&gt;">
    <vt:lpwstr>RR</vt:lpwstr>
  </property>
</Properties>
</file>