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380F" w14:paraId="04C669F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349216" w14:textId="33FFB216" w:rsidR="00751A4A" w:rsidRPr="00C0380F" w:rsidRDefault="00D47E74" w:rsidP="0010095E">
            <w:pPr>
              <w:pStyle w:val="EPName"/>
            </w:pPr>
            <w:r w:rsidRPr="00C0380F">
              <w:t>Parlament Europejski</w:t>
            </w:r>
          </w:p>
          <w:p w14:paraId="20D557B2" w14:textId="77777777" w:rsidR="00751A4A" w:rsidRPr="00C0380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380F">
              <w:t>2024</w:t>
            </w:r>
            <w:r w:rsidR="00817416" w:rsidRPr="00C0380F">
              <w:t>-202</w:t>
            </w:r>
            <w:r w:rsidRPr="00C0380F">
              <w:t>9</w:t>
            </w:r>
          </w:p>
        </w:tc>
        <w:tc>
          <w:tcPr>
            <w:tcW w:w="2268" w:type="dxa"/>
            <w:shd w:val="clear" w:color="auto" w:fill="auto"/>
          </w:tcPr>
          <w:p w14:paraId="33920B40" w14:textId="77777777" w:rsidR="00751A4A" w:rsidRPr="00C0380F" w:rsidRDefault="00187494" w:rsidP="0010095E">
            <w:pPr>
              <w:pStyle w:val="EPLogo"/>
            </w:pPr>
            <w:r w:rsidRPr="00C0380F">
              <w:rPr>
                <w:noProof/>
                <w:lang w:eastAsia="ja-JP"/>
              </w:rPr>
              <w:drawing>
                <wp:inline distT="0" distB="0" distL="0" distR="0" wp14:anchorId="743B20B7" wp14:editId="1B62FEE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DB3EA2" w14:textId="77777777" w:rsidR="00D058B8" w:rsidRPr="00C0380F" w:rsidRDefault="00D058B8" w:rsidP="004C5D52">
      <w:pPr>
        <w:pStyle w:val="LineTop"/>
      </w:pPr>
    </w:p>
    <w:p w14:paraId="57FE9EE6" w14:textId="3D6FF328" w:rsidR="00680577" w:rsidRPr="00C0380F" w:rsidRDefault="00D47E74" w:rsidP="00680577">
      <w:pPr>
        <w:pStyle w:val="EPBodyTA1"/>
      </w:pPr>
      <w:r w:rsidRPr="00C0380F">
        <w:t>TEKSTY PRZYJĘTE</w:t>
      </w:r>
    </w:p>
    <w:p w14:paraId="5E22B36C" w14:textId="77777777" w:rsidR="00D058B8" w:rsidRPr="00C0380F" w:rsidRDefault="00D058B8" w:rsidP="00D058B8">
      <w:pPr>
        <w:pStyle w:val="LineBottom"/>
      </w:pPr>
    </w:p>
    <w:p w14:paraId="78C45184" w14:textId="48D8535D" w:rsidR="00D47E74" w:rsidRPr="00C0380F" w:rsidRDefault="00D47E74" w:rsidP="00D47E74">
      <w:pPr>
        <w:pStyle w:val="ATHeading1"/>
      </w:pPr>
      <w:bookmarkStart w:id="0" w:name="TANumber"/>
      <w:r w:rsidRPr="00C0380F">
        <w:t>P10_</w:t>
      </w:r>
      <w:proofErr w:type="gramStart"/>
      <w:r w:rsidRPr="00C0380F">
        <w:t>TA(</w:t>
      </w:r>
      <w:proofErr w:type="gramEnd"/>
      <w:r w:rsidRPr="00C0380F">
        <w:t>2026)000</w:t>
      </w:r>
      <w:r w:rsidR="00215DAB">
        <w:t>8</w:t>
      </w:r>
      <w:bookmarkEnd w:id="0"/>
    </w:p>
    <w:p w14:paraId="5F0C8E4C" w14:textId="77777777" w:rsidR="00D47E74" w:rsidRPr="00C0380F" w:rsidRDefault="00D47E74" w:rsidP="00D47E74">
      <w:pPr>
        <w:pStyle w:val="ATHeading2"/>
      </w:pPr>
      <w:bookmarkStart w:id="1" w:name="title"/>
      <w:r w:rsidRPr="00C0380F">
        <w:t>Wniosek o opinię Trybunału Sprawiedliwości w sprawie zgodności z traktatami planowanej Umowy o partnerstwie UE–</w:t>
      </w:r>
      <w:proofErr w:type="spellStart"/>
      <w:r w:rsidRPr="00C0380F">
        <w:t>Mercosur</w:t>
      </w:r>
      <w:proofErr w:type="spellEnd"/>
      <w:r w:rsidRPr="00C0380F">
        <w:t xml:space="preserve"> i przejściowej umowy handlowej</w:t>
      </w:r>
      <w:bookmarkEnd w:id="1"/>
    </w:p>
    <w:p w14:paraId="352DC07D" w14:textId="77777777" w:rsidR="00D47E74" w:rsidRPr="00C0380F" w:rsidRDefault="00D47E74" w:rsidP="00D47E74">
      <w:pPr>
        <w:rPr>
          <w:i/>
          <w:vanish/>
        </w:rPr>
      </w:pPr>
      <w:r w:rsidRPr="00C0380F">
        <w:rPr>
          <w:i/>
        </w:rPr>
        <w:fldChar w:fldCharType="begin"/>
      </w:r>
      <w:r w:rsidRPr="00C0380F">
        <w:rPr>
          <w:i/>
        </w:rPr>
        <w:instrText xml:space="preserve"> TC"(</w:instrText>
      </w:r>
      <w:bookmarkStart w:id="2" w:name="DocNumber"/>
      <w:r w:rsidRPr="00C0380F">
        <w:rPr>
          <w:i/>
        </w:rPr>
        <w:instrText>B10-0060/2026</w:instrText>
      </w:r>
      <w:bookmarkEnd w:id="2"/>
      <w:r w:rsidRPr="00C0380F">
        <w:rPr>
          <w:i/>
        </w:rPr>
        <w:instrText xml:space="preserve">)"\l3 \n&gt; \* MERGEFORMAT </w:instrText>
      </w:r>
      <w:r w:rsidRPr="00C0380F">
        <w:rPr>
          <w:i/>
        </w:rPr>
        <w:fldChar w:fldCharType="end"/>
      </w:r>
    </w:p>
    <w:p w14:paraId="6C4DE3B6" w14:textId="77777777" w:rsidR="00D47E74" w:rsidRPr="00C0380F" w:rsidRDefault="00D47E74" w:rsidP="00D47E74">
      <w:pPr>
        <w:rPr>
          <w:vanish/>
        </w:rPr>
      </w:pPr>
      <w:bookmarkStart w:id="3" w:name="PE"/>
      <w:r w:rsidRPr="00C0380F">
        <w:rPr>
          <w:vanish/>
        </w:rPr>
        <w:t>PE782.015</w:t>
      </w:r>
      <w:bookmarkEnd w:id="3"/>
    </w:p>
    <w:p w14:paraId="30E04310" w14:textId="5693AA00" w:rsidR="00D47E74" w:rsidRPr="00C0380F" w:rsidRDefault="00D47E74" w:rsidP="00215DAB">
      <w:pPr>
        <w:pStyle w:val="ATHeading3"/>
      </w:pPr>
      <w:bookmarkStart w:id="4" w:name="Sujet"/>
      <w:r w:rsidRPr="00C0380F">
        <w:t xml:space="preserve">Rezolucja Parlamentu Europejskiego z dnia </w:t>
      </w:r>
      <w:r w:rsidR="00681514">
        <w:t>21 stycznia</w:t>
      </w:r>
      <w:r w:rsidRPr="00C0380F">
        <w:t xml:space="preserve"> 2026 r. w sprawie zasięgnięcia opinii Trybunału Sprawiedliwości na temat zgodności z traktatami proponowanej Umowy o partnerstwie między Unią Europejską i jej państwami członkowskimi, z jednej strony, a Wspólnym Rynkiem Południa, Republiką Argentyńską, Federacyjną Republiką Brazylii, Republiką Paragwaju i Wschodnią Republiką Urugwaju, z drugiej strony, oraz proponowanej Umowy przejściowej w sprawie handlu między Unią Europejską, z jednej strony, a Wspólnym Rynkiem Południa, Republiką Argentyńską, Federacyjną Republiką Brazylii, Republiką Paragwaju i Wschodnią Republiką Urugwaju, z drugiej strony</w:t>
      </w:r>
      <w:bookmarkEnd w:id="4"/>
      <w:r w:rsidRPr="00C0380F">
        <w:t xml:space="preserve"> </w:t>
      </w:r>
      <w:bookmarkStart w:id="5" w:name="References"/>
      <w:r w:rsidRPr="00C0380F">
        <w:t>(2026/2560(RSP))</w:t>
      </w:r>
      <w:bookmarkEnd w:id="5"/>
    </w:p>
    <w:p w14:paraId="16FF7DC4" w14:textId="77777777" w:rsidR="00E8108A" w:rsidRPr="00C0380F" w:rsidRDefault="00E8108A" w:rsidP="00E8108A">
      <w:pPr>
        <w:pStyle w:val="EPComma"/>
      </w:pPr>
      <w:bookmarkStart w:id="6" w:name="TextBodyBegin"/>
      <w:bookmarkEnd w:id="6"/>
      <w:r w:rsidRPr="00C0380F">
        <w:rPr>
          <w:i/>
        </w:rPr>
        <w:t>Parlament Europejski</w:t>
      </w:r>
      <w:r w:rsidRPr="00C0380F">
        <w:t>,</w:t>
      </w:r>
    </w:p>
    <w:p w14:paraId="62887515" w14:textId="0848572C" w:rsidR="00E8108A" w:rsidRPr="00C0380F" w:rsidRDefault="00E8108A" w:rsidP="00E8108A">
      <w:pPr>
        <w:pStyle w:val="NormalHanging12a"/>
      </w:pPr>
      <w:r w:rsidRPr="00C0380F">
        <w:t>–</w:t>
      </w:r>
      <w:r w:rsidRPr="00C0380F">
        <w:tab/>
        <w:t>uwzględniając proponowaną Umowę o partnerstwie między Unią Europejską i jej państwami członkowskimi, z jednej strony, a Wspólnym Rynkiem Południa, Republiką Argentyńską, Federacyjną Republiką Brazylii, Republiką Paragwaju i Wschodnią Republiką Urugwaju, z drugiej strony</w:t>
      </w:r>
      <w:r w:rsidR="00681514">
        <w:t xml:space="preserve"> </w:t>
      </w:r>
      <w:bookmarkStart w:id="7" w:name="_Hlk219797340"/>
      <w:r w:rsidR="00681514">
        <w:t>(12450/2025)</w:t>
      </w:r>
      <w:bookmarkEnd w:id="7"/>
      <w:r w:rsidRPr="00C0380F">
        <w:t>,</w:t>
      </w:r>
    </w:p>
    <w:p w14:paraId="28009F44" w14:textId="27D97481" w:rsidR="00E8108A" w:rsidRPr="00C0380F" w:rsidRDefault="00E8108A" w:rsidP="00E8108A">
      <w:pPr>
        <w:pStyle w:val="NormalHanging12a"/>
      </w:pPr>
      <w:r w:rsidRPr="00C0380F">
        <w:t>–</w:t>
      </w:r>
      <w:r w:rsidRPr="00C0380F">
        <w:tab/>
        <w:t>uwzględniając proponowaną Umowę przejściową w sprawie handlu między Unią Europejską, z jednej strony, a Wspólnym Rynkiem Południa, Republiką Argentyńską, Federacyjną Republiką Brazylii, Republiką Paragwaju i Wschodnią Republiką Urugwaju, z drugiej strony</w:t>
      </w:r>
      <w:r w:rsidR="004D4DF4">
        <w:t xml:space="preserve"> (12419/2025)</w:t>
      </w:r>
      <w:r w:rsidRPr="00C0380F">
        <w:t>,</w:t>
      </w:r>
    </w:p>
    <w:p w14:paraId="3AEAB81D" w14:textId="77777777" w:rsidR="00E8108A" w:rsidRPr="00C0380F" w:rsidRDefault="00E8108A" w:rsidP="00E8108A">
      <w:pPr>
        <w:pStyle w:val="NormalHanging12a"/>
      </w:pPr>
      <w:r w:rsidRPr="00C0380F">
        <w:t>–</w:t>
      </w:r>
      <w:r w:rsidRPr="00C0380F">
        <w:tab/>
        <w:t>uwzględniając wniosek dotyczący decyzji Rady w sprawie zawarcia, w imieniu Unii Europejskiej, Umowy o partnerstwie między Unią Europejską i jej państwami członkowskimi, z jednej strony, a Wspólnym Rynkiem Południa, Republiką Argentyńską, Federacyjną Republiką Brazylii, Republiką Paragwaju i Wschodnią Republiką Urugwaju, z drugiej strony (</w:t>
      </w:r>
      <w:proofErr w:type="gramStart"/>
      <w:r w:rsidRPr="00C0380F">
        <w:t>COM(</w:t>
      </w:r>
      <w:proofErr w:type="gramEnd"/>
      <w:r w:rsidRPr="00C0380F">
        <w:t xml:space="preserve">2025)0357), </w:t>
      </w:r>
    </w:p>
    <w:p w14:paraId="59A60427" w14:textId="77777777" w:rsidR="00E8108A" w:rsidRPr="00C0380F" w:rsidRDefault="00E8108A" w:rsidP="00E8108A">
      <w:pPr>
        <w:pStyle w:val="NormalHanging12a"/>
      </w:pPr>
      <w:r w:rsidRPr="00C0380F">
        <w:t>–</w:t>
      </w:r>
      <w:r w:rsidRPr="00C0380F">
        <w:tab/>
        <w:t>uwzględniając wniosek dotyczący decyzji Rady w sprawie zawarcia, w imieniu Unii Europejskiej, Umowy przejściowej w sprawie handlu między Unią Europejską, z jednej strony, a Wspólnym Rynkiem Południa, Republiką Argentyńską, Federacyjną Republiką Brazylii, Republiką Paragwaju i Wschodnią Republiką Urugwaju, z drugiej strony (</w:t>
      </w:r>
      <w:proofErr w:type="gramStart"/>
      <w:r w:rsidRPr="00C0380F">
        <w:t>COM(</w:t>
      </w:r>
      <w:proofErr w:type="gramEnd"/>
      <w:r w:rsidRPr="00C0380F">
        <w:t xml:space="preserve">2025)0339), </w:t>
      </w:r>
    </w:p>
    <w:p w14:paraId="50FA4148" w14:textId="7D051FFD" w:rsidR="00E8108A" w:rsidRPr="00C0380F" w:rsidRDefault="00E8108A" w:rsidP="00E8108A">
      <w:pPr>
        <w:pStyle w:val="NormalHanging12a"/>
      </w:pPr>
      <w:r w:rsidRPr="00C0380F">
        <w:lastRenderedPageBreak/>
        <w:t>–</w:t>
      </w:r>
      <w:r w:rsidRPr="00C0380F">
        <w:tab/>
        <w:t>uwzględniając projekt decyzji Rady w sprawie zawarcia, w imieniu Unii Europejskiej, Umowy o partnerstwie między Unią Europejską i jej państwami członkowskimi, z jednej strony, a Wspólnym Rynkiem Południa, Republiką Argentyńską, Federacyjną Republiką Brazylii, Republiką Paragwaju i Wschodnią Republiką Urugwaju, z drugiej strony</w:t>
      </w:r>
      <w:r w:rsidR="004D4DF4">
        <w:t xml:space="preserve"> </w:t>
      </w:r>
      <w:bookmarkStart w:id="8" w:name="_Hlk219797408"/>
      <w:r w:rsidR="004D4DF4">
        <w:t>(12443/2025)</w:t>
      </w:r>
      <w:bookmarkEnd w:id="8"/>
      <w:r w:rsidRPr="00C0380F">
        <w:t>,</w:t>
      </w:r>
    </w:p>
    <w:p w14:paraId="21A969FB" w14:textId="10A47782" w:rsidR="00763351" w:rsidRPr="00C0380F" w:rsidRDefault="00E8108A" w:rsidP="00E8108A">
      <w:pPr>
        <w:pStyle w:val="NormalHanging12a"/>
      </w:pPr>
      <w:r w:rsidRPr="00C0380F">
        <w:t>–</w:t>
      </w:r>
      <w:r w:rsidRPr="00C0380F">
        <w:tab/>
        <w:t>uwzględniając decyzj</w:t>
      </w:r>
      <w:r w:rsidR="00763351">
        <w:t>ę</w:t>
      </w:r>
      <w:r w:rsidRPr="00C0380F">
        <w:t xml:space="preserve"> Rady </w:t>
      </w:r>
      <w:r w:rsidR="004D4DF4">
        <w:t xml:space="preserve">z dnia 9 stycznia 2026 </w:t>
      </w:r>
      <w:r w:rsidR="00763351">
        <w:t xml:space="preserve">r. </w:t>
      </w:r>
      <w:r w:rsidRPr="00C0380F">
        <w:t>w sprawie podpisania i tymczasowego stosowania Umowy przejściowej w sprawie handlu między Unią Europejską, z jednej strony, a Wspólnym Rynkiem Południa, Republiką Argentyńską, Federacyjną Republiką Brazylii, Republiką Paragwaju i Wschodnią Republiką Urugwaju, z drugiej strony</w:t>
      </w:r>
      <w:r w:rsidR="004D4DF4">
        <w:t xml:space="preserve"> (12417/1/2025 REV 1)</w:t>
      </w:r>
      <w:r w:rsidRPr="00C0380F">
        <w:t xml:space="preserve">, </w:t>
      </w:r>
    </w:p>
    <w:p w14:paraId="74E99371" w14:textId="00E19093" w:rsidR="00E8108A" w:rsidRPr="00C0380F" w:rsidRDefault="00E8108A" w:rsidP="00E8108A">
      <w:pPr>
        <w:pStyle w:val="NormalHanging12a"/>
      </w:pPr>
      <w:r w:rsidRPr="00C0380F">
        <w:t>–</w:t>
      </w:r>
      <w:r w:rsidRPr="00C0380F">
        <w:tab/>
        <w:t>uwzględniając projekt decyzji Rady w sprawie zawarcia, w imieniu Unii Europejskiej, Umowy przejściowej w sprawie handlu między Unią Europejską, z jednej strony, a Wspólnym Rynkiem Południa, Republiką Argentyńską, Federacyjną Republiką Brazylii, Republiką Paragwaju i Wschodnią Republiką Urugwaju, z drugiej strony</w:t>
      </w:r>
      <w:r w:rsidR="004D4DF4">
        <w:t xml:space="preserve"> </w:t>
      </w:r>
      <w:bookmarkStart w:id="9" w:name="_Hlk219797426"/>
      <w:r w:rsidR="004D4DF4">
        <w:t>(12418/1/2025 REV 1)</w:t>
      </w:r>
      <w:bookmarkEnd w:id="9"/>
      <w:r w:rsidRPr="00C0380F">
        <w:t>,</w:t>
      </w:r>
    </w:p>
    <w:p w14:paraId="3FCA5EA5" w14:textId="77777777" w:rsidR="00E8108A" w:rsidRPr="00C0380F" w:rsidRDefault="00E8108A" w:rsidP="00E8108A">
      <w:pPr>
        <w:pStyle w:val="NormalHanging12a"/>
      </w:pPr>
      <w:r w:rsidRPr="00C0380F">
        <w:t>–</w:t>
      </w:r>
      <w:r w:rsidRPr="00C0380F">
        <w:tab/>
        <w:t>uwzględniając art. 3 ust. 5, art. 4 ust. 3, art. 10 ust. 3, art. 13 ust. 2 i art. 21 Traktatu o Unii Europejskiej (TUE),</w:t>
      </w:r>
    </w:p>
    <w:p w14:paraId="519DBEE0" w14:textId="77777777" w:rsidR="00E8108A" w:rsidRPr="00C0380F" w:rsidRDefault="00E8108A" w:rsidP="00E8108A">
      <w:pPr>
        <w:pStyle w:val="NormalHanging12a"/>
      </w:pPr>
      <w:r w:rsidRPr="00C0380F">
        <w:t>–</w:t>
      </w:r>
      <w:r w:rsidRPr="00C0380F">
        <w:tab/>
        <w:t>uwzględniając art. 218 Traktatu o funkcjonowaniu Unii Europejskiej (TFUE), w szczególności jego ust. 2, 4, 5, 6, 8, 10 i 11,</w:t>
      </w:r>
    </w:p>
    <w:p w14:paraId="2BB07689" w14:textId="77777777" w:rsidR="00E8108A" w:rsidRPr="00C0380F" w:rsidRDefault="00E8108A" w:rsidP="00E8108A">
      <w:pPr>
        <w:pStyle w:val="NormalHanging12a"/>
      </w:pPr>
      <w:r w:rsidRPr="00C0380F">
        <w:t>–</w:t>
      </w:r>
      <w:r w:rsidRPr="00C0380F">
        <w:tab/>
        <w:t>uwzględniając art. 11, 168, 169, 171 i 191 TFUE,</w:t>
      </w:r>
    </w:p>
    <w:p w14:paraId="2BC03379" w14:textId="77777777" w:rsidR="00E8108A" w:rsidRPr="00C0380F" w:rsidRDefault="00E8108A" w:rsidP="00E8108A">
      <w:pPr>
        <w:pStyle w:val="NormalHanging12a"/>
        <w:rPr>
          <w:rStyle w:val="hgkelc"/>
          <w:color w:val="000000"/>
        </w:rPr>
      </w:pPr>
      <w:r w:rsidRPr="00C0380F">
        <w:t>–</w:t>
      </w:r>
      <w:r w:rsidRPr="00C0380F">
        <w:tab/>
        <w:t>uwzględniając art. 35, 37 i 38 Karty praw podstawowych Unii Europejskiej (Karta),</w:t>
      </w:r>
    </w:p>
    <w:p w14:paraId="07836A4C" w14:textId="77777777" w:rsidR="00E8108A" w:rsidRPr="00C0380F" w:rsidRDefault="00E8108A" w:rsidP="00E8108A">
      <w:pPr>
        <w:pStyle w:val="NormalHanging12a"/>
      </w:pPr>
      <w:r w:rsidRPr="00C0380F">
        <w:t>–</w:t>
      </w:r>
      <w:r w:rsidRPr="00C0380F">
        <w:tab/>
        <w:t xml:space="preserve">uwzględniając wytyczne negocjacyjne Rady z 1999 r. dotyczące umowy między Unią Europejską a czterema członkami założycielami </w:t>
      </w:r>
      <w:proofErr w:type="spellStart"/>
      <w:r w:rsidRPr="00C0380F">
        <w:t>Mercosuru</w:t>
      </w:r>
      <w:proofErr w:type="spellEnd"/>
      <w:r w:rsidRPr="00C0380F">
        <w:t xml:space="preserve"> – Argentyną, Brazylią, Paragwajem i Urugwajem (zwane dalej „wytycznymi negocjacyjnymi z 1999 r.”),</w:t>
      </w:r>
    </w:p>
    <w:p w14:paraId="5791A812" w14:textId="77777777" w:rsidR="00E8108A" w:rsidRPr="00C0380F" w:rsidRDefault="00E8108A" w:rsidP="00E8108A">
      <w:pPr>
        <w:pStyle w:val="NormalHanging12a"/>
        <w:rPr>
          <w:rStyle w:val="Hyperlink"/>
          <w:color w:val="000000"/>
        </w:rPr>
      </w:pPr>
      <w:r w:rsidRPr="00C0380F">
        <w:t>–</w:t>
      </w:r>
      <w:r w:rsidRPr="00C0380F">
        <w:tab/>
        <w:t xml:space="preserve">uwzględniając porozumienie co do zasady między Unią Europejską a czterema członkami założycielami </w:t>
      </w:r>
      <w:proofErr w:type="spellStart"/>
      <w:r w:rsidRPr="00C0380F">
        <w:t>Mercosuru</w:t>
      </w:r>
      <w:proofErr w:type="spellEnd"/>
      <w:r w:rsidRPr="00C0380F">
        <w:t xml:space="preserve"> – Argentyną, Brazylią, Paragwajem i Urugwajem – wynegocjowane w 2019 r., a także jego nowe i zmienione rozdziały oraz protokoły i załączniki do niego,</w:t>
      </w:r>
    </w:p>
    <w:p w14:paraId="09E998CD" w14:textId="77777777" w:rsidR="00E8108A" w:rsidRPr="00C0380F" w:rsidRDefault="00E8108A" w:rsidP="00E8108A">
      <w:pPr>
        <w:pStyle w:val="NormalHanging12a"/>
      </w:pPr>
      <w:r w:rsidRPr="00C0380F">
        <w:t>–</w:t>
      </w:r>
      <w:r w:rsidRPr="00C0380F">
        <w:tab/>
        <w:t>uwzględniając opinię Trybunału Sprawiedliwości Unii Europejskiej (TSUE) nr 1/17 z 30 kwietnia 2019 r. dotyczącą kompleksowej umowy gospodarczo-handlowej między Kanadą, z jednej strony, a Unią Europejską i jej państwami członkowskimi, z drugiej strony (CETA) oraz opinię TSUE nr 2/15 z 16 maja 2017 r. dotyczącą Umowy o wolnym handlu między Unią Europejską a Republiką Singapuru,</w:t>
      </w:r>
    </w:p>
    <w:p w14:paraId="6197B747" w14:textId="77777777" w:rsidR="00E8108A" w:rsidRPr="00C0380F" w:rsidRDefault="00E8108A" w:rsidP="00E8108A">
      <w:pPr>
        <w:pStyle w:val="NormalHanging12a"/>
      </w:pPr>
      <w:r w:rsidRPr="00C0380F">
        <w:t>–</w:t>
      </w:r>
      <w:r w:rsidRPr="00C0380F">
        <w:tab/>
        <w:t>uwzględniając porozumienie ramowe w sprawie stosunków między Parlamentem Europejskim i Komisją Europejską</w:t>
      </w:r>
      <w:r w:rsidRPr="00C0380F">
        <w:rPr>
          <w:rStyle w:val="FootnoteReference"/>
        </w:rPr>
        <w:footnoteReference w:id="1"/>
      </w:r>
      <w:r w:rsidRPr="00C0380F">
        <w:t>, w szczególności jego punkty 23-29, które dotyczą umów międzynarodowych,</w:t>
      </w:r>
    </w:p>
    <w:p w14:paraId="145F1196" w14:textId="77777777" w:rsidR="00E8108A" w:rsidRPr="00C0380F" w:rsidRDefault="00E8108A" w:rsidP="00E8108A">
      <w:pPr>
        <w:pStyle w:val="NormalHanging12a"/>
      </w:pPr>
      <w:r w:rsidRPr="00C0380F">
        <w:t>–</w:t>
      </w:r>
      <w:r w:rsidRPr="00C0380F">
        <w:tab/>
        <w:t xml:space="preserve">uwzględniając konkluzje Rady z 22 maja 2018 r. w sprawie negocjowania i zawierania unijnych umów handlowych (zwane dalej „konkluzjami Rady z 2018 r.”), w </w:t>
      </w:r>
      <w:r w:rsidRPr="00C0380F">
        <w:lastRenderedPageBreak/>
        <w:t>szczególności ich pkt 3,</w:t>
      </w:r>
    </w:p>
    <w:p w14:paraId="1E326576" w14:textId="77777777" w:rsidR="00E8108A" w:rsidRPr="00C0380F" w:rsidRDefault="00E8108A" w:rsidP="00E8108A">
      <w:pPr>
        <w:pStyle w:val="NormalHanging12a"/>
      </w:pPr>
      <w:r w:rsidRPr="00C0380F">
        <w:t>–</w:t>
      </w:r>
      <w:r w:rsidRPr="00C0380F">
        <w:tab/>
        <w:t>uwzględniając art. 117 ust. 6 Regulaminu,</w:t>
      </w:r>
    </w:p>
    <w:p w14:paraId="0E6B1BAA" w14:textId="77777777" w:rsidR="00E8108A" w:rsidRPr="00C0380F" w:rsidRDefault="00E8108A" w:rsidP="00E8108A">
      <w:pPr>
        <w:pStyle w:val="NormalHanging12a"/>
      </w:pPr>
      <w:bookmarkStart w:id="10" w:name="_Hlk219278397"/>
      <w:r w:rsidRPr="00C0380F">
        <w:t>A.</w:t>
      </w:r>
      <w:r w:rsidRPr="00C0380F">
        <w:tab/>
        <w:t>mając na uwadze, że w 2019 r. Komisja opublikowała porozumienie co do zasady podsumowujące „wyniki negocjacji dotyczących części handlowej układu o stowarzyszeniu UE-</w:t>
      </w:r>
      <w:proofErr w:type="spellStart"/>
      <w:r w:rsidRPr="00C0380F">
        <w:t>Mercosur</w:t>
      </w:r>
      <w:proofErr w:type="spellEnd"/>
      <w:r w:rsidRPr="00C0380F">
        <w:t>”; mając na uwadze, że w grudniu 2024 r. Komisja ogłosiła, że zakończyła negocjacje w sprawie umowy UE-</w:t>
      </w:r>
      <w:proofErr w:type="spellStart"/>
      <w:r w:rsidRPr="00C0380F">
        <w:t>Mercosur</w:t>
      </w:r>
      <w:proofErr w:type="spellEnd"/>
      <w:r w:rsidRPr="00C0380F">
        <w:t>; mając na uwadze, że 3 września 2025 r. Komisja przedstawiła umowę UE-</w:t>
      </w:r>
      <w:proofErr w:type="spellStart"/>
      <w:r w:rsidRPr="00C0380F">
        <w:t>Mercosur</w:t>
      </w:r>
      <w:proofErr w:type="spellEnd"/>
      <w:r w:rsidRPr="00C0380F">
        <w:t xml:space="preserve"> jako dwa równoległe teksty prawne, a mianowicie umowę o partnerstwie UE-</w:t>
      </w:r>
      <w:proofErr w:type="spellStart"/>
      <w:r w:rsidRPr="00C0380F">
        <w:t>Mercosur</w:t>
      </w:r>
      <w:proofErr w:type="spellEnd"/>
      <w:r w:rsidRPr="00C0380F">
        <w:t xml:space="preserve"> (EMPA) i umowę przejściową w sprawie handlu (ITA), oraz przedstawiła Radzie wnioski dotyczące podpisania i zawarcia EMPA; mając na uwadze, że EMPA jest mieszaną umową ramową, która wymaga jednomyślnego zatwierdzenia przez Radę, zgody Parlamentu i ratyfikacji przez wszystkie 27 państw członkowskich, zanim będzie mogła w pełni wejść w życie; mając na uwadze, że ITA obejmuje jedynie postanowienia, które wchodzą w zakres wyłącznych kompetencji UE, a jej wejście w życie wymaga jedynie większości kwalifikowanej w Radzie oraz zgody Parlamentu;</w:t>
      </w:r>
    </w:p>
    <w:p w14:paraId="3E10FA49" w14:textId="77777777" w:rsidR="00E8108A" w:rsidRPr="00C0380F" w:rsidRDefault="00E8108A" w:rsidP="00E8108A">
      <w:pPr>
        <w:pStyle w:val="NormalHanging12a"/>
      </w:pPr>
      <w:r w:rsidRPr="00C0380F">
        <w:t>B.</w:t>
      </w:r>
      <w:r w:rsidRPr="00C0380F">
        <w:tab/>
        <w:t>mając na uwadze, że międzyregionalna ramowa umowa o współpracy z 1995 r., która stanowi podstawę wytycznych negocjacyjnych z 1999 r., została przedstawiona w preambule jako „preludium do negocjacji międzyregionalnego układu o stowarzyszeniu” i jako dokument mający na celu „przygotowanie warunków umożliwiających utworzenie międzyregionalnego stowarzyszenia”;</w:t>
      </w:r>
    </w:p>
    <w:p w14:paraId="2C5E9ED5" w14:textId="77777777" w:rsidR="00E8108A" w:rsidRPr="00C0380F" w:rsidRDefault="00E8108A" w:rsidP="00E8108A">
      <w:pPr>
        <w:pStyle w:val="NormalHanging12a"/>
        <w:rPr>
          <w:rStyle w:val="hgkelc"/>
          <w:color w:val="000000"/>
        </w:rPr>
      </w:pPr>
      <w:r w:rsidRPr="00C0380F">
        <w:t>C.</w:t>
      </w:r>
      <w:r w:rsidRPr="00C0380F">
        <w:tab/>
      </w:r>
      <w:r w:rsidRPr="00C0380F">
        <w:rPr>
          <w:rStyle w:val="hgkelc"/>
          <w:color w:val="000000"/>
        </w:rPr>
        <w:t xml:space="preserve">mając na uwadze, że wytyczne negocjacyjne z 1999 r. upoważniały do negocjowania układu o stowarzyszeniu z krajami </w:t>
      </w:r>
      <w:proofErr w:type="spellStart"/>
      <w:r w:rsidRPr="00C0380F">
        <w:rPr>
          <w:rStyle w:val="hgkelc"/>
          <w:color w:val="000000"/>
        </w:rPr>
        <w:t>Mercosuru</w:t>
      </w:r>
      <w:proofErr w:type="spellEnd"/>
      <w:r w:rsidRPr="00C0380F">
        <w:rPr>
          <w:rStyle w:val="hgkelc"/>
          <w:color w:val="000000"/>
        </w:rPr>
        <w:t xml:space="preserve">, co wymagało jednomyślności w Radzie i ratyfikacji przez parlamenty państw członkowskich; mając na uwadze, że w momencie wydawania i uzgadniania tego mandatu nie można było przewidzieć zakresu ITA ani jej wpływu na prawo weta przysługujące państwom członkowskim; mając na uwadze, że w konkluzjach z 2018 r. Rada potwierdziła swoje stanowisko i oświadczyła, co następuje: „Do Rady należy decyzja o tym, czy na tej podstawie rozpocząć negocjacje. Podobnie to Rada decyduje, indywidualnie w każdym przypadku, o rozdzieleniu umów handlowych. W zależności od ich treści układy o stowarzyszeniu powinny być mieszane. Obecnie negocjowane umowy, tzn. z Meksykiem, </w:t>
      </w:r>
      <w:proofErr w:type="spellStart"/>
      <w:r w:rsidRPr="00C0380F">
        <w:rPr>
          <w:rStyle w:val="hgkelc"/>
          <w:color w:val="000000"/>
        </w:rPr>
        <w:t>Mercosurem</w:t>
      </w:r>
      <w:proofErr w:type="spellEnd"/>
      <w:r w:rsidRPr="00C0380F">
        <w:rPr>
          <w:rStyle w:val="hgkelc"/>
          <w:color w:val="000000"/>
        </w:rPr>
        <w:t xml:space="preserve"> i Chile, pozostaną umowami mieszanymi”. </w:t>
      </w:r>
      <w:r w:rsidRPr="00C0380F">
        <w:t>mając na uwadze, że umowa handlowa UE–</w:t>
      </w:r>
      <w:proofErr w:type="spellStart"/>
      <w:r w:rsidRPr="00C0380F">
        <w:t>Mercosur</w:t>
      </w:r>
      <w:proofErr w:type="spellEnd"/>
      <w:r w:rsidRPr="00C0380F">
        <w:t>, uzgodniona co do zasady w lipcu 2019 r., odnosi się również do układu o stowarzyszeniu UE–</w:t>
      </w:r>
      <w:proofErr w:type="spellStart"/>
      <w:r w:rsidRPr="00C0380F">
        <w:t>Mercosur</w:t>
      </w:r>
      <w:proofErr w:type="spellEnd"/>
      <w:r w:rsidRPr="00C0380F">
        <w:t xml:space="preserve">; </w:t>
      </w:r>
      <w:r w:rsidRPr="00C0380F">
        <w:rPr>
          <w:rStyle w:val="hgkelc"/>
          <w:color w:val="000000"/>
        </w:rPr>
        <w:t>mając na uwadze, że odejście od wytycznych negocjacyjnych z 1999 r. i konkluzji Rady z 2018 r. można uznać za niezgodne z prawem UE;</w:t>
      </w:r>
    </w:p>
    <w:p w14:paraId="450022D3" w14:textId="77777777" w:rsidR="00E8108A" w:rsidRPr="00C0380F" w:rsidRDefault="00E8108A" w:rsidP="00E8108A">
      <w:pPr>
        <w:pStyle w:val="NormalHanging12a"/>
        <w:rPr>
          <w:rStyle w:val="hgkelc"/>
          <w:color w:val="000000"/>
        </w:rPr>
      </w:pPr>
      <w:r w:rsidRPr="00C0380F">
        <w:rPr>
          <w:rStyle w:val="hgkelc"/>
          <w:color w:val="000000"/>
        </w:rPr>
        <w:t>D.</w:t>
      </w:r>
      <w:r w:rsidRPr="00C0380F">
        <w:rPr>
          <w:rStyle w:val="hgkelc"/>
          <w:color w:val="000000"/>
        </w:rPr>
        <w:tab/>
        <w:t xml:space="preserve">mając na uwadze, że parlamenty niektórych państw członkowskich zasygnalizowały już swój sprzeciw wobec ratyfikacji umowy </w:t>
      </w:r>
      <w:r w:rsidRPr="00C0380F">
        <w:t>UE–</w:t>
      </w:r>
      <w:proofErr w:type="spellStart"/>
      <w:r w:rsidRPr="00C0380F">
        <w:t>Mercosur</w:t>
      </w:r>
      <w:proofErr w:type="spellEnd"/>
      <w:r w:rsidRPr="00C0380F">
        <w:t xml:space="preserve">, </w:t>
      </w:r>
      <w:r w:rsidRPr="00C0380F">
        <w:rPr>
          <w:rStyle w:val="hgkelc"/>
          <w:color w:val="000000"/>
        </w:rPr>
        <w:t xml:space="preserve">przyjmując w tym celu odpowiednie rezolucje; </w:t>
      </w:r>
      <w:r w:rsidRPr="00C0380F">
        <w:t>mając na uwadze, że podział umowy UE–</w:t>
      </w:r>
      <w:proofErr w:type="spellStart"/>
      <w:r w:rsidRPr="00C0380F">
        <w:t>Mercosur</w:t>
      </w:r>
      <w:proofErr w:type="spellEnd"/>
      <w:r w:rsidRPr="00C0380F">
        <w:t xml:space="preserve"> na dwa odrębne teksty prawne, tj. EMPA i ITA, prowadzi do pominięcia prawa parlamentów państwa członkowskich do ratyfikacji ITA; mając na uwadze, że ważne jest zapewnienie skutecznych konsultacji z obywatelami, Parlamentem Europejskim, parlamentami krajowymi i regionalnymi, społeczeństwem obywatelskim i innymi odpowiednimi zainteresowanymi stronami na każdym etapie procesu, aby zagwarantować rozliczalność demokratyczną;</w:t>
      </w:r>
    </w:p>
    <w:p w14:paraId="3144E380" w14:textId="77777777" w:rsidR="00E8108A" w:rsidRPr="00C0380F" w:rsidRDefault="00E8108A" w:rsidP="00E8108A">
      <w:pPr>
        <w:pStyle w:val="NormalHanging12a"/>
      </w:pPr>
      <w:r w:rsidRPr="00C0380F">
        <w:rPr>
          <w:rStyle w:val="hgkelc"/>
          <w:color w:val="000000"/>
        </w:rPr>
        <w:t>E.</w:t>
      </w:r>
      <w:r w:rsidRPr="00C0380F">
        <w:rPr>
          <w:rStyle w:val="hgkelc"/>
          <w:color w:val="000000"/>
        </w:rPr>
        <w:tab/>
      </w:r>
      <w:r w:rsidRPr="00C0380F">
        <w:t xml:space="preserve">mając na uwadze, że w rozdziale 21 art. 21.4 lit. b) i w rozdziale 1 art. 1.3 lit. k) ITA </w:t>
      </w:r>
      <w:r w:rsidRPr="00C0380F">
        <w:lastRenderedPageBreak/>
        <w:t xml:space="preserve">wprowadzono nowo opracowane „mechanizm lub klauzulę przywracania równowagi”, co umożliwia stronie dochodzenie odszkodowania, jeżeli „środek zastosowany przez drugą stronę niweczy lub znacząco narusza korzyść należną na podstawie danych postanowień w sposób negatywnie wpływający na handel między stronami, bez względu na to, czy taki środek jest sprzeczny z postanowieniami umowy, chyba że wyraźnie przewidziano inaczej”; mając na uwadze, że mechanizm ten służy rekompensowaniu skutków gospodarczych prawodawstwa lub praktyki partnera handlowego, nawet gdy nie naruszają one postanowień umowy; mając na uwadze, że na przykład w rozdziale 21 art. 21.20 i art. 21.21 ITA przewidziano, że przeciwśrodek zostanie zawieszony dopiero wówczas, gdy dany środek zostanie „wycofany lub zmieniony w taki sposób, aby wyeliminować to zniweczenie lub znaczące naruszenie”; mając na uwadze, że kraje </w:t>
      </w:r>
      <w:proofErr w:type="spellStart"/>
      <w:r w:rsidRPr="00C0380F">
        <w:t>Mercosuru</w:t>
      </w:r>
      <w:proofErr w:type="spellEnd"/>
      <w:r w:rsidRPr="00C0380F">
        <w:t xml:space="preserve"> mogłyby wykorzystywać ten mechanizm do wywierania nacisku na UE, aby powstrzymała się od uchwalania lub egzekwowania przepisów i innych środków w związku z ochroną klimatu i środowiska, bezpieczeństwem żywności lub zakazami dotyczącymi niektórych pestycydów;</w:t>
      </w:r>
    </w:p>
    <w:p w14:paraId="3AD88017" w14:textId="77777777" w:rsidR="00E8108A" w:rsidRPr="00C0380F" w:rsidRDefault="00E8108A" w:rsidP="00E8108A">
      <w:pPr>
        <w:pStyle w:val="NormalHanging12a"/>
        <w:rPr>
          <w:rStyle w:val="hgkelc"/>
          <w:color w:val="000000"/>
        </w:rPr>
      </w:pPr>
      <w:r w:rsidRPr="00C0380F">
        <w:t>F.</w:t>
      </w:r>
      <w:r w:rsidRPr="00C0380F">
        <w:tab/>
        <w:t xml:space="preserve">mając na uwadze, że interpretacja rządu Brazylii </w:t>
      </w:r>
      <w:r w:rsidRPr="00C0380F">
        <w:rPr>
          <w:rStyle w:val="hgkelc"/>
          <w:color w:val="000000"/>
        </w:rPr>
        <w:t>dotycząca zakresu czasowego klauzuli przywracania równowagi różni się od interpretacji Komisji, jako że Brazylia uważa, że obejmuje ona okres od 2019 r.;</w:t>
      </w:r>
    </w:p>
    <w:p w14:paraId="1EB6BCFD" w14:textId="77777777" w:rsidR="00E8108A" w:rsidRPr="00C0380F" w:rsidRDefault="00E8108A" w:rsidP="00E8108A">
      <w:pPr>
        <w:pStyle w:val="NormalHanging12a"/>
        <w:rPr>
          <w:rStyle w:val="hgkelc"/>
          <w:color w:val="000000"/>
        </w:rPr>
      </w:pPr>
      <w:r w:rsidRPr="00C0380F">
        <w:rPr>
          <w:rStyle w:val="hgkelc"/>
          <w:color w:val="000000"/>
        </w:rPr>
        <w:t>G.</w:t>
      </w:r>
      <w:r w:rsidRPr="00C0380F">
        <w:rPr>
          <w:rStyle w:val="hgkelc"/>
          <w:color w:val="000000"/>
        </w:rPr>
        <w:tab/>
        <w:t>mając na uwadze, że klauzula ta ma szersze oddziaływanie niż klauzule z poprzednich umów o wolnym handlu zawartych przez UE oraz różni się zakresem i treścią od klauzuli zapisanej w Układzie ogólnym w sprawie taryf celnych i handlu (GATT) i w art. 26 ust. 1 uzgodnienia WTO w sprawie rozstrzygania sporów; mając na uwadze, że klauzula przywracania równowagi przewidziana w GATT nie była nigdy przywoływana przeciwko prawodawstwu dotyczącemu zrównoważonego rozwoju, przypuszczalnie dlatego, że takie prawodawstwo podlegałoby ogólnej klauzuli wyłączającej przewidzianej w art. XX GATT;</w:t>
      </w:r>
    </w:p>
    <w:p w14:paraId="637CE616" w14:textId="77777777" w:rsidR="00E8108A" w:rsidRPr="00C0380F" w:rsidRDefault="00E8108A" w:rsidP="00E8108A">
      <w:pPr>
        <w:pStyle w:val="NormalHanging12a"/>
      </w:pPr>
      <w:r w:rsidRPr="00C0380F">
        <w:rPr>
          <w:rStyle w:val="hgkelc"/>
          <w:color w:val="000000"/>
        </w:rPr>
        <w:t>H.</w:t>
      </w:r>
      <w:r w:rsidRPr="00C0380F">
        <w:rPr>
          <w:rStyle w:val="hgkelc"/>
          <w:color w:val="000000"/>
        </w:rPr>
        <w:tab/>
        <w:t xml:space="preserve">mając na uwadze, że możliwość uzyskania przez kraje </w:t>
      </w:r>
      <w:proofErr w:type="spellStart"/>
      <w:r w:rsidRPr="00C0380F">
        <w:rPr>
          <w:rStyle w:val="hgkelc"/>
          <w:color w:val="000000"/>
        </w:rPr>
        <w:t>Mercosuru</w:t>
      </w:r>
      <w:proofErr w:type="spellEnd"/>
      <w:r w:rsidRPr="00C0380F">
        <w:rPr>
          <w:rStyle w:val="hgkelc"/>
          <w:color w:val="000000"/>
        </w:rPr>
        <w:t xml:space="preserve"> rekompensaty za skutki handlowe unijnych środków na rzecz zrównoważonego rozwoju może skłaniać </w:t>
      </w:r>
      <w:proofErr w:type="spellStart"/>
      <w:r w:rsidRPr="00C0380F">
        <w:rPr>
          <w:rStyle w:val="hgkelc"/>
          <w:color w:val="000000"/>
        </w:rPr>
        <w:t>współprawodawców</w:t>
      </w:r>
      <w:proofErr w:type="spellEnd"/>
      <w:r w:rsidRPr="00C0380F">
        <w:rPr>
          <w:rStyle w:val="hgkelc"/>
          <w:color w:val="000000"/>
        </w:rPr>
        <w:t xml:space="preserve"> UE do nieprzyjmowania takich środków oraz wywierać presję na Komisję, aby wycofała, zmieniła lub wstrzymała wdrażanie obowiązującego prawodawstwa; </w:t>
      </w:r>
      <w:r w:rsidRPr="00C0380F">
        <w:t>mając na uwadze, że mechanizm ten mógłby wpływać w szczególności na prawodawstwo służące zabezpieczeniu praw chronionych zasadami Karty i Traktatu, stanowiącymi podstawę porządku prawnego;</w:t>
      </w:r>
    </w:p>
    <w:p w14:paraId="4993D254" w14:textId="77777777" w:rsidR="00E8108A" w:rsidRPr="00C0380F" w:rsidRDefault="00E8108A" w:rsidP="00E8108A">
      <w:pPr>
        <w:pStyle w:val="NormalHanging12a"/>
        <w:rPr>
          <w:rStyle w:val="hgkelc"/>
          <w:color w:val="000000"/>
        </w:rPr>
      </w:pPr>
      <w:r w:rsidRPr="00C0380F">
        <w:rPr>
          <w:rStyle w:val="hgkelc"/>
          <w:color w:val="000000"/>
        </w:rPr>
        <w:t xml:space="preserve">I. </w:t>
      </w:r>
      <w:sdt>
        <w:sdtPr>
          <w:tag w:val="goog_rdk_108"/>
          <w:id w:val="-1211211179"/>
        </w:sdtPr>
        <w:sdtEndPr/>
        <w:sdtContent>
          <w:r w:rsidRPr="00C0380F">
            <w:tab/>
          </w:r>
        </w:sdtContent>
      </w:sdt>
      <w:r w:rsidRPr="00C0380F">
        <w:t xml:space="preserve">mając na uwadze, że istnieją znaczne różnice regulacyjne między UE a krajami </w:t>
      </w:r>
      <w:proofErr w:type="spellStart"/>
      <w:r w:rsidRPr="00C0380F">
        <w:t>Mercosuru</w:t>
      </w:r>
      <w:proofErr w:type="spellEnd"/>
      <w:r w:rsidRPr="00C0380F">
        <w:t xml:space="preserve"> w odniesieniu do produkcji żywności oraz norm sanitarnych i weterynaryjnych; mając na uwadze, że umowa UE–</w:t>
      </w:r>
      <w:proofErr w:type="spellStart"/>
      <w:r w:rsidRPr="00C0380F">
        <w:t>Mercosur</w:t>
      </w:r>
      <w:proofErr w:type="spellEnd"/>
      <w:r w:rsidRPr="00C0380F">
        <w:t xml:space="preserve"> ogranicza środki audytu i kontroli w odniesieniu do przywozu produktów rolnych z </w:t>
      </w:r>
      <w:proofErr w:type="spellStart"/>
      <w:r w:rsidRPr="00C0380F">
        <w:t>Mercosuru</w:t>
      </w:r>
      <w:proofErr w:type="spellEnd"/>
      <w:r w:rsidRPr="00C0380F">
        <w:t xml:space="preserve">; mając na uwadze, że rozdział 6 ITA dotyczący środków sanitarnych i fitosanitarnych obejmuje środki, które osłabiają istniejące mechanizmy kontroli; </w:t>
      </w:r>
      <w:r w:rsidRPr="00C0380F">
        <w:rPr>
          <w:rStyle w:val="hgkelc"/>
          <w:color w:val="000000"/>
        </w:rPr>
        <w:t>mając na uwadze, że zgodnie z art. 6.12 ust. 2 tego rozporządzenia środki sanitarne i fitosanitarne są dopuszczalne tylko wtedy, gdy są tymczasowe i poddawane przeglądowi „w racjonalnym terminie”; mając na uwadze, że zgodnie z prawem UE stosowanie zasady ostrożności nie jest uwarunkowane takim wymogiem;</w:t>
      </w:r>
    </w:p>
    <w:p w14:paraId="46F8AF6A" w14:textId="77777777" w:rsidR="00E8108A" w:rsidRPr="00C0380F" w:rsidRDefault="00E8108A" w:rsidP="00E8108A">
      <w:pPr>
        <w:pStyle w:val="NormalHanging12a"/>
      </w:pPr>
      <w:r w:rsidRPr="00C0380F">
        <w:rPr>
          <w:rStyle w:val="hgkelc"/>
          <w:color w:val="000000"/>
        </w:rPr>
        <w:t>J.</w:t>
      </w:r>
      <w:r w:rsidRPr="00C0380F">
        <w:rPr>
          <w:rStyle w:val="hgkelc"/>
          <w:color w:val="000000"/>
        </w:rPr>
        <w:tab/>
        <w:t>mając na uwadze, że rozdział 18 ITA dotyczący handlu i zrównoważonego rozwoju ogranicza stosowanie zasady ostrożności, w szczególności do sytuacji „ryzyka poważnej degradacji środowiska lub ryzyka dla bezpieczeństwa i higieny pracy”</w:t>
      </w:r>
      <w:r w:rsidRPr="00C0380F">
        <w:t>;</w:t>
      </w:r>
      <w:r w:rsidRPr="00C0380F">
        <w:rPr>
          <w:rStyle w:val="hgkelc"/>
          <w:color w:val="000000"/>
        </w:rPr>
        <w:t xml:space="preserve"> mając </w:t>
      </w:r>
      <w:r w:rsidRPr="00C0380F">
        <w:rPr>
          <w:rStyle w:val="hgkelc"/>
          <w:color w:val="000000"/>
        </w:rPr>
        <w:lastRenderedPageBreak/>
        <w:t>na uwadze, że ograniczenia te mogą prowadzić do obniżenia poziomu ochrony zdrowia, konsumentów i środowiska w UE; mając na uwadze, że obecne środki UE dozwolone zgodnie z unijną zasadą ostrożności mogą być kwestionowane przed organami arbitrażowymi i uzasadniać rekompensaty;</w:t>
      </w:r>
    </w:p>
    <w:p w14:paraId="4D6E599D" w14:textId="77777777" w:rsidR="00E8108A" w:rsidRPr="00C0380F" w:rsidRDefault="00E8108A" w:rsidP="00E8108A">
      <w:pPr>
        <w:pStyle w:val="NormalHanging12a"/>
        <w:rPr>
          <w:rStyle w:val="hgkelc"/>
          <w:color w:val="000000"/>
        </w:rPr>
      </w:pPr>
      <w:r w:rsidRPr="00C0380F">
        <w:t>1.</w:t>
      </w:r>
      <w:r w:rsidRPr="00C0380F">
        <w:tab/>
        <w:t>z zaniepokojeniem zauważa</w:t>
      </w:r>
      <w:r w:rsidRPr="00C0380F">
        <w:rPr>
          <w:rStyle w:val="hgkelc"/>
          <w:color w:val="000000"/>
        </w:rPr>
        <w:t>, że podział umowy UE–</w:t>
      </w:r>
      <w:proofErr w:type="spellStart"/>
      <w:r w:rsidRPr="00C0380F">
        <w:rPr>
          <w:rStyle w:val="hgkelc"/>
          <w:color w:val="000000"/>
        </w:rPr>
        <w:t>Mercosur</w:t>
      </w:r>
      <w:proofErr w:type="spellEnd"/>
      <w:r w:rsidRPr="00C0380F">
        <w:rPr>
          <w:rStyle w:val="hgkelc"/>
          <w:color w:val="000000"/>
        </w:rPr>
        <w:t xml:space="preserve"> na </w:t>
      </w:r>
      <w:r w:rsidRPr="00C0380F">
        <w:t xml:space="preserve">EMPA i ITA </w:t>
      </w:r>
      <w:r w:rsidRPr="00C0380F">
        <w:rPr>
          <w:rStyle w:val="hgkelc"/>
          <w:color w:val="000000"/>
        </w:rPr>
        <w:t>może być niezgodny z art. 218 ust. 2 i 4 TFUE, a także z zasadą przyznania kompetencji, zasadą równowagi instytucjonalnej i zasadą lojalnej współpracy z art. 4 ust. 3 i art. 13 ust. 2 TUE; z zaniepokojeniem zauważa, że wytyczne negocjacyjne wydane przez Radę mogą nie być przestrzegane, co może wpłynąć na zasady głosowania w Radzie i uniemożliwić parlamentom państw członkowskich należne im zajęcie stanowiska;</w:t>
      </w:r>
    </w:p>
    <w:p w14:paraId="1D70A94A" w14:textId="77777777" w:rsidR="00E8108A" w:rsidRPr="00C0380F" w:rsidRDefault="00E8108A" w:rsidP="00E8108A">
      <w:pPr>
        <w:pStyle w:val="NormalHanging12a"/>
        <w:rPr>
          <w:rStyle w:val="hgkelc"/>
          <w:color w:val="000000"/>
        </w:rPr>
      </w:pPr>
      <w:r w:rsidRPr="00C0380F">
        <w:rPr>
          <w:rStyle w:val="hgkelc"/>
          <w:color w:val="000000"/>
        </w:rPr>
        <w:t>2.</w:t>
      </w:r>
      <w:r w:rsidRPr="00C0380F">
        <w:rPr>
          <w:rStyle w:val="hgkelc"/>
          <w:color w:val="000000"/>
        </w:rPr>
        <w:tab/>
        <w:t>z zaniepokojeniem zauważa, że mechanizm przywracania równowagi przewidziany w umowie UE–</w:t>
      </w:r>
      <w:proofErr w:type="spellStart"/>
      <w:r w:rsidRPr="00C0380F">
        <w:rPr>
          <w:rStyle w:val="hgkelc"/>
          <w:color w:val="000000"/>
        </w:rPr>
        <w:t>Mercosur</w:t>
      </w:r>
      <w:proofErr w:type="spellEnd"/>
      <w:r w:rsidRPr="00C0380F">
        <w:rPr>
          <w:rStyle w:val="hgkelc"/>
          <w:color w:val="000000"/>
        </w:rPr>
        <w:t xml:space="preserve"> może być co najmniej niezgodny z art. 11, 168, 169 i 191 TFUE oraz art. 35, 37 i 38 Karty i może zagrażać zdolności UE do utrzymania</w:t>
      </w:r>
      <w:r w:rsidRPr="00C0380F">
        <w:t xml:space="preserve"> autonomii unijnego porządku prawnego;</w:t>
      </w:r>
    </w:p>
    <w:p w14:paraId="061B39C7" w14:textId="77777777" w:rsidR="00E8108A" w:rsidRPr="00C0380F" w:rsidRDefault="00E8108A" w:rsidP="00E8108A">
      <w:pPr>
        <w:pStyle w:val="NormalHanging12a"/>
      </w:pPr>
      <w:r w:rsidRPr="00C0380F">
        <w:rPr>
          <w:rStyle w:val="hgkelc"/>
          <w:color w:val="000000"/>
        </w:rPr>
        <w:t>3.</w:t>
      </w:r>
      <w:r w:rsidRPr="00C0380F">
        <w:rPr>
          <w:rStyle w:val="hgkelc"/>
          <w:color w:val="000000"/>
        </w:rPr>
        <w:tab/>
        <w:t>z zaniepokojeniem zauważa, że EMPA i ITA mogą narazić na szwank stosowanie zasady ostrożności, co może skutkować niezgodnością co najmniej z art. 168, 169 i 191 TFUE, a także z art. 35, 37 i 38 Karty; z zaniepokojeniem zauważa też, że na zasadę ostrożności negatywnie wpływać mogą przyznane organom arbitrażowym uprawnienia do oceny jej stosowania przez UE;</w:t>
      </w:r>
    </w:p>
    <w:p w14:paraId="5D843C1E" w14:textId="77777777" w:rsidR="00E8108A" w:rsidRPr="00C0380F" w:rsidRDefault="00E8108A" w:rsidP="00E8108A">
      <w:pPr>
        <w:pStyle w:val="NormalHanging12a"/>
      </w:pPr>
      <w:r w:rsidRPr="00C0380F">
        <w:t>4.</w:t>
      </w:r>
      <w:r w:rsidRPr="00C0380F">
        <w:tab/>
        <w:t>postanawia zwrócić się do Trybunału Sprawiedliwości</w:t>
      </w:r>
      <w:r w:rsidRPr="00C0380F">
        <w:rPr>
          <w:rStyle w:val="hgkelc"/>
        </w:rPr>
        <w:t>, zgodnie z art. 218 ust. 11 TFUE,</w:t>
      </w:r>
      <w:r w:rsidRPr="00C0380F">
        <w:t xml:space="preserve"> o opinię w sprawie zgodności z Traktatami proponowanej umowy, a także </w:t>
      </w:r>
      <w:r w:rsidRPr="00C0380F">
        <w:rPr>
          <w:rStyle w:val="hgkelc"/>
        </w:rPr>
        <w:t>proponowanego przez UE zawarcia EMPA i ITA oraz procedury zastosowanej w celu ich zawarcia</w:t>
      </w:r>
      <w:r w:rsidRPr="00C0380F">
        <w:t>;</w:t>
      </w:r>
    </w:p>
    <w:p w14:paraId="20B5206E" w14:textId="0E3034B4" w:rsidR="00E365E1" w:rsidRPr="00C0380F" w:rsidRDefault="00E8108A" w:rsidP="00F65EAB">
      <w:pPr>
        <w:pStyle w:val="NormalHanging12a"/>
      </w:pPr>
      <w:r w:rsidRPr="00C0380F">
        <w:t>5.</w:t>
      </w:r>
      <w:r w:rsidRPr="00C0380F">
        <w:tab/>
        <w:t>zobowiązuje swoją przewodniczącą do podjęcia niezbędnych działań w celu uzyskania opinii Trybunału Sprawiedliwości i do przekazania niniejszej rezolucji Radzie i Komisji tytułem informacji.</w:t>
      </w:r>
      <w:bookmarkEnd w:id="10"/>
    </w:p>
    <w:sectPr w:rsidR="00E365E1" w:rsidRPr="00C0380F" w:rsidSect="00C038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49BE6" w14:textId="77777777" w:rsidR="00D47E74" w:rsidRPr="00C0380F" w:rsidRDefault="00D47E74">
      <w:r w:rsidRPr="00C0380F">
        <w:separator/>
      </w:r>
    </w:p>
  </w:endnote>
  <w:endnote w:type="continuationSeparator" w:id="0">
    <w:p w14:paraId="0A715E00" w14:textId="77777777" w:rsidR="00D47E74" w:rsidRPr="00C0380F" w:rsidRDefault="00D47E74">
      <w:r w:rsidRPr="00C038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07D6B" w14:textId="77777777" w:rsidR="00064002" w:rsidRPr="00C0380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26EA5" w14:textId="77777777" w:rsidR="00064002" w:rsidRPr="00C0380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50B7A" w14:textId="77777777" w:rsidR="00064002" w:rsidRPr="00C0380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E7945" w14:textId="77777777" w:rsidR="00D47E74" w:rsidRPr="00C0380F" w:rsidRDefault="00D47E74">
      <w:r w:rsidRPr="00C0380F">
        <w:separator/>
      </w:r>
    </w:p>
  </w:footnote>
  <w:footnote w:type="continuationSeparator" w:id="0">
    <w:p w14:paraId="6B5D96E0" w14:textId="77777777" w:rsidR="00D47E74" w:rsidRPr="00C0380F" w:rsidRDefault="00D47E74">
      <w:r w:rsidRPr="00C0380F">
        <w:continuationSeparator/>
      </w:r>
    </w:p>
  </w:footnote>
  <w:footnote w:id="1">
    <w:p w14:paraId="5F68ED19" w14:textId="1E576D46" w:rsidR="00E8108A" w:rsidRPr="00C0380F" w:rsidRDefault="00E8108A" w:rsidP="00C0380F">
      <w:pPr>
        <w:pStyle w:val="FootnoteText"/>
        <w:ind w:left="567" w:hanging="567"/>
        <w:rPr>
          <w:sz w:val="24"/>
          <w:lang w:val="pl-PL"/>
        </w:rPr>
      </w:pPr>
      <w:r w:rsidRPr="00C0380F">
        <w:rPr>
          <w:rStyle w:val="FootnoteReference"/>
          <w:sz w:val="24"/>
          <w:lang w:val="pl-PL"/>
        </w:rPr>
        <w:footnoteRef/>
      </w:r>
      <w:r w:rsidR="00C0380F" w:rsidRPr="00C0380F">
        <w:rPr>
          <w:sz w:val="24"/>
          <w:lang w:val="pl-PL"/>
        </w:rPr>
        <w:t xml:space="preserve"> </w:t>
      </w:r>
      <w:r w:rsidR="00C0380F" w:rsidRPr="00C0380F">
        <w:rPr>
          <w:sz w:val="24"/>
          <w:lang w:val="pl-PL"/>
        </w:rPr>
        <w:tab/>
      </w:r>
      <w:r w:rsidRPr="00C0380F">
        <w:rPr>
          <w:sz w:val="24"/>
          <w:lang w:val="pl-PL"/>
        </w:rPr>
        <w:t xml:space="preserve">Dz.U. L 304 z 20.11.2010, s. 47, ELI: </w:t>
      </w:r>
      <w:hyperlink r:id="rId1" w:history="1">
        <w:r w:rsidRPr="00C0380F">
          <w:rPr>
            <w:rStyle w:val="Hyperlink"/>
            <w:sz w:val="24"/>
            <w:lang w:val="pl-PL"/>
          </w:rPr>
          <w:t>http://data.europa.eu/eli/agree_interinstit/2010/1120/oj</w:t>
        </w:r>
      </w:hyperlink>
      <w:r w:rsidRPr="00C0380F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2C48B" w14:textId="77777777" w:rsidR="00064002" w:rsidRPr="00C0380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94C63" w14:textId="77777777" w:rsidR="00064002" w:rsidRPr="00C0380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6A2ED" w14:textId="77777777" w:rsidR="00064002" w:rsidRPr="00C0380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23550015">
    <w:abstractNumId w:val="9"/>
  </w:num>
  <w:num w:numId="2" w16cid:durableId="1634947504">
    <w:abstractNumId w:val="9"/>
  </w:num>
  <w:num w:numId="3" w16cid:durableId="2085761181">
    <w:abstractNumId w:val="7"/>
  </w:num>
  <w:num w:numId="4" w16cid:durableId="390160233">
    <w:abstractNumId w:val="7"/>
  </w:num>
  <w:num w:numId="5" w16cid:durableId="1675180296">
    <w:abstractNumId w:val="6"/>
  </w:num>
  <w:num w:numId="6" w16cid:durableId="497116686">
    <w:abstractNumId w:val="6"/>
  </w:num>
  <w:num w:numId="7" w16cid:durableId="1631471704">
    <w:abstractNumId w:val="5"/>
  </w:num>
  <w:num w:numId="8" w16cid:durableId="186063958">
    <w:abstractNumId w:val="5"/>
  </w:num>
  <w:num w:numId="9" w16cid:durableId="2026470197">
    <w:abstractNumId w:val="4"/>
  </w:num>
  <w:num w:numId="10" w16cid:durableId="977684624">
    <w:abstractNumId w:val="4"/>
  </w:num>
  <w:num w:numId="11" w16cid:durableId="1486705367">
    <w:abstractNumId w:val="8"/>
  </w:num>
  <w:num w:numId="12" w16cid:durableId="1803383580">
    <w:abstractNumId w:val="8"/>
  </w:num>
  <w:num w:numId="13" w16cid:durableId="2089644381">
    <w:abstractNumId w:val="3"/>
  </w:num>
  <w:num w:numId="14" w16cid:durableId="1834562426">
    <w:abstractNumId w:val="3"/>
  </w:num>
  <w:num w:numId="15" w16cid:durableId="1593197587">
    <w:abstractNumId w:val="2"/>
  </w:num>
  <w:num w:numId="16" w16cid:durableId="606960610">
    <w:abstractNumId w:val="2"/>
  </w:num>
  <w:num w:numId="17" w16cid:durableId="1416131247">
    <w:abstractNumId w:val="1"/>
  </w:num>
  <w:num w:numId="18" w16cid:durableId="269550476">
    <w:abstractNumId w:val="1"/>
  </w:num>
  <w:num w:numId="19" w16cid:durableId="632717013">
    <w:abstractNumId w:val="0"/>
  </w:num>
  <w:num w:numId="20" w16cid:durableId="2016371325">
    <w:abstractNumId w:val="0"/>
  </w:num>
  <w:num w:numId="21" w16cid:durableId="1408260399">
    <w:abstractNumId w:val="9"/>
  </w:num>
  <w:num w:numId="22" w16cid:durableId="1320378668">
    <w:abstractNumId w:val="7"/>
  </w:num>
  <w:num w:numId="23" w16cid:durableId="1807164508">
    <w:abstractNumId w:val="6"/>
  </w:num>
  <w:num w:numId="24" w16cid:durableId="68700210">
    <w:abstractNumId w:val="5"/>
  </w:num>
  <w:num w:numId="25" w16cid:durableId="1171679583">
    <w:abstractNumId w:val="4"/>
  </w:num>
  <w:num w:numId="26" w16cid:durableId="1522939576">
    <w:abstractNumId w:val="8"/>
  </w:num>
  <w:num w:numId="27" w16cid:durableId="2009823712">
    <w:abstractNumId w:val="3"/>
  </w:num>
  <w:num w:numId="28" w16cid:durableId="1394619250">
    <w:abstractNumId w:val="2"/>
  </w:num>
  <w:num w:numId="29" w16cid:durableId="284122725">
    <w:abstractNumId w:val="1"/>
  </w:num>
  <w:num w:numId="30" w16cid:durableId="1629359971">
    <w:abstractNumId w:val="0"/>
  </w:num>
  <w:num w:numId="31" w16cid:durableId="1219172005">
    <w:abstractNumId w:val="9"/>
  </w:num>
  <w:num w:numId="32" w16cid:durableId="469134192">
    <w:abstractNumId w:val="7"/>
  </w:num>
  <w:num w:numId="33" w16cid:durableId="127555153">
    <w:abstractNumId w:val="6"/>
  </w:num>
  <w:num w:numId="34" w16cid:durableId="101188914">
    <w:abstractNumId w:val="5"/>
  </w:num>
  <w:num w:numId="35" w16cid:durableId="1887794544">
    <w:abstractNumId w:val="4"/>
  </w:num>
  <w:num w:numId="36" w16cid:durableId="432436754">
    <w:abstractNumId w:val="8"/>
  </w:num>
  <w:num w:numId="37" w16cid:durableId="1764643082">
    <w:abstractNumId w:val="3"/>
  </w:num>
  <w:num w:numId="38" w16cid:durableId="987562141">
    <w:abstractNumId w:val="2"/>
  </w:num>
  <w:num w:numId="39" w16cid:durableId="1046416766">
    <w:abstractNumId w:val="1"/>
  </w:num>
  <w:num w:numId="40" w16cid:durableId="1051031301">
    <w:abstractNumId w:val="0"/>
  </w:num>
  <w:num w:numId="41" w16cid:durableId="318968727">
    <w:abstractNumId w:val="10"/>
  </w:num>
  <w:num w:numId="42" w16cid:durableId="1481188834">
    <w:abstractNumId w:val="10"/>
  </w:num>
  <w:num w:numId="43" w16cid:durableId="1737896421">
    <w:abstractNumId w:val="10"/>
  </w:num>
  <w:num w:numId="44" w16cid:durableId="19898958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0/2026"/>
    <w:docVar w:name="dvlangue" w:val="PL"/>
    <w:docVar w:name="dvnumam" w:val="0"/>
    <w:docVar w:name="dvpe" w:val="782.015"/>
    <w:docVar w:name="dvtitre" w:val="Rezolucja Parlamentu Europejskiego z dnia  2026 r. w sprawie zasięgnięcia opinii Trybunału Sprawiedliwości na temat zgodności z traktatami proponowanej Umowy o partnerstwie między Unią Europejską i jej państwami członkowskimi, z jednej strony, a Wspólnym Rynkiem Południa, Republiką Argentyńską, Federacyjną Republiką Brazylii, Republiką Paragwaju i Wschodnią Republiką Urugwaju, z drugiej strony, oraz proponowanej Umowy przejściowej w sprawie handlu między Unią Europejską, z jednej strony, a Wspólnym Rynkiem Południa, Republiką Argentyńską, Federacyjną Republiką Brazylii, Republiką Paragwaju i Wschodnią Republiką Urugwaju, z drugiej strony(2026/2560(RSP))"/>
  </w:docVars>
  <w:rsids>
    <w:rsidRoot w:val="00D47E7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7FAE"/>
    <w:rsid w:val="001F32AE"/>
    <w:rsid w:val="00215DA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DF4"/>
    <w:rsid w:val="0050519A"/>
    <w:rsid w:val="005072A1"/>
    <w:rsid w:val="00514517"/>
    <w:rsid w:val="005352A0"/>
    <w:rsid w:val="00545827"/>
    <w:rsid w:val="00560270"/>
    <w:rsid w:val="005C2568"/>
    <w:rsid w:val="005F1B17"/>
    <w:rsid w:val="006037C0"/>
    <w:rsid w:val="006631B6"/>
    <w:rsid w:val="00680577"/>
    <w:rsid w:val="00681514"/>
    <w:rsid w:val="006F74FA"/>
    <w:rsid w:val="00731ADD"/>
    <w:rsid w:val="00734777"/>
    <w:rsid w:val="00747932"/>
    <w:rsid w:val="00751A4A"/>
    <w:rsid w:val="00756632"/>
    <w:rsid w:val="00762C74"/>
    <w:rsid w:val="0076335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380F"/>
    <w:rsid w:val="00C05BFE"/>
    <w:rsid w:val="00C23CD4"/>
    <w:rsid w:val="00C61C0C"/>
    <w:rsid w:val="00C941CB"/>
    <w:rsid w:val="00CC2357"/>
    <w:rsid w:val="00CF071A"/>
    <w:rsid w:val="00D058B8"/>
    <w:rsid w:val="00D47E74"/>
    <w:rsid w:val="00D51FC0"/>
    <w:rsid w:val="00D56C11"/>
    <w:rsid w:val="00D834A0"/>
    <w:rsid w:val="00D872DF"/>
    <w:rsid w:val="00D91E21"/>
    <w:rsid w:val="00DA7FCD"/>
    <w:rsid w:val="00E365E1"/>
    <w:rsid w:val="00E8108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5EA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FC208"/>
  <w15:chartTrackingRefBased/>
  <w15:docId w15:val="{163A6945-B408-4901-82C7-2D8699587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8108A"/>
    <w:pPr>
      <w:spacing w:before="480" w:after="240"/>
    </w:pPr>
  </w:style>
  <w:style w:type="paragraph" w:customStyle="1" w:styleId="NormalHanging12a">
    <w:name w:val="NormalHanging12a"/>
    <w:basedOn w:val="Normal"/>
    <w:rsid w:val="00E8108A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E8108A"/>
    <w:rPr>
      <w:color w:val="0563C1" w:themeColor="hyperlink"/>
      <w:u w:val="single"/>
    </w:rPr>
  </w:style>
  <w:style w:type="character" w:customStyle="1" w:styleId="hgkelc">
    <w:name w:val="hgkelc"/>
    <w:basedOn w:val="DefaultParagraphFont"/>
    <w:rsid w:val="00E8108A"/>
  </w:style>
  <w:style w:type="paragraph" w:styleId="Revision">
    <w:name w:val="Revision"/>
    <w:hidden/>
    <w:uiPriority w:val="99"/>
    <w:semiHidden/>
    <w:rsid w:val="00681514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10/11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1857</Words>
  <Characters>11592</Characters>
  <Application>Microsoft Office Word</Application>
  <DocSecurity>0</DocSecurity>
  <Lines>96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2026-01-21T12:10:00Z</dcterms:created>
  <dcterms:modified xsi:type="dcterms:W3CDTF">2026-01-21T12:10:00Z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B10-0060/2026</vt:lpwstr>
  </property>
  <property fmtid="{D5CDD505-2E9C-101B-9397-08002B2CF9AE}" pid="4" name="&lt;Type&gt;">
    <vt:lpwstr>RR</vt:lpwstr>
  </property>
</Properties>
</file>