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F3AB2" w14:paraId="6445544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4E77C3" w14:textId="77777777" w:rsidR="00751A4A" w:rsidRPr="00EF3AB2" w:rsidRDefault="00476C28" w:rsidP="0010095E">
            <w:pPr>
              <w:pStyle w:val="EPName"/>
            </w:pPr>
            <w:r w:rsidRPr="00EF3AB2">
              <w:t xml:space="preserve">Parlamento </w:t>
            </w:r>
            <w:proofErr w:type="gramStart"/>
            <w:r w:rsidRPr="00EF3AB2">
              <w:t>Europeu</w:t>
            </w:r>
            <w:proofErr w:type="gramEnd"/>
          </w:p>
          <w:p w14:paraId="1C554597" w14:textId="77777777" w:rsidR="00751A4A" w:rsidRPr="00EF3AB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F3AB2">
              <w:t>2024</w:t>
            </w:r>
            <w:r w:rsidR="00817416" w:rsidRPr="00EF3AB2">
              <w:t>-202</w:t>
            </w:r>
            <w:r w:rsidRPr="00EF3AB2">
              <w:t>9</w:t>
            </w:r>
          </w:p>
        </w:tc>
        <w:tc>
          <w:tcPr>
            <w:tcW w:w="2268" w:type="dxa"/>
            <w:shd w:val="clear" w:color="auto" w:fill="auto"/>
          </w:tcPr>
          <w:p w14:paraId="0E5B6BDA" w14:textId="77777777" w:rsidR="00751A4A" w:rsidRPr="00EF3AB2" w:rsidRDefault="00187494" w:rsidP="0010095E">
            <w:pPr>
              <w:pStyle w:val="EPLogo"/>
            </w:pPr>
            <w:r w:rsidRPr="00EF3AB2">
              <w:rPr>
                <w:noProof/>
                <w:lang w:eastAsia="ja-JP"/>
              </w:rPr>
              <w:drawing>
                <wp:inline distT="0" distB="0" distL="0" distR="0" wp14:anchorId="395810CA" wp14:editId="0288EF3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BFDA19" w14:textId="77777777" w:rsidR="00D058B8" w:rsidRPr="00EF3AB2" w:rsidRDefault="00D058B8" w:rsidP="004C5D52">
      <w:pPr>
        <w:pStyle w:val="LineTop"/>
      </w:pPr>
    </w:p>
    <w:p w14:paraId="251EDFE7" w14:textId="77777777" w:rsidR="00680577" w:rsidRPr="00EF3AB2" w:rsidRDefault="00476C28" w:rsidP="00680577">
      <w:pPr>
        <w:pStyle w:val="EPBodyTA1"/>
      </w:pPr>
      <w:r w:rsidRPr="00EF3AB2">
        <w:t>TEXTOS APROVADOS</w:t>
      </w:r>
    </w:p>
    <w:p w14:paraId="2C806D32" w14:textId="77777777" w:rsidR="00D058B8" w:rsidRPr="00EF3AB2" w:rsidRDefault="00D058B8" w:rsidP="00D058B8">
      <w:pPr>
        <w:pStyle w:val="LineBottom"/>
      </w:pPr>
    </w:p>
    <w:p w14:paraId="55E9ED8E" w14:textId="579A1B2F" w:rsidR="00476C28" w:rsidRPr="00EF3AB2" w:rsidRDefault="00476C28" w:rsidP="00476C28">
      <w:pPr>
        <w:pStyle w:val="ATHeading1"/>
      </w:pPr>
      <w:bookmarkStart w:id="0" w:name="TANumber"/>
      <w:r w:rsidRPr="00EF3AB2">
        <w:t>P10_TA(2026)000</w:t>
      </w:r>
      <w:r w:rsidR="00EF3AB2" w:rsidRPr="00EF3AB2">
        <w:t>8</w:t>
      </w:r>
      <w:bookmarkEnd w:id="0"/>
    </w:p>
    <w:p w14:paraId="05887CB1" w14:textId="485D0C15" w:rsidR="00476C28" w:rsidRPr="00EF3AB2" w:rsidRDefault="00476C28" w:rsidP="00476C28">
      <w:pPr>
        <w:pStyle w:val="ATHeading2"/>
      </w:pPr>
      <w:bookmarkStart w:id="1" w:name="title"/>
      <w:r w:rsidRPr="00EF3AB2">
        <w:t>Pedido de parecer ao Tribunal de Justiça sobre a compatibilidade com os Tratados d</w:t>
      </w:r>
      <w:r w:rsidR="009F404D" w:rsidRPr="00EF3AB2">
        <w:t xml:space="preserve">o </w:t>
      </w:r>
      <w:r w:rsidR="003D1CB6" w:rsidRPr="00EF3AB2">
        <w:t>A</w:t>
      </w:r>
      <w:r w:rsidRPr="00EF3AB2">
        <w:t>cordo de</w:t>
      </w:r>
      <w:r w:rsidR="00BB78EA" w:rsidRPr="00EF3AB2">
        <w:t xml:space="preserve"> </w:t>
      </w:r>
      <w:r w:rsidRPr="00EF3AB2">
        <w:t>parceria</w:t>
      </w:r>
      <w:r w:rsidR="003C2E5F" w:rsidRPr="00EF3AB2">
        <w:t xml:space="preserve"> UE-Mercosul</w:t>
      </w:r>
      <w:r w:rsidRPr="00EF3AB2">
        <w:t xml:space="preserve"> e do </w:t>
      </w:r>
      <w:r w:rsidR="003C2E5F" w:rsidRPr="00EF3AB2">
        <w:t>A</w:t>
      </w:r>
      <w:r w:rsidRPr="00EF3AB2">
        <w:t xml:space="preserve">cordo </w:t>
      </w:r>
      <w:r w:rsidR="003C2E5F" w:rsidRPr="00EF3AB2">
        <w:t>P</w:t>
      </w:r>
      <w:r w:rsidRPr="00EF3AB2">
        <w:t>rovisório sobre comércio</w:t>
      </w:r>
      <w:r w:rsidR="009F404D" w:rsidRPr="00EF3AB2">
        <w:t xml:space="preserve"> propostos entre a UE e o Mercosul</w:t>
      </w:r>
      <w:bookmarkEnd w:id="1"/>
    </w:p>
    <w:p w14:paraId="60244F4A" w14:textId="77777777" w:rsidR="00476C28" w:rsidRPr="00EF3AB2" w:rsidRDefault="00476C28" w:rsidP="00476C28">
      <w:pPr>
        <w:rPr>
          <w:i/>
          <w:vanish/>
        </w:rPr>
      </w:pPr>
      <w:r w:rsidRPr="00EF3AB2">
        <w:rPr>
          <w:i/>
        </w:rPr>
        <w:fldChar w:fldCharType="begin"/>
      </w:r>
      <w:r w:rsidRPr="00EF3AB2">
        <w:rPr>
          <w:i/>
        </w:rPr>
        <w:instrText xml:space="preserve"> TC"(</w:instrText>
      </w:r>
      <w:bookmarkStart w:id="2" w:name="DocNumber"/>
      <w:r w:rsidRPr="00EF3AB2">
        <w:rPr>
          <w:i/>
        </w:rPr>
        <w:instrText>B10-0060/2026</w:instrText>
      </w:r>
      <w:bookmarkEnd w:id="2"/>
      <w:r w:rsidRPr="00EF3AB2">
        <w:rPr>
          <w:i/>
        </w:rPr>
        <w:instrText xml:space="preserve">)"\l3 \n&gt; \* MERGEFORMAT </w:instrText>
      </w:r>
      <w:r w:rsidRPr="00EF3AB2">
        <w:rPr>
          <w:i/>
        </w:rPr>
        <w:fldChar w:fldCharType="end"/>
      </w:r>
    </w:p>
    <w:p w14:paraId="6C02C48A" w14:textId="77777777" w:rsidR="00476C28" w:rsidRPr="00EF3AB2" w:rsidRDefault="00476C28" w:rsidP="00476C28">
      <w:pPr>
        <w:rPr>
          <w:vanish/>
        </w:rPr>
      </w:pPr>
      <w:bookmarkStart w:id="3" w:name="PE"/>
      <w:r w:rsidRPr="00EF3AB2">
        <w:rPr>
          <w:vanish/>
        </w:rPr>
        <w:t>PE782.015</w:t>
      </w:r>
      <w:bookmarkEnd w:id="3"/>
    </w:p>
    <w:p w14:paraId="0746DA3E" w14:textId="2E63E1B6" w:rsidR="00476C28" w:rsidRPr="00EF3AB2" w:rsidRDefault="00476C28" w:rsidP="00476C28">
      <w:pPr>
        <w:pStyle w:val="ATHeading3"/>
      </w:pPr>
      <w:bookmarkStart w:id="4" w:name="Sujet"/>
      <w:r w:rsidRPr="00EF3AB2">
        <w:t xml:space="preserve">Resolução do Parlamento Europeu, de </w:t>
      </w:r>
      <w:r w:rsidR="00BB78EA" w:rsidRPr="00EF3AB2">
        <w:t>21</w:t>
      </w:r>
      <w:r w:rsidRPr="00EF3AB2">
        <w:t xml:space="preserve"> de </w:t>
      </w:r>
      <w:r w:rsidR="00BB78EA" w:rsidRPr="00EF3AB2">
        <w:t>janeiro</w:t>
      </w:r>
      <w:r w:rsidRPr="00EF3AB2">
        <w:t xml:space="preserve"> de 2026, solicitando o parecer do Tribunal de Justiça sobre a compatibilidade com os Tratados do Acordo de Parceria proposto entre a União Europeia e os seus Estados-Membros, por um lado, e o Mercado Comum do Sul, a República Argentina, a República Federativa do Brasil, a República do Paraguai e a República Oriental do Uruguai, por outro, e do Acordo Provisório sobre comércio proposto entre a União Europeia, por um lado, e o Mercado Comum do Sul, a República Argentina, a República Federativa do Brasil, a República do Paraguai e a República Oriental do Uruguai, por outro</w:t>
      </w:r>
      <w:bookmarkEnd w:id="4"/>
      <w:r w:rsidRPr="00EF3AB2">
        <w:t xml:space="preserve"> </w:t>
      </w:r>
      <w:bookmarkStart w:id="5" w:name="References"/>
      <w:r w:rsidRPr="00EF3AB2">
        <w:t>(2026/2560(RSP))</w:t>
      </w:r>
      <w:bookmarkEnd w:id="5"/>
    </w:p>
    <w:p w14:paraId="7488A922" w14:textId="77777777" w:rsidR="00C227F0" w:rsidRPr="00EF3AB2" w:rsidRDefault="00C227F0" w:rsidP="00C227F0">
      <w:pPr>
        <w:pStyle w:val="EPComma"/>
      </w:pPr>
      <w:bookmarkStart w:id="6" w:name="TextBodyBegin"/>
      <w:bookmarkEnd w:id="6"/>
      <w:r w:rsidRPr="00EF3AB2">
        <w:rPr>
          <w:i/>
        </w:rPr>
        <w:t>O Parlamento Europeu</w:t>
      </w:r>
      <w:r w:rsidRPr="00EF3AB2">
        <w:t>,</w:t>
      </w:r>
    </w:p>
    <w:p w14:paraId="39CD6F05" w14:textId="6A9C8BF9" w:rsidR="00C227F0" w:rsidRPr="00EF3AB2" w:rsidRDefault="00C227F0" w:rsidP="00C227F0">
      <w:pPr>
        <w:pStyle w:val="NormalHanging12a"/>
      </w:pPr>
      <w:r w:rsidRPr="00EF3AB2">
        <w:t>–</w:t>
      </w:r>
      <w:r w:rsidRPr="00EF3AB2">
        <w:tab/>
        <w:t>Tendo em conta o Acordo de Parceria proposto entre a União Europeia e os seus Estados-Membros, por um lado, e o Mercado Comum do Sul, a República Argentina, a República Federativa do Brasil, a República do Paraguai e a República Oriental do Uruguai, por outro</w:t>
      </w:r>
      <w:r w:rsidR="00056664" w:rsidRPr="00EF3AB2">
        <w:t xml:space="preserve"> (12450/2025)</w:t>
      </w:r>
      <w:r w:rsidRPr="00EF3AB2">
        <w:t>,</w:t>
      </w:r>
    </w:p>
    <w:p w14:paraId="1928DB6D" w14:textId="3EEA12B3" w:rsidR="00C227F0" w:rsidRPr="00EF3AB2" w:rsidRDefault="00C227F0" w:rsidP="00C227F0">
      <w:pPr>
        <w:pStyle w:val="NormalHanging12a"/>
      </w:pPr>
      <w:r w:rsidRPr="00EF3AB2">
        <w:t>–</w:t>
      </w:r>
      <w:r w:rsidRPr="00EF3AB2">
        <w:tab/>
        <w:t>Tendo em conta o Acordo Provisório sobre comércio proposto entre a União Europeia, por um lado, e o Mercado Comum do Sul, a República Argentina, a República Federativa do Brasil, a República do Paraguai e a República Oriental do Uruguai, por outro</w:t>
      </w:r>
      <w:r w:rsidR="00056664" w:rsidRPr="00EF3AB2">
        <w:t xml:space="preserve"> (12419/2025)</w:t>
      </w:r>
      <w:r w:rsidRPr="00EF3AB2">
        <w:t>,</w:t>
      </w:r>
    </w:p>
    <w:p w14:paraId="4F769873" w14:textId="5064C406" w:rsidR="00C227F0" w:rsidRPr="00EF3AB2" w:rsidRDefault="00C227F0" w:rsidP="00C227F0">
      <w:pPr>
        <w:pStyle w:val="NormalHanging12a"/>
      </w:pPr>
      <w:r w:rsidRPr="00EF3AB2">
        <w:t>–</w:t>
      </w:r>
      <w:r w:rsidRPr="00EF3AB2">
        <w:tab/>
        <w:t>Tendo em conta a proposta de decisão do Conselho relativa à celebração, em nome da União Europeia, do Acordo de Parceria entre a União Europeia e os seus Estados</w:t>
      </w:r>
      <w:r w:rsidRPr="00EF3AB2">
        <w:noBreakHyphen/>
        <w:t>Membros, por um lado, e o Mercado Comum do Sul, a República Argentina, a República Federativa do Brasil, a República do Paraguai e a República Oriental do Uruguai, por outro (COM(2025)0357)</w:t>
      </w:r>
      <w:r w:rsidR="00636FCB" w:rsidRPr="00EF3AB2">
        <w:t>,</w:t>
      </w:r>
      <w:r w:rsidRPr="00EF3AB2">
        <w:t xml:space="preserve"> </w:t>
      </w:r>
    </w:p>
    <w:p w14:paraId="13C341EE" w14:textId="77777777" w:rsidR="00C227F0" w:rsidRPr="00EF3AB2" w:rsidRDefault="00C227F0" w:rsidP="00C227F0">
      <w:pPr>
        <w:pStyle w:val="NormalHanging12a"/>
      </w:pPr>
      <w:r w:rsidRPr="00EF3AB2">
        <w:t>–</w:t>
      </w:r>
      <w:r w:rsidRPr="00EF3AB2">
        <w:tab/>
        <w:t xml:space="preserve">Tendo em conta a proposta de decisão do Conselho relativa à celebração, em nome da União Europeia, do Acordo de Comércio Provisório entre a União Europeia, por um lado, e o Mercado Comum do Sul, a República Argentina, a República Federativa do Brasil, a República do Paraguai e a República Oriental do Uruguai, por outro (COM(2025)0339), </w:t>
      </w:r>
    </w:p>
    <w:p w14:paraId="44C50C3F" w14:textId="4508755F" w:rsidR="00C227F0" w:rsidRPr="00EF3AB2" w:rsidRDefault="00C227F0" w:rsidP="00C227F0">
      <w:pPr>
        <w:pStyle w:val="NormalHanging12a"/>
      </w:pPr>
      <w:r w:rsidRPr="00EF3AB2">
        <w:lastRenderedPageBreak/>
        <w:t>–</w:t>
      </w:r>
      <w:r w:rsidRPr="00EF3AB2">
        <w:tab/>
        <w:t xml:space="preserve">Tendo em conta o projeto de decisão do Conselho </w:t>
      </w:r>
      <w:r w:rsidR="00DE5AB9" w:rsidRPr="00EF3AB2">
        <w:t xml:space="preserve">respeitante </w:t>
      </w:r>
      <w:r w:rsidRPr="00EF3AB2">
        <w:t>à celebração, em nome da União, do Acordo de Parceria entre a União Europeia e os</w:t>
      </w:r>
      <w:r w:rsidR="00DE5AB9" w:rsidRPr="00EF3AB2">
        <w:t xml:space="preserve"> seus</w:t>
      </w:r>
      <w:r w:rsidRPr="00EF3AB2">
        <w:t xml:space="preserve"> Estados-Membros, por um lado, e o Mercado Comum do Sul, a República Argentina, a República Federativa do Brasil, a República do Paraguai e a República Oriental do Uruguai, por outro</w:t>
      </w:r>
      <w:r w:rsidR="00DE5AB9" w:rsidRPr="00EF3AB2">
        <w:t xml:space="preserve"> (12443/2025)</w:t>
      </w:r>
      <w:r w:rsidRPr="00EF3AB2">
        <w:t>,</w:t>
      </w:r>
    </w:p>
    <w:p w14:paraId="56739CFC" w14:textId="708B8943" w:rsidR="00C227F0" w:rsidRPr="00EF3AB2" w:rsidRDefault="00C227F0" w:rsidP="00C227F0">
      <w:pPr>
        <w:pStyle w:val="NormalHanging12a"/>
      </w:pPr>
      <w:r w:rsidRPr="00EF3AB2">
        <w:t>–</w:t>
      </w:r>
      <w:r w:rsidRPr="00EF3AB2">
        <w:tab/>
        <w:t xml:space="preserve">Tendo em conta </w:t>
      </w:r>
      <w:r w:rsidR="00DE5AB9" w:rsidRPr="00EF3AB2">
        <w:t>a</w:t>
      </w:r>
      <w:r w:rsidRPr="00EF3AB2">
        <w:t xml:space="preserve"> decisão do Conselho</w:t>
      </w:r>
      <w:r w:rsidR="00F61ED7" w:rsidRPr="00EF3AB2">
        <w:t>,</w:t>
      </w:r>
      <w:r w:rsidRPr="00EF3AB2">
        <w:t xml:space="preserve"> </w:t>
      </w:r>
      <w:r w:rsidR="00DE5AB9" w:rsidRPr="00EF3AB2">
        <w:t>de 9 de janeiro de 2026</w:t>
      </w:r>
      <w:r w:rsidR="00F61ED7" w:rsidRPr="00EF3AB2">
        <w:t>,</w:t>
      </w:r>
      <w:r w:rsidR="00DE5AB9" w:rsidRPr="00EF3AB2">
        <w:t xml:space="preserve"> </w:t>
      </w:r>
      <w:r w:rsidRPr="00EF3AB2">
        <w:t>relativa à assinatura e à aplicação provisória do Acordo Provisório sobre comércio entre a União Europeia, por um lado, e o Mercado Comum do Sul, a República Argentina, a República Federativa do Brasil, a República do Paraguai e a República Oriental do Uruguai, por outro</w:t>
      </w:r>
      <w:r w:rsidR="00DE5AB9" w:rsidRPr="00EF3AB2">
        <w:t xml:space="preserve"> (12417/1/2025 REV 1)</w:t>
      </w:r>
      <w:r w:rsidRPr="00EF3AB2">
        <w:t xml:space="preserve">, </w:t>
      </w:r>
    </w:p>
    <w:p w14:paraId="2C5A500E" w14:textId="695D893C" w:rsidR="00C227F0" w:rsidRPr="00EF3AB2" w:rsidRDefault="00C227F0" w:rsidP="00C227F0">
      <w:pPr>
        <w:pStyle w:val="NormalHanging12a"/>
      </w:pPr>
      <w:r w:rsidRPr="00EF3AB2">
        <w:t>–</w:t>
      </w:r>
      <w:r w:rsidRPr="00EF3AB2">
        <w:tab/>
        <w:t>Tendo em conta o projeto de decisão do Conselho relativa à celebração, em nome da União Europeia, do Acordo Provisório sobre comércio entre a União Europeia, por um lado, e o Mercado Comum do Sul, a República Argentina, a República Federativa do Brasil, a República do Paraguai e a República Oriental do Uruguai, por outro</w:t>
      </w:r>
      <w:r w:rsidR="00E91221" w:rsidRPr="00EF3AB2">
        <w:t xml:space="preserve"> (12418/1/2025 REV 1)</w:t>
      </w:r>
      <w:r w:rsidRPr="00EF3AB2">
        <w:t>,</w:t>
      </w:r>
    </w:p>
    <w:p w14:paraId="1FBE0121" w14:textId="77777777" w:rsidR="00C227F0" w:rsidRPr="00EF3AB2" w:rsidRDefault="00C227F0" w:rsidP="00C227F0">
      <w:pPr>
        <w:pStyle w:val="NormalHanging12a"/>
      </w:pPr>
      <w:r w:rsidRPr="00EF3AB2">
        <w:t>–</w:t>
      </w:r>
      <w:r w:rsidRPr="00EF3AB2">
        <w:tab/>
        <w:t>Tendo em conta o artigo 3.º, n.º 5, o artigo 4.º, n.º 3, o artigo 10, n.º 3, o artigo 13, n.º 2, e o artigo 21.º do Tratado da União Europeia (TUE),</w:t>
      </w:r>
    </w:p>
    <w:p w14:paraId="573E12DF" w14:textId="77777777" w:rsidR="00C227F0" w:rsidRPr="00EF3AB2" w:rsidRDefault="00C227F0" w:rsidP="00C227F0">
      <w:pPr>
        <w:pStyle w:val="NormalHanging12a"/>
      </w:pPr>
      <w:r w:rsidRPr="00EF3AB2">
        <w:t>–</w:t>
      </w:r>
      <w:r w:rsidRPr="00EF3AB2">
        <w:tab/>
        <w:t>Tendo em conta o artigo 218.º do Tratado sobre o Funcionamento da União Europeia (TFUE), nomeadamente os seus n.</w:t>
      </w:r>
      <w:r w:rsidRPr="00EF3AB2">
        <w:rPr>
          <w:vertAlign w:val="superscript"/>
        </w:rPr>
        <w:t>os</w:t>
      </w:r>
      <w:r w:rsidRPr="00EF3AB2">
        <w:t> 2, 4, 5, 6, 8, 10 e 11,</w:t>
      </w:r>
    </w:p>
    <w:p w14:paraId="0366E495" w14:textId="77777777" w:rsidR="00C227F0" w:rsidRPr="00EF3AB2" w:rsidRDefault="00C227F0" w:rsidP="00C227F0">
      <w:pPr>
        <w:pStyle w:val="NormalHanging12a"/>
      </w:pPr>
      <w:r w:rsidRPr="00EF3AB2">
        <w:t>–</w:t>
      </w:r>
      <w:r w:rsidRPr="00EF3AB2">
        <w:tab/>
        <w:t>Tendo em conta os artigos 11.º, 168.º, 169.º, 171.º e 191.º do TFUE,</w:t>
      </w:r>
    </w:p>
    <w:p w14:paraId="1D5BED5D" w14:textId="77777777" w:rsidR="00C227F0" w:rsidRPr="00EF3AB2" w:rsidRDefault="00C227F0" w:rsidP="00C227F0">
      <w:pPr>
        <w:pStyle w:val="NormalHanging12a"/>
        <w:rPr>
          <w:rStyle w:val="hgkelc"/>
          <w:color w:val="000000"/>
        </w:rPr>
      </w:pPr>
      <w:r w:rsidRPr="00EF3AB2">
        <w:t>–</w:t>
      </w:r>
      <w:r w:rsidRPr="00EF3AB2">
        <w:tab/>
        <w:t xml:space="preserve">Tendo em conta os </w:t>
      </w:r>
      <w:r w:rsidRPr="00EF3AB2">
        <w:rPr>
          <w:rStyle w:val="hgkelc"/>
          <w:color w:val="000000"/>
        </w:rPr>
        <w:t>artigos 35.º, 37.º e 38.º da Carta dos Direitos Fundamentais da União Europeia (a «Carta»),</w:t>
      </w:r>
    </w:p>
    <w:p w14:paraId="6AADDC54" w14:textId="77777777" w:rsidR="00C227F0" w:rsidRPr="00EF3AB2" w:rsidRDefault="00C227F0" w:rsidP="00C227F0">
      <w:pPr>
        <w:pStyle w:val="NormalHanging12a"/>
      </w:pPr>
      <w:r w:rsidRPr="00EF3AB2">
        <w:t>–</w:t>
      </w:r>
      <w:r w:rsidRPr="00EF3AB2">
        <w:tab/>
        <w:t>Tendo em conta as diretrizes de negociação do Conselho, de 1999, para o acordo entre a União Europeia e os quatro membros fundadores do Mercosul — Argentina, Brasil, Paraguai e Uruguai (a seguir designadas por «diretrizes de negociação de 1999»),</w:t>
      </w:r>
    </w:p>
    <w:p w14:paraId="2AEA70A9" w14:textId="77777777" w:rsidR="00C227F0" w:rsidRPr="00EF3AB2" w:rsidRDefault="00C227F0" w:rsidP="00C227F0">
      <w:pPr>
        <w:pStyle w:val="NormalHanging12a"/>
        <w:rPr>
          <w:rStyle w:val="Hyperlink"/>
          <w:color w:val="000000"/>
        </w:rPr>
      </w:pPr>
      <w:r w:rsidRPr="00EF3AB2">
        <w:t>–</w:t>
      </w:r>
      <w:r w:rsidRPr="00EF3AB2">
        <w:tab/>
        <w:t>Tendo em conta o acordo de princípio entre a União Europeia e os quatro membros fundadores do Mercosul — Argentina, Brasil, Paraguai e Uruguai — negociado em 2019, bem como os seus capítulos novos e revistos e os respetivos protocolos e anexos,</w:t>
      </w:r>
    </w:p>
    <w:p w14:paraId="7EF0DDAE" w14:textId="77777777" w:rsidR="00C227F0" w:rsidRPr="00EF3AB2" w:rsidRDefault="00C227F0" w:rsidP="00C227F0">
      <w:pPr>
        <w:pStyle w:val="NormalHanging12a"/>
      </w:pPr>
      <w:r w:rsidRPr="00EF3AB2">
        <w:t>–</w:t>
      </w:r>
      <w:r w:rsidRPr="00EF3AB2">
        <w:tab/>
        <w:t>Tendo em conta o Parecer 1/17 do Tribunal de Justiça da União Europeia (TJUE), de 30 de abril de 2019, sobre o Acordo Económico e Comercial Global entre o Canadá, por um lado, e a União Europeia e os seus Estados-Membros, por outro (AECG), e o Parecer 2/15 do TJUE, de 16 de maio de 2017, sobre o Acordo de Comércio Livre entre a União Europeia e a República de Singapura,</w:t>
      </w:r>
    </w:p>
    <w:p w14:paraId="797557B1" w14:textId="77777777" w:rsidR="00C227F0" w:rsidRPr="00EF3AB2" w:rsidRDefault="00C227F0" w:rsidP="00C227F0">
      <w:pPr>
        <w:pStyle w:val="NormalHanging12a"/>
      </w:pPr>
      <w:r w:rsidRPr="00EF3AB2">
        <w:t>–</w:t>
      </w:r>
      <w:r w:rsidRPr="00EF3AB2">
        <w:tab/>
        <w:t>Tendo em conta o Acordo-quadro sobre as relações entre o Parlamento Europeu e a Comissão Europeia</w:t>
      </w:r>
      <w:r w:rsidRPr="00EF3AB2">
        <w:rPr>
          <w:rStyle w:val="FootnoteReference"/>
        </w:rPr>
        <w:footnoteReference w:id="1"/>
      </w:r>
      <w:r w:rsidRPr="00EF3AB2">
        <w:t>, nomeadamente os n.</w:t>
      </w:r>
      <w:r w:rsidRPr="00EF3AB2">
        <w:rPr>
          <w:vertAlign w:val="superscript"/>
        </w:rPr>
        <w:t>os</w:t>
      </w:r>
      <w:r w:rsidRPr="00EF3AB2">
        <w:t> 23 a 29 relativos a acordos internacionais,</w:t>
      </w:r>
    </w:p>
    <w:p w14:paraId="25B20854" w14:textId="77777777" w:rsidR="00C227F0" w:rsidRPr="00EF3AB2" w:rsidRDefault="00C227F0" w:rsidP="00C227F0">
      <w:pPr>
        <w:pStyle w:val="NormalHanging12a"/>
      </w:pPr>
      <w:r w:rsidRPr="00EF3AB2">
        <w:t>–</w:t>
      </w:r>
      <w:r w:rsidRPr="00EF3AB2">
        <w:tab/>
        <w:t xml:space="preserve">Tendo em conta as conclusões do Conselho, de 22 de maio de 2018, sobre a negociação e a celebração de acordos comerciais da UE (a seguir designadas «conclusões do </w:t>
      </w:r>
      <w:r w:rsidRPr="00EF3AB2">
        <w:lastRenderedPageBreak/>
        <w:t>Conselho de 2018»), nomeadamente o n.º 3,</w:t>
      </w:r>
    </w:p>
    <w:p w14:paraId="39F64F10" w14:textId="77777777" w:rsidR="00C227F0" w:rsidRPr="00EF3AB2" w:rsidRDefault="00C227F0" w:rsidP="00C227F0">
      <w:pPr>
        <w:pStyle w:val="NormalHanging12a"/>
      </w:pPr>
      <w:r w:rsidRPr="00EF3AB2">
        <w:t>–</w:t>
      </w:r>
      <w:r w:rsidRPr="00EF3AB2">
        <w:tab/>
        <w:t>Tendo em conta o artigo 117.º, n.º 6, do seu Regimento,</w:t>
      </w:r>
    </w:p>
    <w:p w14:paraId="3943FCC4" w14:textId="5766803B" w:rsidR="00C227F0" w:rsidRPr="00EF3AB2" w:rsidRDefault="00C227F0" w:rsidP="00C227F0">
      <w:pPr>
        <w:pStyle w:val="NormalHanging12a"/>
      </w:pPr>
      <w:bookmarkStart w:id="7" w:name="_Hlk219278397"/>
      <w:r w:rsidRPr="00EF3AB2">
        <w:t>A.</w:t>
      </w:r>
      <w:r w:rsidRPr="00EF3AB2">
        <w:tab/>
        <w:t>Considerando que, em 2019, a Comissão publicou o acordo de princípio que resume os resultados das negociações da parte comercial do Acordo de Associação UE-Mercosul</w:t>
      </w:r>
      <w:r w:rsidR="00C8082D" w:rsidRPr="00EF3AB2">
        <w:t>; considerando que</w:t>
      </w:r>
      <w:r w:rsidRPr="00EF3AB2">
        <w:t>, em dezembro de 2024, a Comissão anunciou que tinha concluído as negociações do acordo UE-Mercosul</w:t>
      </w:r>
      <w:r w:rsidR="00C8082D" w:rsidRPr="00EF3AB2">
        <w:t>; considerando que</w:t>
      </w:r>
      <w:r w:rsidRPr="00EF3AB2">
        <w:t>, em 3 de setembro de 2025, a Comissão apresentou o acordo UE-Mercosul sob a forma de dois textos jurídicos paralelos, a saber, o Acordo de Parceria UE-Mercosul e um Acordo Provisório sobre comércio, e apresentou as suas propostas ao Conselho para a assinatura e a celebração do Acordo de Parceria UE</w:t>
      </w:r>
      <w:r w:rsidRPr="00EF3AB2">
        <w:noBreakHyphen/>
        <w:t>Mercosul</w:t>
      </w:r>
      <w:r w:rsidR="00C8082D" w:rsidRPr="00EF3AB2">
        <w:t>; considerando que</w:t>
      </w:r>
      <w:r w:rsidRPr="00EF3AB2">
        <w:t xml:space="preserve"> o Acordo de Parceria UE-Mercosul é um acordo-quadro misto, que exige a aprovação unânime no Conselho, a aprovação do Parlamento e a ratificação pelos 27 Estados-Membros antes de poder entrar plenamente em vigor</w:t>
      </w:r>
      <w:r w:rsidR="00C8082D" w:rsidRPr="00EF3AB2">
        <w:t>; considerando que</w:t>
      </w:r>
      <w:r w:rsidRPr="00EF3AB2">
        <w:t xml:space="preserve"> o Acordo Provisório sobre comércio abrange apenas as disposições que são da competência exclusiva da UE e exige apenas uma maioria qualificada no Conselho e a aprovação do Parlamento para entrar em vigor;</w:t>
      </w:r>
    </w:p>
    <w:p w14:paraId="0044D0E3" w14:textId="77777777" w:rsidR="00C227F0" w:rsidRPr="00EF3AB2" w:rsidRDefault="00C227F0" w:rsidP="00C227F0">
      <w:pPr>
        <w:pStyle w:val="NormalHanging12a"/>
      </w:pPr>
      <w:r w:rsidRPr="00EF3AB2">
        <w:t>B.</w:t>
      </w:r>
      <w:r w:rsidRPr="00EF3AB2">
        <w:tab/>
        <w:t>Considerando que o acordo-quadro inter-regional de cooperação de 1995, que constitui a base das diretrizes de negociação de 1999, foi apresentado, no seu preâmbulo, como «fase preparatória para a negociação de um acordo de associação inter-regional» e como tendo por objetivo «a preparação das condições para a criação de uma associação inter</w:t>
      </w:r>
      <w:r w:rsidRPr="00EF3AB2">
        <w:noBreakHyphen/>
        <w:t>regional»;</w:t>
      </w:r>
    </w:p>
    <w:p w14:paraId="6B0E343B" w14:textId="26E323B6" w:rsidR="00C227F0" w:rsidRPr="00EF3AB2" w:rsidRDefault="00C227F0" w:rsidP="00C227F0">
      <w:pPr>
        <w:pStyle w:val="NormalHanging12a"/>
        <w:rPr>
          <w:rStyle w:val="hgkelc"/>
          <w:color w:val="000000"/>
        </w:rPr>
      </w:pPr>
      <w:r w:rsidRPr="00EF3AB2">
        <w:t>C.</w:t>
      </w:r>
      <w:r w:rsidRPr="00EF3AB2">
        <w:tab/>
      </w:r>
      <w:r w:rsidRPr="00EF3AB2">
        <w:rPr>
          <w:rStyle w:val="hgkelc"/>
          <w:color w:val="000000"/>
        </w:rPr>
        <w:t>Considerando que as diretrizes de negociação de 1999 autorizaram a negociação de um acordo de associação com os países do Mercosul, exigindo assim a unanimidade do Conselho e a ratificação pelos parlamentos nacionais</w:t>
      </w:r>
      <w:r w:rsidR="00C8082D" w:rsidRPr="00EF3AB2">
        <w:rPr>
          <w:rStyle w:val="hgkelc"/>
          <w:color w:val="000000"/>
        </w:rPr>
        <w:t>; considerando que</w:t>
      </w:r>
      <w:r w:rsidRPr="00EF3AB2">
        <w:rPr>
          <w:rStyle w:val="hgkelc"/>
          <w:color w:val="000000"/>
        </w:rPr>
        <w:t xml:space="preserve"> nem o âmbito de aplicação do Acordo Provisório sobre comércio nem as suas consequências para o poder de veto dos Estados-Membros poderiam ter sido previstos no momento em que este mandato foi emitido e acordado</w:t>
      </w:r>
      <w:r w:rsidR="00C8082D" w:rsidRPr="00EF3AB2">
        <w:rPr>
          <w:rStyle w:val="hgkelc"/>
          <w:color w:val="000000"/>
        </w:rPr>
        <w:t>; considerando que</w:t>
      </w:r>
      <w:r w:rsidRPr="00EF3AB2">
        <w:rPr>
          <w:rStyle w:val="hgkelc"/>
          <w:color w:val="000000"/>
        </w:rPr>
        <w:t xml:space="preserve"> o Conselho confirmou a sua posição nas suas conclusões de 2018 e declarou que «[c]</w:t>
      </w:r>
      <w:proofErr w:type="spellStart"/>
      <w:r w:rsidRPr="00EF3AB2">
        <w:rPr>
          <w:rStyle w:val="hgkelc"/>
          <w:color w:val="000000"/>
        </w:rPr>
        <w:t>ompete</w:t>
      </w:r>
      <w:proofErr w:type="spellEnd"/>
      <w:r w:rsidRPr="00EF3AB2">
        <w:rPr>
          <w:rStyle w:val="hgkelc"/>
          <w:color w:val="000000"/>
        </w:rPr>
        <w:t xml:space="preserve"> ao Conselho decidir encetar negociações nesta base. Cabe igualmente ao Conselho decidir, caso a caso, sobre a cisão de acordos comerciais. Em função do seu conteúdo, os acordos de associação deverão ser mistos. Os que estão atualmente a ser negociados, nomeadamente com o México, o Mercosul e o Chile, continuarão a ser acordos mistos»</w:t>
      </w:r>
      <w:r w:rsidR="00C8082D" w:rsidRPr="00EF3AB2">
        <w:rPr>
          <w:rStyle w:val="hgkelc"/>
          <w:color w:val="000000"/>
        </w:rPr>
        <w:t>; considerando que</w:t>
      </w:r>
      <w:r w:rsidRPr="00EF3AB2">
        <w:t xml:space="preserve"> o Acordo comercial UE-Mercosul, acordado de princípio em julho de 2019, também se refere ao Acordo de Associação UE-Mercosul</w:t>
      </w:r>
      <w:r w:rsidR="00C8082D" w:rsidRPr="00EF3AB2">
        <w:t>; considerando que</w:t>
      </w:r>
      <w:r w:rsidRPr="00EF3AB2">
        <w:rPr>
          <w:rStyle w:val="hgkelc"/>
          <w:color w:val="000000"/>
        </w:rPr>
        <w:t xml:space="preserve"> um desvio em relação às diretrizes de negociação de 1999 e às conclusões do Conselho de 2018 poderia ser considerado incompatível com o direito da UE;</w:t>
      </w:r>
    </w:p>
    <w:p w14:paraId="1AF6BC3D" w14:textId="48C2CCD1" w:rsidR="00C227F0" w:rsidRPr="00EF3AB2" w:rsidRDefault="00C227F0" w:rsidP="00C227F0">
      <w:pPr>
        <w:pStyle w:val="NormalHanging12a"/>
        <w:rPr>
          <w:rStyle w:val="hgkelc"/>
          <w:color w:val="000000"/>
        </w:rPr>
      </w:pPr>
      <w:r w:rsidRPr="00EF3AB2">
        <w:rPr>
          <w:rStyle w:val="hgkelc"/>
          <w:color w:val="000000"/>
        </w:rPr>
        <w:t>D.</w:t>
      </w:r>
      <w:r w:rsidRPr="00EF3AB2">
        <w:rPr>
          <w:rStyle w:val="hgkelc"/>
          <w:color w:val="000000"/>
        </w:rPr>
        <w:tab/>
        <w:t>Considerando que os parlamentos nacionais de vários Estados-Membros já manifestaram a sua oposição à ratificação do acordo UE-Mercosul mediante a adoção de resoluções para o efeito</w:t>
      </w:r>
      <w:r w:rsidR="00C8082D" w:rsidRPr="00EF3AB2">
        <w:rPr>
          <w:rStyle w:val="hgkelc"/>
          <w:color w:val="000000"/>
        </w:rPr>
        <w:t>; considerando que</w:t>
      </w:r>
      <w:r w:rsidRPr="00EF3AB2">
        <w:t xml:space="preserve"> a separação do acordo UE-Mercosul em dois textos jurídicos distintos, nomeadamente o Acordo de Parceria UE-Mercosul e o Acordo Provisório sobre comércio, contorna o direito dos parlamentos nacionais de ratificarem o Acordo Provisório sobre comércio</w:t>
      </w:r>
      <w:r w:rsidR="00C8082D" w:rsidRPr="00EF3AB2">
        <w:t>; considerando que</w:t>
      </w:r>
      <w:r w:rsidRPr="00EF3AB2">
        <w:t xml:space="preserve"> importa assegurar uma consulta eficaz dos cidadãos, do Parlamento Europeu, dos parlamentos nacionais e regionais, da sociedade civil e de outras partes interessadas pertinentes em todas as fases do processo, com vista a garantir a responsabilização democrática;</w:t>
      </w:r>
    </w:p>
    <w:p w14:paraId="06A03B51" w14:textId="09F74735" w:rsidR="00C227F0" w:rsidRPr="00EF3AB2" w:rsidRDefault="00C227F0" w:rsidP="00C227F0">
      <w:pPr>
        <w:pStyle w:val="NormalHanging12a"/>
      </w:pPr>
      <w:r w:rsidRPr="00EF3AB2">
        <w:rPr>
          <w:rStyle w:val="hgkelc"/>
          <w:color w:val="000000"/>
        </w:rPr>
        <w:lastRenderedPageBreak/>
        <w:t>E.</w:t>
      </w:r>
      <w:r w:rsidRPr="00EF3AB2">
        <w:rPr>
          <w:rStyle w:val="hgkelc"/>
          <w:color w:val="000000"/>
        </w:rPr>
        <w:tab/>
      </w:r>
      <w:r w:rsidRPr="00EF3AB2">
        <w:t>Considerando que o capítulo 21, artigo 21.4, alínea b), e o capítulo 1, artigo 1.3, alínea k), do Acordo Provisório sobre comércio introduzem um novo «mecanismo ou cláusula de reequilíbrio» que permite a uma parte solicitar compensação quando uma «medida aplicada pela outra parte anula ou prejudica substancialmente qualquer benefício que lhe seja conferido pelas disposições abrangidas, de uma forma que afeta negativamente o comércio entre as partes, independentemente de a medida em causa ser ou não incompatível com as disposições do presente Acordo, salvo indicação expressa em contrário»</w:t>
      </w:r>
      <w:r w:rsidR="00C8082D" w:rsidRPr="00EF3AB2">
        <w:t>; considerando que</w:t>
      </w:r>
      <w:r w:rsidRPr="00EF3AB2">
        <w:t xml:space="preserve"> este mecanismo visa compensar o impacto económico da legislação ou das práticas de um parceiro comercial, mesmo que estas não violem as disposições do Acordo</w:t>
      </w:r>
      <w:r w:rsidR="00C8082D" w:rsidRPr="00EF3AB2">
        <w:t>; considerando que</w:t>
      </w:r>
      <w:r w:rsidRPr="00EF3AB2">
        <w:t>, por exemplo, no capítulo 21 do Acordo Provisório sobre comércio, o artigo 21.20 e o artigo 21.21, preveem que uma contramedida só será suspensa quando a medida em causa tiver sido «retirada ou alterada [...] de modo a pôr termo a essa anulação ou redução substancial dos benefícios em causa»</w:t>
      </w:r>
      <w:r w:rsidR="00C8082D" w:rsidRPr="00EF3AB2">
        <w:t>; considerando que</w:t>
      </w:r>
      <w:r w:rsidRPr="00EF3AB2">
        <w:t xml:space="preserve"> este mecanismo poderia ser utilizado pelos países do Mercosul para pressionar a UE a abster-se de adotar ou aplicar legislação e outras medidas relacionadas com a proteção do clima e do ambiente, a segurança alimentar ou a proibição de determinados pesticidas;</w:t>
      </w:r>
    </w:p>
    <w:p w14:paraId="4C104D05" w14:textId="77777777" w:rsidR="00C227F0" w:rsidRPr="00EF3AB2" w:rsidRDefault="00C227F0" w:rsidP="00C227F0">
      <w:pPr>
        <w:pStyle w:val="NormalHanging12a"/>
        <w:rPr>
          <w:rStyle w:val="hgkelc"/>
          <w:color w:val="000000"/>
        </w:rPr>
      </w:pPr>
      <w:r w:rsidRPr="00EF3AB2">
        <w:t>F.</w:t>
      </w:r>
      <w:r w:rsidRPr="00EF3AB2">
        <w:tab/>
        <w:t xml:space="preserve">Considerando que </w:t>
      </w:r>
      <w:r w:rsidRPr="00EF3AB2">
        <w:rPr>
          <w:rStyle w:val="hgkelc"/>
          <w:color w:val="000000"/>
        </w:rPr>
        <w:t>a interpretação do Governo brasileiro sobre o âmbito temporal da cláusula de reequilíbrio difere da interpretação da Comissão, já que o Brasil entende que a sua aplicação remonta a 2019;</w:t>
      </w:r>
    </w:p>
    <w:p w14:paraId="2867944E" w14:textId="6E736251" w:rsidR="00C227F0" w:rsidRPr="00EF3AB2" w:rsidRDefault="00C227F0" w:rsidP="00C227F0">
      <w:pPr>
        <w:pStyle w:val="NormalHanging12a"/>
        <w:rPr>
          <w:rStyle w:val="hgkelc"/>
          <w:color w:val="000000"/>
        </w:rPr>
      </w:pPr>
      <w:r w:rsidRPr="00EF3AB2">
        <w:rPr>
          <w:rStyle w:val="hgkelc"/>
          <w:color w:val="000000"/>
        </w:rPr>
        <w:t>G.</w:t>
      </w:r>
      <w:r w:rsidRPr="00EF3AB2">
        <w:rPr>
          <w:rStyle w:val="hgkelc"/>
          <w:color w:val="000000"/>
        </w:rPr>
        <w:tab/>
        <w:t>Considerando que esta cláusula é mais abrangente do que as existentes em anteriores acordos de comércio livre celebrados pela UE e difere, em termos de âmbito e conteúdo, da cláusula prevista no Acordo Geral sobre Pautas Aduaneiras e Comércio (GATT) e no artigo 26.º, n.º 1, do Memorando de Entendimento sobre Resolução de Litígios da OMC</w:t>
      </w:r>
      <w:r w:rsidR="00C8082D" w:rsidRPr="00EF3AB2">
        <w:rPr>
          <w:rStyle w:val="hgkelc"/>
          <w:color w:val="000000"/>
        </w:rPr>
        <w:t>; considerando que</w:t>
      </w:r>
      <w:r w:rsidRPr="00EF3AB2">
        <w:rPr>
          <w:rStyle w:val="hgkelc"/>
          <w:color w:val="000000"/>
        </w:rPr>
        <w:t xml:space="preserve"> a cláusula de reequilíbrio constante do GATT nunca foi invocada contra a legislação em matéria de desenvolvimento sustentável, presumivelmente porque essa legislação seria abrangida pela cláusula de exceção geral do artigo XX do GATT;</w:t>
      </w:r>
    </w:p>
    <w:p w14:paraId="28B145DC" w14:textId="303D4B58" w:rsidR="00C227F0" w:rsidRPr="00EF3AB2" w:rsidRDefault="00C227F0" w:rsidP="00C227F0">
      <w:pPr>
        <w:pStyle w:val="NormalHanging12a"/>
      </w:pPr>
      <w:r w:rsidRPr="00EF3AB2">
        <w:rPr>
          <w:rStyle w:val="hgkelc"/>
          <w:color w:val="000000"/>
        </w:rPr>
        <w:t>H.</w:t>
      </w:r>
      <w:r w:rsidRPr="00EF3AB2">
        <w:rPr>
          <w:rStyle w:val="hgkelc"/>
          <w:color w:val="000000"/>
        </w:rPr>
        <w:tab/>
        <w:t>Considerando que a possibilidade de os países do Mercosul obterem uma compensação pelos efeitos comerciais das medidas de sustentabilidade da UE pode incitar os colegisladores da UE a absterem-se de adotar tais medidas e pressionar a Comissão a retirar, alterar ou suspender a aplicação da legislação em vigor</w:t>
      </w:r>
      <w:r w:rsidR="00C8082D" w:rsidRPr="00EF3AB2">
        <w:rPr>
          <w:rStyle w:val="hgkelc"/>
          <w:color w:val="000000"/>
        </w:rPr>
        <w:t>; considerando que</w:t>
      </w:r>
      <w:r w:rsidRPr="00EF3AB2">
        <w:t xml:space="preserve"> o mecanismo pode ter um impacto, em particular, na legislação que visa preservar os direitos protegidos pela Carta e os princípios dos Tratados em que assenta a ordem jurídica da UE;</w:t>
      </w:r>
    </w:p>
    <w:p w14:paraId="33D1D460" w14:textId="376E5B10" w:rsidR="00C227F0" w:rsidRPr="00EF3AB2" w:rsidRDefault="00C227F0" w:rsidP="00C227F0">
      <w:pPr>
        <w:pStyle w:val="NormalHanging12a"/>
        <w:rPr>
          <w:rStyle w:val="hgkelc"/>
          <w:color w:val="000000"/>
        </w:rPr>
      </w:pPr>
      <w:r w:rsidRPr="00EF3AB2">
        <w:rPr>
          <w:rStyle w:val="hgkelc"/>
          <w:color w:val="000000"/>
        </w:rPr>
        <w:t>I.</w:t>
      </w:r>
      <w:r w:rsidR="00F2784D" w:rsidRPr="00EF3AB2">
        <w:rPr>
          <w:rStyle w:val="hgkelc"/>
          <w:color w:val="000000"/>
        </w:rPr>
        <w:tab/>
      </w:r>
      <w:r w:rsidRPr="00EF3AB2">
        <w:t>Considerando que existem diferenças regulamentares significativas entre a UE e os países do Mercosul no que concerne à produção alimentar e às normas sanitárias e veterinárias</w:t>
      </w:r>
      <w:r w:rsidR="00C8082D" w:rsidRPr="00EF3AB2">
        <w:t>; considerando que</w:t>
      </w:r>
      <w:r w:rsidRPr="00EF3AB2">
        <w:t xml:space="preserve"> o acordo UE-Mercosul reduz as medidas de auditoria e controlo das importações agrícolas provenientes do Mercosul</w:t>
      </w:r>
      <w:r w:rsidR="00C8082D" w:rsidRPr="00EF3AB2">
        <w:t>; considerando que</w:t>
      </w:r>
      <w:r w:rsidRPr="00EF3AB2">
        <w:t xml:space="preserve"> o capítulo 6 do Acordo Provisório sobre comércio, relativo às medidas sanitárias e fitossanitárias, engloba várias medidas que enfraquecem os mecanismos de controlo existentes</w:t>
      </w:r>
      <w:r w:rsidR="00C8082D" w:rsidRPr="00EF3AB2">
        <w:t>; considerando que</w:t>
      </w:r>
      <w:r w:rsidRPr="00EF3AB2">
        <w:rPr>
          <w:rStyle w:val="hgkelc"/>
          <w:color w:val="000000"/>
        </w:rPr>
        <w:t>, nos termos do artigo 6.12, n.º 2, as medidas sanitárias e fitossanitárias apenas são aceitáveis se forem provisórias e revistas «num prazo razoável»</w:t>
      </w:r>
      <w:r w:rsidR="00C8082D" w:rsidRPr="00EF3AB2">
        <w:rPr>
          <w:rStyle w:val="hgkelc"/>
          <w:color w:val="000000"/>
        </w:rPr>
        <w:t>; considerando que</w:t>
      </w:r>
      <w:r w:rsidRPr="00EF3AB2">
        <w:rPr>
          <w:rStyle w:val="hgkelc"/>
          <w:color w:val="000000"/>
        </w:rPr>
        <w:t>, nos termos do direito da UE, a aplicação do princípio da precaução não está subordinada a tal requisito;</w:t>
      </w:r>
    </w:p>
    <w:p w14:paraId="13CD3D58" w14:textId="3957A24F" w:rsidR="00C227F0" w:rsidRPr="00EF3AB2" w:rsidRDefault="00C227F0" w:rsidP="00C227F0">
      <w:pPr>
        <w:pStyle w:val="NormalHanging12a"/>
      </w:pPr>
      <w:r w:rsidRPr="00EF3AB2">
        <w:rPr>
          <w:rStyle w:val="hgkelc"/>
          <w:color w:val="000000"/>
        </w:rPr>
        <w:t>J.</w:t>
      </w:r>
      <w:r w:rsidRPr="00EF3AB2">
        <w:rPr>
          <w:rStyle w:val="hgkelc"/>
          <w:color w:val="000000"/>
        </w:rPr>
        <w:tab/>
        <w:t xml:space="preserve">Considerando que o capítulo 18 do Acordo Provisório sobre comércio, relativo ao </w:t>
      </w:r>
      <w:r w:rsidRPr="00EF3AB2">
        <w:rPr>
          <w:rStyle w:val="hgkelc"/>
          <w:color w:val="000000"/>
        </w:rPr>
        <w:lastRenderedPageBreak/>
        <w:t>comércio e ao desenvolvimento sustentável, restringe a aplicação do princípio da precaução, nomeadamente a situações de «risco de grave degradação ambiental ou risco para a saúde e segurança no trabalho»</w:t>
      </w:r>
      <w:r w:rsidR="00C8082D" w:rsidRPr="00EF3AB2">
        <w:t>; considerando que</w:t>
      </w:r>
      <w:r w:rsidRPr="00EF3AB2">
        <w:rPr>
          <w:rStyle w:val="hgkelc"/>
          <w:color w:val="000000"/>
        </w:rPr>
        <w:t xml:space="preserve"> estas restrições podem resultar na redução dos níveis de proteção da saúde, dos consumidores e do ambiente na UE</w:t>
      </w:r>
      <w:r w:rsidR="00C8082D" w:rsidRPr="00EF3AB2">
        <w:rPr>
          <w:rStyle w:val="hgkelc"/>
          <w:color w:val="000000"/>
        </w:rPr>
        <w:t>; considerando que</w:t>
      </w:r>
      <w:r w:rsidRPr="00EF3AB2">
        <w:rPr>
          <w:rStyle w:val="hgkelc"/>
          <w:color w:val="000000"/>
        </w:rPr>
        <w:t xml:space="preserve"> as atuais medidas da UE permitidas ao abrigo do princípio da precaução da UE podem ser contestadas perante um painel de arbitragem e podem justificar compensações;</w:t>
      </w:r>
    </w:p>
    <w:p w14:paraId="43B723F9" w14:textId="77777777" w:rsidR="00C227F0" w:rsidRPr="00EF3AB2" w:rsidRDefault="00C227F0" w:rsidP="00C227F0">
      <w:pPr>
        <w:pStyle w:val="NormalHanging12a"/>
        <w:rPr>
          <w:rStyle w:val="hgkelc"/>
          <w:color w:val="000000"/>
        </w:rPr>
      </w:pPr>
      <w:r w:rsidRPr="00EF3AB2">
        <w:t>1.</w:t>
      </w:r>
      <w:r w:rsidRPr="00EF3AB2">
        <w:tab/>
        <w:t>Receia</w:t>
      </w:r>
      <w:r w:rsidRPr="00EF3AB2">
        <w:rPr>
          <w:rStyle w:val="hgkelc"/>
          <w:color w:val="000000"/>
        </w:rPr>
        <w:t xml:space="preserve"> que a divisão do acordo UE-Mercosul no</w:t>
      </w:r>
      <w:r w:rsidRPr="00EF3AB2">
        <w:t xml:space="preserve"> Acordo de Parceria UE-Mercosul e no Acordo Provisório sobre comércio </w:t>
      </w:r>
      <w:r w:rsidRPr="00EF3AB2">
        <w:rPr>
          <w:rStyle w:val="hgkelc"/>
          <w:color w:val="000000"/>
        </w:rPr>
        <w:t>possa ser incompatível com o artigo 218.º, n.</w:t>
      </w:r>
      <w:r w:rsidRPr="00EF3AB2">
        <w:rPr>
          <w:rStyle w:val="hgkelc"/>
          <w:color w:val="000000"/>
          <w:vertAlign w:val="superscript"/>
        </w:rPr>
        <w:t>os</w:t>
      </w:r>
      <w:r w:rsidRPr="00EF3AB2">
        <w:rPr>
          <w:rStyle w:val="hgkelc"/>
          <w:color w:val="000000"/>
        </w:rPr>
        <w:t> 2 e 4, do TFUE, bem como com o princípio da atribuição, o princípio do equilíbrio institucional e o princípio da cooperação leal consagrados no artigo 4.º, n.º 3, e no artigo 13.º, n.º 2, do TUE; manifesta preocupação pelo facto de as orientações de negociação emitidas pelo Conselho poderem não ser respeitadas, o que pode afetar as regras de votação no Conselho e impedir os parlamentos nacionais de exercerem o seu direito legítimo de se pronunciar sobre o acordo;</w:t>
      </w:r>
    </w:p>
    <w:p w14:paraId="63EBDA7A" w14:textId="77777777" w:rsidR="00C227F0" w:rsidRPr="00EF3AB2" w:rsidRDefault="00C227F0" w:rsidP="00C227F0">
      <w:pPr>
        <w:pStyle w:val="NormalHanging12a"/>
        <w:rPr>
          <w:rStyle w:val="hgkelc"/>
          <w:color w:val="000000"/>
        </w:rPr>
      </w:pPr>
      <w:r w:rsidRPr="00EF3AB2">
        <w:rPr>
          <w:rStyle w:val="hgkelc"/>
          <w:color w:val="000000"/>
        </w:rPr>
        <w:t>2.</w:t>
      </w:r>
      <w:r w:rsidRPr="00EF3AB2">
        <w:rPr>
          <w:rStyle w:val="hgkelc"/>
          <w:color w:val="000000"/>
        </w:rPr>
        <w:tab/>
        <w:t>Manifesta a sua preocupação pelo facto de o mecanismo de reequilíbrio previsto no acordo UE-Mercosul poder, no mínimo, ser incompatível com os artigos 11.º, 168.º, 169.º e 191.º do TFUE e com os artigos 35.º, 37.º e 38.º da Carta e ameaçar a capacidade da UE de manter a</w:t>
      </w:r>
      <w:r w:rsidRPr="00EF3AB2">
        <w:t xml:space="preserve"> autonomia da ordem jurídica da UE;</w:t>
      </w:r>
    </w:p>
    <w:p w14:paraId="6A295E0C" w14:textId="77777777" w:rsidR="00C227F0" w:rsidRPr="00EF3AB2" w:rsidRDefault="00C227F0" w:rsidP="00C227F0">
      <w:pPr>
        <w:pStyle w:val="NormalHanging12a"/>
      </w:pPr>
      <w:r w:rsidRPr="00EF3AB2">
        <w:rPr>
          <w:rStyle w:val="hgkelc"/>
          <w:color w:val="000000"/>
        </w:rPr>
        <w:t>3.</w:t>
      </w:r>
      <w:r w:rsidRPr="00EF3AB2">
        <w:rPr>
          <w:rStyle w:val="hgkelc"/>
          <w:color w:val="000000"/>
        </w:rPr>
        <w:tab/>
        <w:t>Receia que o Acordo de Parceria UE-Mercosul e o Acordo Provisório sobre comércio possam comprometer a aplicação do princípio da precaução, o que pode resultar na incompatibilidade com, pelo menos, os artigos 168.º, 169.º e 191.º do TFUE, bem como com os artigos 35.º, 37.º e 38.º da Carta; manifesta igualmente preocupação pelo facto de o princípio da precaução poder ser negativamente afetado pela autoridade conferida a um painel de arbitragem para avaliar a aplicação do princípio da precaução pela UE;</w:t>
      </w:r>
    </w:p>
    <w:p w14:paraId="5009E97F" w14:textId="77777777" w:rsidR="00C227F0" w:rsidRPr="00EF3AB2" w:rsidRDefault="00C227F0" w:rsidP="00C227F0">
      <w:pPr>
        <w:pStyle w:val="NormalHanging12a"/>
      </w:pPr>
      <w:r w:rsidRPr="00EF3AB2">
        <w:t>4.</w:t>
      </w:r>
      <w:r w:rsidRPr="00EF3AB2">
        <w:tab/>
        <w:t>Decide solicitar um parecer ao Tribunal de Justiça</w:t>
      </w:r>
      <w:r w:rsidRPr="00EF3AB2">
        <w:rPr>
          <w:rStyle w:val="hgkelc"/>
        </w:rPr>
        <w:t>, nos termos do artigo 218.º, n.º 11, do TFUE,</w:t>
      </w:r>
      <w:r w:rsidRPr="00EF3AB2">
        <w:t xml:space="preserve"> sobre a compatibilidade com os Tratados do acordo proposto e </w:t>
      </w:r>
      <w:r w:rsidRPr="00EF3AB2">
        <w:rPr>
          <w:rStyle w:val="hgkelc"/>
        </w:rPr>
        <w:t>da celebração proposta pela UE do Acordo de Parceria UE-Mercosul e do Acordo Provisório sobre comércio, bem como sobre o procedimento seguido para obter essa celebração</w:t>
      </w:r>
      <w:r w:rsidRPr="00EF3AB2">
        <w:t>;</w:t>
      </w:r>
    </w:p>
    <w:p w14:paraId="6BBDDC4B" w14:textId="1FD70767" w:rsidR="00E365E1" w:rsidRPr="00EF3AB2" w:rsidRDefault="00C227F0" w:rsidP="00EF3AB2">
      <w:pPr>
        <w:pStyle w:val="NormalHanging12a"/>
      </w:pPr>
      <w:r w:rsidRPr="00EF3AB2">
        <w:t>5.</w:t>
      </w:r>
      <w:r w:rsidRPr="00EF3AB2">
        <w:tab/>
        <w:t xml:space="preserve">Encarrega a sua Presidente de tomar rapidamente as medidas necessárias à obtenção do parecer </w:t>
      </w:r>
      <w:r w:rsidRPr="00EF3AB2">
        <w:rPr>
          <w:rStyle w:val="hgkelc"/>
        </w:rPr>
        <w:t>do</w:t>
      </w:r>
      <w:r w:rsidRPr="00EF3AB2">
        <w:t xml:space="preserve"> Tribunal de Justiça e de transmitir a presente resolução, para conhecimento, </w:t>
      </w:r>
      <w:r w:rsidR="00053509" w:rsidRPr="00EF3AB2">
        <w:t>ao Conselho e à Comissão.</w:t>
      </w:r>
      <w:bookmarkEnd w:id="7"/>
    </w:p>
    <w:sectPr w:rsidR="00E365E1" w:rsidRPr="00EF3AB2" w:rsidSect="000535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1E30F" w14:textId="77777777" w:rsidR="00476C28" w:rsidRPr="00053509" w:rsidRDefault="00476C28">
      <w:r w:rsidRPr="00053509">
        <w:separator/>
      </w:r>
    </w:p>
  </w:endnote>
  <w:endnote w:type="continuationSeparator" w:id="0">
    <w:p w14:paraId="74748B8C" w14:textId="77777777" w:rsidR="00476C28" w:rsidRPr="00053509" w:rsidRDefault="00476C28">
      <w:r w:rsidRPr="000535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450E9" w14:textId="77777777" w:rsidR="00064002" w:rsidRPr="0005350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911A8" w14:textId="77777777" w:rsidR="00064002" w:rsidRPr="0005350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F98FC" w14:textId="77777777" w:rsidR="00064002" w:rsidRPr="0005350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C75A2" w14:textId="77777777" w:rsidR="00476C28" w:rsidRPr="00053509" w:rsidRDefault="00476C28">
      <w:r w:rsidRPr="00053509">
        <w:separator/>
      </w:r>
    </w:p>
  </w:footnote>
  <w:footnote w:type="continuationSeparator" w:id="0">
    <w:p w14:paraId="29720388" w14:textId="77777777" w:rsidR="00476C28" w:rsidRPr="00053509" w:rsidRDefault="00476C28">
      <w:r w:rsidRPr="00053509">
        <w:continuationSeparator/>
      </w:r>
    </w:p>
  </w:footnote>
  <w:footnote w:id="1">
    <w:p w14:paraId="497D8FE1" w14:textId="25B89B5C" w:rsidR="00C227F0" w:rsidRPr="00053509" w:rsidRDefault="00C227F0" w:rsidP="00053509">
      <w:pPr>
        <w:pStyle w:val="FootnoteText"/>
        <w:ind w:left="567" w:hanging="567"/>
        <w:rPr>
          <w:sz w:val="24"/>
          <w:lang w:val="pt-PT"/>
        </w:rPr>
      </w:pPr>
      <w:r w:rsidRPr="00053509">
        <w:rPr>
          <w:rStyle w:val="FootnoteReference"/>
          <w:sz w:val="24"/>
          <w:lang w:val="pt-PT"/>
        </w:rPr>
        <w:footnoteRef/>
      </w:r>
      <w:r w:rsidR="00053509" w:rsidRPr="00053509">
        <w:rPr>
          <w:sz w:val="24"/>
          <w:lang w:val="pt-PT"/>
        </w:rPr>
        <w:t xml:space="preserve"> </w:t>
      </w:r>
      <w:r w:rsidR="00053509" w:rsidRPr="00053509">
        <w:rPr>
          <w:sz w:val="24"/>
          <w:lang w:val="pt-PT"/>
        </w:rPr>
        <w:tab/>
      </w:r>
      <w:r w:rsidRPr="00053509">
        <w:rPr>
          <w:sz w:val="24"/>
          <w:lang w:val="pt-PT"/>
        </w:rPr>
        <w:t xml:space="preserve">JO L 304 de 20.11.2010, p. 47, ELI: </w:t>
      </w:r>
      <w:hyperlink r:id="rId1" w:history="1">
        <w:r w:rsidRPr="00053509">
          <w:rPr>
            <w:rStyle w:val="Hyperlink"/>
            <w:sz w:val="24"/>
            <w:lang w:val="pt-PT"/>
          </w:rPr>
          <w:t>http://data.europa.eu/eli/agree_interinstit/2010/1120/oj</w:t>
        </w:r>
      </w:hyperlink>
      <w:r w:rsidRPr="00053509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4EF39" w14:textId="77777777" w:rsidR="00064002" w:rsidRPr="0005350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8F202" w14:textId="77777777" w:rsidR="00064002" w:rsidRPr="0005350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A8265" w14:textId="77777777" w:rsidR="00064002" w:rsidRPr="0005350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74931972">
    <w:abstractNumId w:val="9"/>
  </w:num>
  <w:num w:numId="2" w16cid:durableId="1043404171">
    <w:abstractNumId w:val="9"/>
  </w:num>
  <w:num w:numId="3" w16cid:durableId="943995969">
    <w:abstractNumId w:val="7"/>
  </w:num>
  <w:num w:numId="4" w16cid:durableId="1942491028">
    <w:abstractNumId w:val="7"/>
  </w:num>
  <w:num w:numId="5" w16cid:durableId="188026812">
    <w:abstractNumId w:val="6"/>
  </w:num>
  <w:num w:numId="6" w16cid:durableId="1911884084">
    <w:abstractNumId w:val="6"/>
  </w:num>
  <w:num w:numId="7" w16cid:durableId="1201630004">
    <w:abstractNumId w:val="5"/>
  </w:num>
  <w:num w:numId="8" w16cid:durableId="1111583814">
    <w:abstractNumId w:val="5"/>
  </w:num>
  <w:num w:numId="9" w16cid:durableId="1916165387">
    <w:abstractNumId w:val="4"/>
  </w:num>
  <w:num w:numId="10" w16cid:durableId="2097510025">
    <w:abstractNumId w:val="4"/>
  </w:num>
  <w:num w:numId="11" w16cid:durableId="1116407641">
    <w:abstractNumId w:val="8"/>
  </w:num>
  <w:num w:numId="12" w16cid:durableId="2036494357">
    <w:abstractNumId w:val="8"/>
  </w:num>
  <w:num w:numId="13" w16cid:durableId="338432096">
    <w:abstractNumId w:val="3"/>
  </w:num>
  <w:num w:numId="14" w16cid:durableId="878201222">
    <w:abstractNumId w:val="3"/>
  </w:num>
  <w:num w:numId="15" w16cid:durableId="138811213">
    <w:abstractNumId w:val="2"/>
  </w:num>
  <w:num w:numId="16" w16cid:durableId="1863350042">
    <w:abstractNumId w:val="2"/>
  </w:num>
  <w:num w:numId="17" w16cid:durableId="1003358076">
    <w:abstractNumId w:val="1"/>
  </w:num>
  <w:num w:numId="18" w16cid:durableId="803155650">
    <w:abstractNumId w:val="1"/>
  </w:num>
  <w:num w:numId="19" w16cid:durableId="953944537">
    <w:abstractNumId w:val="0"/>
  </w:num>
  <w:num w:numId="20" w16cid:durableId="1248881909">
    <w:abstractNumId w:val="0"/>
  </w:num>
  <w:num w:numId="21" w16cid:durableId="830368584">
    <w:abstractNumId w:val="9"/>
  </w:num>
  <w:num w:numId="22" w16cid:durableId="1902323021">
    <w:abstractNumId w:val="7"/>
  </w:num>
  <w:num w:numId="23" w16cid:durableId="1111167191">
    <w:abstractNumId w:val="6"/>
  </w:num>
  <w:num w:numId="24" w16cid:durableId="1738942351">
    <w:abstractNumId w:val="5"/>
  </w:num>
  <w:num w:numId="25" w16cid:durableId="365175838">
    <w:abstractNumId w:val="4"/>
  </w:num>
  <w:num w:numId="26" w16cid:durableId="1695690915">
    <w:abstractNumId w:val="8"/>
  </w:num>
  <w:num w:numId="27" w16cid:durableId="552740556">
    <w:abstractNumId w:val="3"/>
  </w:num>
  <w:num w:numId="28" w16cid:durableId="2095586316">
    <w:abstractNumId w:val="2"/>
  </w:num>
  <w:num w:numId="29" w16cid:durableId="178588759">
    <w:abstractNumId w:val="1"/>
  </w:num>
  <w:num w:numId="30" w16cid:durableId="53628466">
    <w:abstractNumId w:val="0"/>
  </w:num>
  <w:num w:numId="31" w16cid:durableId="468936532">
    <w:abstractNumId w:val="9"/>
  </w:num>
  <w:num w:numId="32" w16cid:durableId="361247372">
    <w:abstractNumId w:val="7"/>
  </w:num>
  <w:num w:numId="33" w16cid:durableId="36241690">
    <w:abstractNumId w:val="6"/>
  </w:num>
  <w:num w:numId="34" w16cid:durableId="1773040711">
    <w:abstractNumId w:val="5"/>
  </w:num>
  <w:num w:numId="35" w16cid:durableId="379717279">
    <w:abstractNumId w:val="4"/>
  </w:num>
  <w:num w:numId="36" w16cid:durableId="1429889812">
    <w:abstractNumId w:val="8"/>
  </w:num>
  <w:num w:numId="37" w16cid:durableId="1607536269">
    <w:abstractNumId w:val="3"/>
  </w:num>
  <w:num w:numId="38" w16cid:durableId="2083680272">
    <w:abstractNumId w:val="2"/>
  </w:num>
  <w:num w:numId="39" w16cid:durableId="1497762410">
    <w:abstractNumId w:val="1"/>
  </w:num>
  <w:num w:numId="40" w16cid:durableId="108277492">
    <w:abstractNumId w:val="0"/>
  </w:num>
  <w:num w:numId="41" w16cid:durableId="1050763265">
    <w:abstractNumId w:val="10"/>
  </w:num>
  <w:num w:numId="42" w16cid:durableId="81950151">
    <w:abstractNumId w:val="10"/>
  </w:num>
  <w:num w:numId="43" w16cid:durableId="669329731">
    <w:abstractNumId w:val="10"/>
  </w:num>
  <w:num w:numId="44" w16cid:durableId="794506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60/2026"/>
    <w:docVar w:name="dvlangue" w:val="PT"/>
    <w:docVar w:name="dvnumam" w:val="0"/>
    <w:docVar w:name="dvpe" w:val="782.015"/>
    <w:docVar w:name="dvtitre" w:val="Resolução do Parlamento Europeu, de ... de ... de 2026,_x000d__x000a_ solicitando o parecer do Tribunal de Justiça sobre a compatibilidade com os Tratados do Acordo de Parceria proposto entre a União Europeia e os seus Estados-Membros, por um lado, e o Mercado Comum do Sul, a República Argentina, a República Federativa do Brasil, a República do Paraguai e a República Oriental do Uruguai, por outro, e do Acordo Provisório sobre comércio proposto entre a União Europeia, por um lado, e o Mercado Comum do Sul, a República Argentina, a República Federativa do Brasil, a República do Paraguai e a República Oriental do Uruguai, por outro(2026/2560(RSP))"/>
  </w:docVars>
  <w:rsids>
    <w:rsidRoot w:val="00476C28"/>
    <w:rsid w:val="00002272"/>
    <w:rsid w:val="00053509"/>
    <w:rsid w:val="00056664"/>
    <w:rsid w:val="00064002"/>
    <w:rsid w:val="000677B9"/>
    <w:rsid w:val="000831BA"/>
    <w:rsid w:val="000A42CC"/>
    <w:rsid w:val="000E7DD9"/>
    <w:rsid w:val="0010095E"/>
    <w:rsid w:val="00125B37"/>
    <w:rsid w:val="00187494"/>
    <w:rsid w:val="001976F3"/>
    <w:rsid w:val="001F32AE"/>
    <w:rsid w:val="002767FF"/>
    <w:rsid w:val="002B18FE"/>
    <w:rsid w:val="002B5493"/>
    <w:rsid w:val="00343214"/>
    <w:rsid w:val="00361C00"/>
    <w:rsid w:val="00395FA1"/>
    <w:rsid w:val="003A0E88"/>
    <w:rsid w:val="003C2E5F"/>
    <w:rsid w:val="003D1CB6"/>
    <w:rsid w:val="003E15D4"/>
    <w:rsid w:val="00411CCE"/>
    <w:rsid w:val="0041666E"/>
    <w:rsid w:val="00421060"/>
    <w:rsid w:val="004255E8"/>
    <w:rsid w:val="00471C19"/>
    <w:rsid w:val="00476C28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3C8F"/>
    <w:rsid w:val="005C2568"/>
    <w:rsid w:val="005F1B17"/>
    <w:rsid w:val="006037C0"/>
    <w:rsid w:val="00636FCB"/>
    <w:rsid w:val="006631B6"/>
    <w:rsid w:val="00680577"/>
    <w:rsid w:val="006C219F"/>
    <w:rsid w:val="006F74FA"/>
    <w:rsid w:val="00731ADD"/>
    <w:rsid w:val="00734777"/>
    <w:rsid w:val="00747932"/>
    <w:rsid w:val="00751A4A"/>
    <w:rsid w:val="00754B13"/>
    <w:rsid w:val="00756632"/>
    <w:rsid w:val="00762C74"/>
    <w:rsid w:val="007853EE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404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43F2"/>
    <w:rsid w:val="00BB78EA"/>
    <w:rsid w:val="00BD48FE"/>
    <w:rsid w:val="00BD7BD8"/>
    <w:rsid w:val="00BE6ADC"/>
    <w:rsid w:val="00C05BFE"/>
    <w:rsid w:val="00C227F0"/>
    <w:rsid w:val="00C23CD4"/>
    <w:rsid w:val="00C61C0C"/>
    <w:rsid w:val="00C8082D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5AB9"/>
    <w:rsid w:val="00E365E1"/>
    <w:rsid w:val="00E820A4"/>
    <w:rsid w:val="00E91221"/>
    <w:rsid w:val="00EB006A"/>
    <w:rsid w:val="00EB4772"/>
    <w:rsid w:val="00ED169E"/>
    <w:rsid w:val="00ED23E0"/>
    <w:rsid w:val="00ED4235"/>
    <w:rsid w:val="00EF3AB2"/>
    <w:rsid w:val="00F04346"/>
    <w:rsid w:val="00F075DC"/>
    <w:rsid w:val="00F149E9"/>
    <w:rsid w:val="00F2784D"/>
    <w:rsid w:val="00F5134D"/>
    <w:rsid w:val="00F61ED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A16598"/>
  <w15:chartTrackingRefBased/>
  <w15:docId w15:val="{83ADB370-FE5B-4C93-B9E1-6E816745E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227F0"/>
    <w:pPr>
      <w:spacing w:before="480" w:after="240"/>
    </w:pPr>
  </w:style>
  <w:style w:type="paragraph" w:customStyle="1" w:styleId="NormalHanging12a">
    <w:name w:val="NormalHanging12a"/>
    <w:basedOn w:val="Normal"/>
    <w:rsid w:val="00C227F0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C227F0"/>
    <w:rPr>
      <w:color w:val="0563C1" w:themeColor="hyperlink"/>
      <w:u w:val="single"/>
    </w:rPr>
  </w:style>
  <w:style w:type="character" w:customStyle="1" w:styleId="hgkelc">
    <w:name w:val="hgkelc"/>
    <w:basedOn w:val="DefaultParagraphFont"/>
    <w:rsid w:val="00C227F0"/>
  </w:style>
  <w:style w:type="paragraph" w:styleId="Revision">
    <w:name w:val="Revision"/>
    <w:hidden/>
    <w:uiPriority w:val="99"/>
    <w:semiHidden/>
    <w:rsid w:val="00ED23E0"/>
    <w:rPr>
      <w:sz w:val="24"/>
      <w:lang w:val="pt-PT"/>
    </w:rPr>
  </w:style>
  <w:style w:type="character" w:styleId="CommentReference">
    <w:name w:val="annotation reference"/>
    <w:basedOn w:val="DefaultParagraphFont"/>
    <w:rsid w:val="00754B13"/>
    <w:rPr>
      <w:sz w:val="16"/>
      <w:szCs w:val="16"/>
    </w:rPr>
  </w:style>
  <w:style w:type="paragraph" w:styleId="CommentText">
    <w:name w:val="annotation text"/>
    <w:basedOn w:val="Normal"/>
    <w:link w:val="CommentTextChar"/>
    <w:rsid w:val="00754B1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54B13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754B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54B13"/>
    <w:rPr>
      <w:b/>
      <w:bCs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754B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10/11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2315</Words>
  <Characters>12146</Characters>
  <Application>Microsoft Office Word</Application>
  <DocSecurity>0</DocSecurity>
  <Lines>199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Teresa_RELEC</dc:creator>
  <cp:keywords/>
  <cp:lastModifiedBy>SEMEDO Teresa_RELEC</cp:lastModifiedBy>
  <cp:revision>2</cp:revision>
  <cp:lastPrinted>2004-11-19T15:42:00Z</cp:lastPrinted>
  <dcterms:created xsi:type="dcterms:W3CDTF">2026-01-21T16:06:00Z</dcterms:created>
  <dcterms:modified xsi:type="dcterms:W3CDTF">2026-01-21T16:06:00Z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B10-0060/2026</vt:lpwstr>
  </property>
  <property fmtid="{D5CDD505-2E9C-101B-9397-08002B2CF9AE}" pid="4" name="&lt;Type&gt;">
    <vt:lpwstr>RR</vt:lpwstr>
  </property>
</Properties>
</file>