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68B" w14:paraId="6E5BA842" w14:textId="77777777" w:rsidTr="0010095E">
        <w:trPr>
          <w:trHeight w:hRule="exact" w:val="1418"/>
        </w:trPr>
        <w:tc>
          <w:tcPr>
            <w:tcW w:w="6804" w:type="dxa"/>
            <w:shd w:val="clear" w:color="auto" w:fill="auto"/>
            <w:vAlign w:val="center"/>
          </w:tcPr>
          <w:p w14:paraId="1E4D33B7" w14:textId="77777777" w:rsidR="00751A4A" w:rsidRPr="0009368B" w:rsidRDefault="00375373" w:rsidP="0010095E">
            <w:pPr>
              <w:pStyle w:val="EPName"/>
            </w:pPr>
            <w:r w:rsidRPr="0009368B">
              <w:t>Europa-Parlamentet</w:t>
            </w:r>
          </w:p>
          <w:p w14:paraId="12C5B605" w14:textId="77777777" w:rsidR="00751A4A" w:rsidRPr="0009368B" w:rsidRDefault="005F1B17" w:rsidP="005F1B17">
            <w:pPr>
              <w:pStyle w:val="EPTerm"/>
              <w:rPr>
                <w:rStyle w:val="HideTWBExt"/>
                <w:noProof w:val="0"/>
                <w:vanish w:val="0"/>
                <w:color w:val="auto"/>
              </w:rPr>
            </w:pPr>
            <w:r w:rsidRPr="0009368B">
              <w:t>2024</w:t>
            </w:r>
            <w:r w:rsidR="00817416" w:rsidRPr="0009368B">
              <w:t>-202</w:t>
            </w:r>
            <w:r w:rsidRPr="0009368B">
              <w:t>9</w:t>
            </w:r>
          </w:p>
        </w:tc>
        <w:tc>
          <w:tcPr>
            <w:tcW w:w="2268" w:type="dxa"/>
            <w:shd w:val="clear" w:color="auto" w:fill="auto"/>
          </w:tcPr>
          <w:p w14:paraId="45E49CAE" w14:textId="77777777" w:rsidR="00751A4A" w:rsidRPr="0009368B" w:rsidRDefault="00187494" w:rsidP="0010095E">
            <w:pPr>
              <w:pStyle w:val="EPLogo"/>
            </w:pPr>
            <w:r w:rsidRPr="0009368B">
              <w:rPr>
                <w:noProof/>
                <w:lang w:eastAsia="ja-JP"/>
              </w:rPr>
              <w:drawing>
                <wp:inline distT="0" distB="0" distL="0" distR="0" wp14:anchorId="32A08239" wp14:editId="52B099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52DF24" w14:textId="77777777" w:rsidR="00D058B8" w:rsidRPr="0009368B" w:rsidRDefault="00D058B8" w:rsidP="004C5D52">
      <w:pPr>
        <w:pStyle w:val="LineTop"/>
      </w:pPr>
    </w:p>
    <w:p w14:paraId="7F4748F5" w14:textId="77777777" w:rsidR="00680577" w:rsidRPr="0009368B" w:rsidRDefault="00375373" w:rsidP="00680577">
      <w:pPr>
        <w:pStyle w:val="EPBodyTA1"/>
      </w:pPr>
      <w:r w:rsidRPr="0009368B">
        <w:t>VEDTAGNE TEKSTER</w:t>
      </w:r>
    </w:p>
    <w:p w14:paraId="6CC6D9E2" w14:textId="77777777" w:rsidR="00D058B8" w:rsidRPr="0009368B" w:rsidRDefault="00D058B8" w:rsidP="00D058B8">
      <w:pPr>
        <w:pStyle w:val="LineBottom"/>
      </w:pPr>
    </w:p>
    <w:p w14:paraId="23A1AF1C" w14:textId="412EC052" w:rsidR="00375373" w:rsidRPr="00130173" w:rsidRDefault="00375373" w:rsidP="00375373">
      <w:pPr>
        <w:pStyle w:val="ATHeading1"/>
      </w:pPr>
      <w:bookmarkStart w:id="0" w:name="TANumber"/>
      <w:r w:rsidRPr="00130173">
        <w:t>P10_TA(2026)00</w:t>
      </w:r>
      <w:r w:rsidR="00CA01CD">
        <w:t>12</w:t>
      </w:r>
      <w:bookmarkEnd w:id="0"/>
    </w:p>
    <w:p w14:paraId="0CC79054" w14:textId="14B74BC6" w:rsidR="00375373" w:rsidRPr="00130173" w:rsidRDefault="00C154D5" w:rsidP="00375373">
      <w:pPr>
        <w:pStyle w:val="ATHeading2"/>
      </w:pPr>
      <w:bookmarkStart w:id="1" w:name="title"/>
      <w:r w:rsidRPr="00130173">
        <w:t>G</w:t>
      </w:r>
      <w:r w:rsidR="00375373" w:rsidRPr="00130173">
        <w:t>ennemførelse</w:t>
      </w:r>
      <w:r w:rsidRPr="00130173">
        <w:t>n</w:t>
      </w:r>
      <w:r w:rsidR="00375373" w:rsidRPr="00130173">
        <w:t xml:space="preserve"> af den fælles udenrigs- og sikkerhedspolitik – årlig betænkning 2025</w:t>
      </w:r>
      <w:bookmarkEnd w:id="1"/>
    </w:p>
    <w:p w14:paraId="5EF8A11C" w14:textId="77777777" w:rsidR="00375373" w:rsidRPr="0009368B" w:rsidRDefault="00375373" w:rsidP="00375373">
      <w:pPr>
        <w:rPr>
          <w:i/>
          <w:vanish/>
        </w:rPr>
      </w:pPr>
      <w:r w:rsidRPr="0009368B">
        <w:rPr>
          <w:i/>
        </w:rPr>
        <w:fldChar w:fldCharType="begin"/>
      </w:r>
      <w:r w:rsidRPr="0009368B">
        <w:rPr>
          <w:i/>
        </w:rPr>
        <w:instrText xml:space="preserve"> TC"(</w:instrText>
      </w:r>
      <w:bookmarkStart w:id="2" w:name="DocNumber"/>
      <w:r w:rsidRPr="0009368B">
        <w:rPr>
          <w:i/>
        </w:rPr>
        <w:instrText>A10-0253/2025</w:instrText>
      </w:r>
      <w:bookmarkEnd w:id="2"/>
      <w:r w:rsidRPr="0009368B">
        <w:rPr>
          <w:i/>
        </w:rPr>
        <w:instrText xml:space="preserve"> - Ordfører: David McAllister)"\l3 \n&gt; \* MERGEFORMAT </w:instrText>
      </w:r>
      <w:r w:rsidRPr="0009368B">
        <w:rPr>
          <w:i/>
        </w:rPr>
        <w:fldChar w:fldCharType="end"/>
      </w:r>
    </w:p>
    <w:p w14:paraId="03498AAA" w14:textId="77777777" w:rsidR="00375373" w:rsidRPr="0009368B" w:rsidRDefault="00375373" w:rsidP="00375373">
      <w:pPr>
        <w:rPr>
          <w:vanish/>
        </w:rPr>
      </w:pPr>
      <w:bookmarkStart w:id="3" w:name="Commission"/>
      <w:r w:rsidRPr="0009368B">
        <w:rPr>
          <w:vanish/>
        </w:rPr>
        <w:t>Udenrigsudvalget</w:t>
      </w:r>
      <w:bookmarkEnd w:id="3"/>
    </w:p>
    <w:p w14:paraId="375946EB" w14:textId="77777777" w:rsidR="00375373" w:rsidRPr="0009368B" w:rsidRDefault="00375373" w:rsidP="00375373">
      <w:pPr>
        <w:rPr>
          <w:vanish/>
        </w:rPr>
      </w:pPr>
      <w:bookmarkStart w:id="4" w:name="PE"/>
      <w:r w:rsidRPr="0009368B">
        <w:rPr>
          <w:vanish/>
        </w:rPr>
        <w:t>PE776.921</w:t>
      </w:r>
      <w:bookmarkEnd w:id="4"/>
    </w:p>
    <w:p w14:paraId="770270D3" w14:textId="6FD4E74D" w:rsidR="00375373" w:rsidRPr="00130173" w:rsidRDefault="00375373" w:rsidP="00375373">
      <w:pPr>
        <w:pStyle w:val="ATHeading3"/>
      </w:pPr>
      <w:bookmarkStart w:id="5" w:name="Sujet"/>
      <w:r w:rsidRPr="00130173">
        <w:t xml:space="preserve">Europa-Parlamentets beslutning af </w:t>
      </w:r>
      <w:r w:rsidR="00C154D5" w:rsidRPr="00130173">
        <w:t>21</w:t>
      </w:r>
      <w:r w:rsidRPr="00130173">
        <w:t>. januar 2026 om gennemførelsen af den fælles udenrigs- og sikkerhedspolitik – årlig betænkning 2025</w:t>
      </w:r>
      <w:bookmarkEnd w:id="5"/>
      <w:r w:rsidRPr="00130173">
        <w:t xml:space="preserve"> </w:t>
      </w:r>
      <w:bookmarkStart w:id="6" w:name="References"/>
      <w:r w:rsidRPr="00130173">
        <w:t>(2025/2164(INI))</w:t>
      </w:r>
      <w:bookmarkEnd w:id="6"/>
    </w:p>
    <w:p w14:paraId="723702D1" w14:textId="77777777" w:rsidR="00FD32D1" w:rsidRPr="0009368B" w:rsidRDefault="00FD32D1" w:rsidP="00FD32D1">
      <w:pPr>
        <w:pStyle w:val="Normal12"/>
      </w:pPr>
      <w:r w:rsidRPr="0009368B">
        <w:rPr>
          <w:i/>
        </w:rPr>
        <w:t>Europa-Parlamentet</w:t>
      </w:r>
      <w:r w:rsidRPr="0009368B">
        <w:t>,</w:t>
      </w:r>
    </w:p>
    <w:p w14:paraId="43740190" w14:textId="77777777" w:rsidR="00FD32D1" w:rsidRPr="0009368B" w:rsidRDefault="00FD32D1" w:rsidP="00FD32D1">
      <w:pPr>
        <w:pStyle w:val="NormalHanging"/>
      </w:pPr>
      <w:r w:rsidRPr="0009368B">
        <w:t>–</w:t>
      </w:r>
      <w:r w:rsidRPr="0009368B">
        <w:tab/>
        <w:t>der henviser til traktaten om Den Europæiske Union (TEU), særlig artikel 14, 16, 21, 24, 36 og 41,</w:t>
      </w:r>
    </w:p>
    <w:p w14:paraId="546CD20B" w14:textId="77777777" w:rsidR="00FD32D1" w:rsidRDefault="00FD32D1" w:rsidP="00FD32D1">
      <w:pPr>
        <w:pStyle w:val="NormalHanging"/>
      </w:pPr>
      <w:r w:rsidRPr="0009368B">
        <w:t>–</w:t>
      </w:r>
      <w:r w:rsidRPr="0009368B">
        <w:tab/>
        <w:t>der henviser til rapporten af 25. juni 2025 fra Unionens højtstående repræsentant for udenrigsanliggender og sikkerhedspolitik med titlen "Common Foreign and Security Policy Report – Our Priorities in 2025" (Rapport om den fælles udenrigs- og sikkerhedspolitik – vores prioriteter i 2025),</w:t>
      </w:r>
    </w:p>
    <w:p w14:paraId="51F8B104" w14:textId="1A896591" w:rsidR="008205DE" w:rsidRPr="0009368B" w:rsidRDefault="008205DE" w:rsidP="00FD32D1">
      <w:pPr>
        <w:pStyle w:val="NormalHanging"/>
      </w:pPr>
      <w:r w:rsidRPr="008205DE">
        <w:t>–</w:t>
      </w:r>
      <w:r w:rsidRPr="008205DE">
        <w:tab/>
        <w:t>der henviser til Det Europæiske Råds konklusioner af 18. december 2025,</w:t>
      </w:r>
    </w:p>
    <w:p w14:paraId="6DC2DCF0" w14:textId="77777777" w:rsidR="00FD32D1" w:rsidRPr="0009368B" w:rsidRDefault="00FD32D1" w:rsidP="00FD32D1">
      <w:pPr>
        <w:pStyle w:val="NormalHanging"/>
      </w:pPr>
      <w:r w:rsidRPr="0009368B">
        <w:t>–</w:t>
      </w:r>
      <w:r w:rsidRPr="0009368B">
        <w:tab/>
        <w:t>der henviser til sin beslutning af 8. maj 2025 om tilbagevenden af ukrainske børn, som Rusland har tvangsforflyttet og deporteret</w:t>
      </w:r>
      <w:r w:rsidRPr="0009368B">
        <w:rPr>
          <w:rStyle w:val="FootnoteReference"/>
        </w:rPr>
        <w:footnoteReference w:id="1"/>
      </w:r>
      <w:r w:rsidRPr="0009368B">
        <w:t>,</w:t>
      </w:r>
    </w:p>
    <w:p w14:paraId="67A2E76F" w14:textId="77777777" w:rsidR="00FD32D1" w:rsidRPr="0009368B" w:rsidRDefault="00FD32D1" w:rsidP="00FD32D1">
      <w:pPr>
        <w:pStyle w:val="NormalHanging"/>
      </w:pPr>
      <w:r w:rsidRPr="0009368B">
        <w:t>–</w:t>
      </w:r>
      <w:r w:rsidRPr="0009368B">
        <w:tab/>
        <w:t>der henviser til sin beslutning af 9. juli 2025 om de menneskelige omkostninger ved Ruslands krig mod Ukraine og det presserende behov for at bringe den russiske aggression til ophør: situationen for ulovligt tilbageholdte civile og krigsfanger og den fortsatte bombning af civile</w:t>
      </w:r>
      <w:r w:rsidRPr="0009368B">
        <w:rPr>
          <w:rStyle w:val="FootnoteReference"/>
        </w:rPr>
        <w:footnoteReference w:id="2"/>
      </w:r>
      <w:r w:rsidRPr="0009368B">
        <w:t>,</w:t>
      </w:r>
    </w:p>
    <w:p w14:paraId="6F957E17" w14:textId="77777777" w:rsidR="00FD32D1" w:rsidRPr="0009368B" w:rsidRDefault="00FD32D1" w:rsidP="00FD32D1">
      <w:pPr>
        <w:pStyle w:val="NormalHanging"/>
      </w:pPr>
      <w:r w:rsidRPr="0009368B">
        <w:t>–</w:t>
      </w:r>
      <w:r w:rsidRPr="0009368B">
        <w:tab/>
        <w:t>der henviser til sin beslutning af 23. november 2022 om anerkendelse af Den Russiske Føderation som statssponsor for terrorisme</w:t>
      </w:r>
      <w:r w:rsidRPr="0009368B">
        <w:rPr>
          <w:rStyle w:val="FootnoteReference"/>
        </w:rPr>
        <w:footnoteReference w:id="3"/>
      </w:r>
      <w:r w:rsidRPr="0009368B">
        <w:t>,</w:t>
      </w:r>
    </w:p>
    <w:p w14:paraId="5513205B" w14:textId="77777777" w:rsidR="00FD32D1" w:rsidRPr="0009368B" w:rsidRDefault="00FD32D1" w:rsidP="00FD32D1">
      <w:pPr>
        <w:pStyle w:val="NormalHanging"/>
      </w:pPr>
      <w:r w:rsidRPr="0009368B">
        <w:t>–</w:t>
      </w:r>
      <w:r w:rsidRPr="0009368B">
        <w:tab/>
        <w:t>der henviser til FN's generalsekretærs bemærkninger af 22. september 2025 til Generalforsamlingen i anledning af FN's 80-årsdag,</w:t>
      </w:r>
    </w:p>
    <w:p w14:paraId="59CD2164" w14:textId="77777777" w:rsidR="00FD32D1" w:rsidRPr="0009368B" w:rsidRDefault="00FD32D1" w:rsidP="00FD32D1">
      <w:pPr>
        <w:pStyle w:val="NormalHanging"/>
      </w:pPr>
      <w:r w:rsidRPr="0009368B">
        <w:t>–</w:t>
      </w:r>
      <w:r w:rsidRPr="0009368B">
        <w:tab/>
        <w:t>der henviser til kommissionsformand Ursula von der Leyens tale om Unionens tilstand af 10. september 2025,</w:t>
      </w:r>
    </w:p>
    <w:p w14:paraId="2D86ED78" w14:textId="77777777" w:rsidR="00FD32D1" w:rsidRPr="0009368B" w:rsidRDefault="00FD32D1" w:rsidP="00FD32D1">
      <w:pPr>
        <w:pStyle w:val="NormalHanging"/>
      </w:pPr>
      <w:r w:rsidRPr="0009368B">
        <w:lastRenderedPageBreak/>
        <w:t xml:space="preserve">– </w:t>
      </w:r>
      <w:r w:rsidRPr="0009368B">
        <w:tab/>
        <w:t>der henviser til sin beslutning af 8. oktober 2025 om EU's politiske strategi for Latinamerika</w:t>
      </w:r>
      <w:r w:rsidRPr="0009368B">
        <w:rPr>
          <w:rStyle w:val="FootnoteReference"/>
        </w:rPr>
        <w:footnoteReference w:id="4"/>
      </w:r>
      <w:r w:rsidRPr="0009368B">
        <w:t>,</w:t>
      </w:r>
    </w:p>
    <w:p w14:paraId="2C50DCE7" w14:textId="77777777" w:rsidR="00FD32D1" w:rsidRPr="0009368B" w:rsidRDefault="00FD32D1" w:rsidP="00FD32D1">
      <w:pPr>
        <w:pStyle w:val="NormalHanging"/>
      </w:pPr>
      <w:r w:rsidRPr="0009368B">
        <w:t>–</w:t>
      </w:r>
      <w:r w:rsidRPr="0009368B">
        <w:tab/>
        <w:t>der henviser til EU's handlingsplan om ligestilling mellem kønnene og styrkelse af kvinders indflydelse og status i EU's optræden udadtil 2021-2025 (kønshandlingsplan III),</w:t>
      </w:r>
    </w:p>
    <w:p w14:paraId="35374842" w14:textId="77777777" w:rsidR="00FD32D1" w:rsidRPr="0009368B" w:rsidRDefault="00FD32D1" w:rsidP="00FD32D1">
      <w:pPr>
        <w:pStyle w:val="NormalHanging"/>
      </w:pPr>
      <w:r w:rsidRPr="0009368B">
        <w:t>–</w:t>
      </w:r>
      <w:r w:rsidRPr="0009368B">
        <w:tab/>
        <w:t>der henviser til erklæringen fra det tredje topmøde mellem EU og Sammenslutningen af Latinamerikanske og Caribiske Stater (CELAC), som blev vedtaget den 18. juli 2023,</w:t>
      </w:r>
    </w:p>
    <w:p w14:paraId="24DBEA9D" w14:textId="77777777" w:rsidR="00FD32D1" w:rsidRPr="0009368B" w:rsidRDefault="00FD32D1" w:rsidP="00FD32D1">
      <w:pPr>
        <w:pStyle w:val="NormalHanging"/>
        <w:ind w:left="567" w:hanging="567"/>
      </w:pPr>
      <w:r w:rsidRPr="0009368B">
        <w:t>–</w:t>
      </w:r>
      <w:r w:rsidRPr="0009368B">
        <w:tab/>
        <w:t>der henviser til den fælles erklæring af 9. november 2025 fra det fjerde topmøde mellem EU og CELAC,</w:t>
      </w:r>
    </w:p>
    <w:p w14:paraId="23C44C53" w14:textId="77777777" w:rsidR="00FD32D1" w:rsidRPr="0009368B" w:rsidRDefault="00FD32D1" w:rsidP="00FD32D1">
      <w:pPr>
        <w:pStyle w:val="NormalHanging"/>
      </w:pPr>
      <w:r w:rsidRPr="0009368B">
        <w:t>–</w:t>
      </w:r>
      <w:r w:rsidRPr="0009368B">
        <w:tab/>
        <w:t>der henviser til FN's havretskonvention,</w:t>
      </w:r>
    </w:p>
    <w:p w14:paraId="3CB0C3F9" w14:textId="77777777" w:rsidR="00FD32D1" w:rsidRPr="0009368B" w:rsidRDefault="00FD32D1" w:rsidP="00FD32D1">
      <w:pPr>
        <w:pStyle w:val="NormalHanging"/>
      </w:pPr>
      <w:r w:rsidRPr="0009368B">
        <w:t>–</w:t>
      </w:r>
      <w:r w:rsidRPr="0009368B">
        <w:tab/>
        <w:t>der henviser til NATO's strategiske koncept fra 2022, som blev vedtaget den 29. juni 2022,</w:t>
      </w:r>
    </w:p>
    <w:p w14:paraId="645B0DA8" w14:textId="77777777" w:rsidR="00FD32D1" w:rsidRPr="0009368B" w:rsidRDefault="00FD32D1" w:rsidP="00FD32D1">
      <w:pPr>
        <w:pStyle w:val="NormalHanging"/>
      </w:pPr>
      <w:r w:rsidRPr="0009368B">
        <w:t>–</w:t>
      </w:r>
      <w:r w:rsidRPr="0009368B">
        <w:tab/>
        <w:t>der henviser til erklæringen af 25. juni 2025 fra NATO-topmødet i Haag,</w:t>
      </w:r>
    </w:p>
    <w:p w14:paraId="1427DCF2" w14:textId="77777777" w:rsidR="00FD32D1" w:rsidRPr="0009368B" w:rsidRDefault="00FD32D1" w:rsidP="00FD32D1">
      <w:pPr>
        <w:pStyle w:val="NormalHanging"/>
      </w:pPr>
      <w:r w:rsidRPr="0009368B">
        <w:t>–</w:t>
      </w:r>
      <w:r w:rsidRPr="0009368B">
        <w:tab/>
        <w:t>der henviser til EU's retningslinjer vedrørende menneskerettighedsforkæmpere, som blev vedtaget i 2004, ajourført i 2008 og yderligere præciseret i 2020 med et vejledende notat om gennemførelsen heraf,</w:t>
      </w:r>
    </w:p>
    <w:p w14:paraId="5853ED81" w14:textId="77777777" w:rsidR="00FD32D1" w:rsidRPr="0009368B" w:rsidRDefault="00FD32D1" w:rsidP="00FD32D1">
      <w:pPr>
        <w:pStyle w:val="NormalHanging"/>
      </w:pPr>
      <w:r w:rsidRPr="0009368B">
        <w:t>–</w:t>
      </w:r>
      <w:r w:rsidRPr="0009368B">
        <w:tab/>
        <w:t>der henviser til sin beslutning af 23. januar 2025 om Ruslands desinformation og historieforfalskning med henblik på at retfærdiggøre landets angrebskrig mod Ukraine</w:t>
      </w:r>
      <w:r w:rsidRPr="0009368B">
        <w:rPr>
          <w:rStyle w:val="FootnoteReference"/>
        </w:rPr>
        <w:footnoteReference w:id="5"/>
      </w:r>
      <w:r w:rsidRPr="0009368B">
        <w:t>,</w:t>
      </w:r>
    </w:p>
    <w:p w14:paraId="26CB538B" w14:textId="77777777" w:rsidR="00FD32D1" w:rsidRPr="0009368B" w:rsidRDefault="00FD32D1" w:rsidP="00FD32D1">
      <w:pPr>
        <w:pStyle w:val="NormalHanging"/>
      </w:pPr>
      <w:r w:rsidRPr="0009368B">
        <w:t>–</w:t>
      </w:r>
      <w:r w:rsidRPr="0009368B">
        <w:tab/>
        <w:t>der henviser til De Forenede Nationers pagt af 26. juni 1945,</w:t>
      </w:r>
    </w:p>
    <w:p w14:paraId="6150C1A1" w14:textId="77777777" w:rsidR="00FD32D1" w:rsidRPr="0009368B" w:rsidRDefault="00FD32D1" w:rsidP="00FD32D1">
      <w:pPr>
        <w:pStyle w:val="NormalHanging"/>
      </w:pPr>
      <w:r w:rsidRPr="0009368B">
        <w:t>–</w:t>
      </w:r>
      <w:r w:rsidRPr="0009368B">
        <w:tab/>
        <w:t>der henviser til Romstatutten for den Internationale Straffedomstol af 17. juli 1998,</w:t>
      </w:r>
    </w:p>
    <w:p w14:paraId="722117ED" w14:textId="77777777" w:rsidR="00FD32D1" w:rsidRPr="0009368B" w:rsidRDefault="00FD32D1" w:rsidP="00FD32D1">
      <w:pPr>
        <w:pStyle w:val="NormalHanging"/>
      </w:pPr>
      <w:r w:rsidRPr="0009368B">
        <w:t>–</w:t>
      </w:r>
      <w:r w:rsidRPr="0009368B">
        <w:tab/>
        <w:t>der henviser til den interinstitutionelle aftale af 20. november 2002 mellem Europa-Parlamentet og Rådet om Europa-Parlamentets adgang til Rådets følsomme oplysninger på det sikkerheds- og forsvarspolitiske område</w:t>
      </w:r>
      <w:r w:rsidRPr="0009368B">
        <w:rPr>
          <w:rStyle w:val="FootnoteReference"/>
        </w:rPr>
        <w:footnoteReference w:id="6"/>
      </w:r>
      <w:r w:rsidRPr="0009368B">
        <w:t>,</w:t>
      </w:r>
    </w:p>
    <w:p w14:paraId="7A9FC226" w14:textId="77777777" w:rsidR="00FD32D1" w:rsidRPr="0009368B" w:rsidRDefault="00FD32D1" w:rsidP="00FD32D1">
      <w:pPr>
        <w:pStyle w:val="NormalHanging"/>
      </w:pPr>
      <w:r w:rsidRPr="0009368B">
        <w:t>–</w:t>
      </w:r>
      <w:r w:rsidRPr="0009368B">
        <w:tab/>
        <w:t>der henviser til sine tidligere beslutninger om krænkelser af menneskerettighederne, demokratiet og retsstatsprincippet, som er vedtaget i henhold til forretningsordenens artikel 150,</w:t>
      </w:r>
    </w:p>
    <w:p w14:paraId="5DE8311A" w14:textId="77777777" w:rsidR="00FD32D1" w:rsidRPr="0009368B" w:rsidRDefault="00FD32D1" w:rsidP="00FD32D1">
      <w:pPr>
        <w:pStyle w:val="NormalHanging"/>
      </w:pPr>
      <w:r w:rsidRPr="0009368B">
        <w:t>–</w:t>
      </w:r>
      <w:r w:rsidRPr="0009368B">
        <w:tab/>
        <w:t>der henviser til Sauli Niinistös rapport af 30. oktober 2024 med titlen "Safer Together – Strengthening Europe's Civilian and Military Preparedness and Readiness" (Stærkere sammen – styrkelse af Europas civile og militære beredskab og parathed),</w:t>
      </w:r>
    </w:p>
    <w:p w14:paraId="2FB091AE" w14:textId="77777777" w:rsidR="00FD32D1" w:rsidRPr="0009368B" w:rsidRDefault="00FD32D1" w:rsidP="00FD32D1">
      <w:pPr>
        <w:pStyle w:val="NormalHanging"/>
      </w:pPr>
      <w:r w:rsidRPr="0009368B">
        <w:t>–</w:t>
      </w:r>
      <w:r w:rsidRPr="0009368B">
        <w:tab/>
        <w:t>der henviser til sin beslutning af 17. januar 2024 om sikkerheds- og forsvarsmæssige konsekvenser af Kinas indflydelse på kritisk infrastruktur i Den Europæiske Union</w:t>
      </w:r>
      <w:r w:rsidRPr="0009368B">
        <w:rPr>
          <w:rStyle w:val="FootnoteReference"/>
        </w:rPr>
        <w:footnoteReference w:id="7"/>
      </w:r>
      <w:r w:rsidRPr="0009368B">
        <w:t>,</w:t>
      </w:r>
    </w:p>
    <w:p w14:paraId="23D194E2" w14:textId="77777777" w:rsidR="00FD32D1" w:rsidRPr="0009368B" w:rsidRDefault="00FD32D1" w:rsidP="00FD32D1">
      <w:pPr>
        <w:pStyle w:val="NormalHanging"/>
      </w:pPr>
      <w:r w:rsidRPr="0009368B">
        <w:t>–</w:t>
      </w:r>
      <w:r w:rsidRPr="0009368B">
        <w:tab/>
        <w:t xml:space="preserve">der henviser til sin beslutning af 24. oktober 2024 om Folkerepublikken Kinas fejlagtige fortolkning af FN-resolution 2758 og landets fortsatte militære provokationer omkring </w:t>
      </w:r>
      <w:r w:rsidRPr="0009368B">
        <w:lastRenderedPageBreak/>
        <w:t>Taiwan</w:t>
      </w:r>
      <w:r w:rsidRPr="0009368B">
        <w:rPr>
          <w:rStyle w:val="FootnoteReference"/>
        </w:rPr>
        <w:footnoteReference w:id="8"/>
      </w:r>
      <w:r w:rsidRPr="0009368B">
        <w:t>,</w:t>
      </w:r>
    </w:p>
    <w:p w14:paraId="3A495F52" w14:textId="77777777" w:rsidR="00FD32D1" w:rsidRPr="0009368B" w:rsidRDefault="00FD32D1" w:rsidP="00FD32D1">
      <w:pPr>
        <w:pStyle w:val="NormalHanging"/>
      </w:pPr>
      <w:r w:rsidRPr="0009368B">
        <w:t xml:space="preserve">– </w:t>
      </w:r>
      <w:r w:rsidRPr="0009368B">
        <w:tab/>
        <w:t>der henviser til sin beslutning af 9. september 2025 om udkast til Rådets afgørelse om indgåelse på Den Europæiske Unions vegne af den udvidede partnerskabs- og samarbejdsaftale mellem Den Europæiske Union og dens medlemsstater på den ene side og Den Kirgisiske Republik på den anden side</w:t>
      </w:r>
      <w:r w:rsidRPr="0009368B">
        <w:rPr>
          <w:rStyle w:val="FootnoteReference"/>
        </w:rPr>
        <w:footnoteReference w:id="9"/>
      </w:r>
      <w:r w:rsidRPr="0009368B">
        <w:t>,</w:t>
      </w:r>
    </w:p>
    <w:p w14:paraId="2BDA8FA0" w14:textId="77777777" w:rsidR="00FD32D1" w:rsidRPr="0009368B" w:rsidRDefault="00FD32D1" w:rsidP="00FD32D1">
      <w:pPr>
        <w:pStyle w:val="NormalHanging"/>
      </w:pPr>
      <w:r w:rsidRPr="0009368B">
        <w:t xml:space="preserve">– </w:t>
      </w:r>
      <w:r w:rsidRPr="0009368B">
        <w:tab/>
        <w:t>der henviser til sin beslutning af 28. februar 2024 om gennemførelsen af den fælles udenrigs- og sikkerhedspolitik – årlig betænkning 2023</w:t>
      </w:r>
      <w:r w:rsidRPr="0009368B">
        <w:rPr>
          <w:rStyle w:val="FootnoteReference"/>
        </w:rPr>
        <w:footnoteReference w:id="10"/>
      </w:r>
      <w:r w:rsidRPr="0009368B">
        <w:t>,</w:t>
      </w:r>
    </w:p>
    <w:p w14:paraId="7AC4C7DC" w14:textId="77777777" w:rsidR="00FD32D1" w:rsidRPr="0009368B" w:rsidRDefault="00FD32D1" w:rsidP="00FD32D1">
      <w:pPr>
        <w:pStyle w:val="NormalHanging"/>
      </w:pPr>
      <w:r w:rsidRPr="0009368B">
        <w:t xml:space="preserve">– </w:t>
      </w:r>
      <w:r w:rsidRPr="0009368B">
        <w:tab/>
        <w:t>der henviser til den fælles erklæring fra topmødet mellem EU's og Det Forenede Kongeriges ledere den 19. maj 2025,</w:t>
      </w:r>
    </w:p>
    <w:p w14:paraId="6A3441D9" w14:textId="77777777" w:rsidR="00FD32D1" w:rsidRPr="0009368B" w:rsidRDefault="00FD32D1" w:rsidP="00FD32D1">
      <w:pPr>
        <w:pStyle w:val="NormalHanging"/>
      </w:pPr>
      <w:r w:rsidRPr="0009368B">
        <w:t xml:space="preserve">– </w:t>
      </w:r>
      <w:r w:rsidRPr="0009368B">
        <w:tab/>
        <w:t>der henviser til den fælles erklæring af 4. april 2025 efter det første topmøde mellem EU og Centralasien,</w:t>
      </w:r>
    </w:p>
    <w:p w14:paraId="71CF16A4" w14:textId="77777777" w:rsidR="00FD32D1" w:rsidRDefault="00FD32D1" w:rsidP="00FD32D1">
      <w:pPr>
        <w:pStyle w:val="NormalHanging"/>
      </w:pPr>
      <w:r w:rsidRPr="0009368B">
        <w:t xml:space="preserve">– </w:t>
      </w:r>
      <w:r w:rsidRPr="0009368B">
        <w:tab/>
        <w:t>der henviser til Kirunaerklæringen af 15. maj 2013,</w:t>
      </w:r>
    </w:p>
    <w:p w14:paraId="17E6E92D" w14:textId="71CCDFE1" w:rsidR="008205DE" w:rsidRDefault="008205DE" w:rsidP="00FD32D1">
      <w:pPr>
        <w:pStyle w:val="NormalHanging"/>
      </w:pPr>
      <w:r w:rsidRPr="008205DE">
        <w:t>–</w:t>
      </w:r>
      <w:r w:rsidRPr="008205DE">
        <w:tab/>
        <w:t>der henviser til USA's nationale sikkerhedsstrategi, som blev offentliggjort i december 2025,</w:t>
      </w:r>
    </w:p>
    <w:p w14:paraId="32464A2F" w14:textId="525BDC22" w:rsidR="008205DE" w:rsidRPr="0009368B" w:rsidRDefault="008205DE" w:rsidP="00FD32D1">
      <w:pPr>
        <w:pStyle w:val="NormalHanging"/>
      </w:pPr>
      <w:r w:rsidRPr="008205DE">
        <w:t>–</w:t>
      </w:r>
      <w:r w:rsidRPr="008205DE">
        <w:tab/>
        <w:t>der henviser til Rådets forordning (EU) 2025/2600 af 12. december 2025 om hasteforanstaltninger til afhjælpning af de alvorlige økonomiske vanskeligheder, som Ruslands handlinger har forårsaget i forbindelse med angrebskrigen mod Ukraine</w:t>
      </w:r>
      <w:r>
        <w:rPr>
          <w:rStyle w:val="FootnoteReference"/>
        </w:rPr>
        <w:footnoteReference w:id="11"/>
      </w:r>
      <w:r w:rsidRPr="008205DE">
        <w:t>,</w:t>
      </w:r>
    </w:p>
    <w:p w14:paraId="30A4989A" w14:textId="77777777" w:rsidR="00FD32D1" w:rsidRPr="0009368B" w:rsidRDefault="00FD32D1" w:rsidP="00FD32D1">
      <w:pPr>
        <w:pStyle w:val="NormalHanging"/>
      </w:pPr>
      <w:r w:rsidRPr="0009368B">
        <w:t xml:space="preserve">– </w:t>
      </w:r>
      <w:r w:rsidRPr="0009368B">
        <w:tab/>
        <w:t>der henviser til FN's Sikkerhedsråds resolution 1325 (2000) om kvinder, fred og sikkerhed,</w:t>
      </w:r>
    </w:p>
    <w:p w14:paraId="357F0BB6" w14:textId="77777777" w:rsidR="00FD32D1" w:rsidRPr="0009368B" w:rsidRDefault="00FD32D1" w:rsidP="00FD32D1">
      <w:pPr>
        <w:pStyle w:val="NormalHanging"/>
      </w:pPr>
      <w:r w:rsidRPr="0009368B">
        <w:t xml:space="preserve">– </w:t>
      </w:r>
      <w:r w:rsidRPr="0009368B">
        <w:tab/>
        <w:t>der henviser til sin beslutning af 27. november 2025 om EU's holdning til den foreslåede plan og EU's engagement i at opnå en retfærdig og varig fred for Ukraine</w:t>
      </w:r>
      <w:r w:rsidRPr="0009368B">
        <w:rPr>
          <w:rStyle w:val="FootnoteReference"/>
        </w:rPr>
        <w:footnoteReference w:id="12"/>
      </w:r>
      <w:r w:rsidRPr="0009368B">
        <w:t>,</w:t>
      </w:r>
    </w:p>
    <w:p w14:paraId="65F10EB2" w14:textId="77777777" w:rsidR="00FD32D1" w:rsidRPr="0009368B" w:rsidRDefault="00FD32D1" w:rsidP="00FD32D1">
      <w:pPr>
        <w:pStyle w:val="NormalHanging"/>
      </w:pPr>
      <w:r w:rsidRPr="0009368B">
        <w:t>–</w:t>
      </w:r>
      <w:r w:rsidRPr="0009368B">
        <w:tab/>
        <w:t>der henviser til sin beslutning af 11. september 2025 om Gaza på bristepunktet: EU-indsats for at bekæmpe hungersnøden, det akutte behov for at løslade gidslerne og bevæge sig hen imod en tostatsløsning</w:t>
      </w:r>
      <w:r w:rsidRPr="0009368B">
        <w:rPr>
          <w:rStyle w:val="FootnoteReference"/>
        </w:rPr>
        <w:footnoteReference w:id="13"/>
      </w:r>
      <w:r w:rsidRPr="0009368B">
        <w:t>,</w:t>
      </w:r>
    </w:p>
    <w:p w14:paraId="6BCDAABD" w14:textId="77777777" w:rsidR="00FD32D1" w:rsidRPr="0009368B" w:rsidRDefault="00FD32D1" w:rsidP="00FD32D1">
      <w:pPr>
        <w:pStyle w:val="NormalHanging"/>
      </w:pPr>
      <w:r w:rsidRPr="0009368B">
        <w:t>–</w:t>
      </w:r>
      <w:r w:rsidRPr="0009368B">
        <w:tab/>
        <w:t>der henviser til FN's Sikkerhedsråds resolution 2803 (2025), hvori Sikkerhedsrådet hilser den omfattende plan for at bringe Gazakonflikten til ophør velkommen,</w:t>
      </w:r>
    </w:p>
    <w:p w14:paraId="4C1BF9F6" w14:textId="77777777" w:rsidR="00FD32D1" w:rsidRPr="0009368B" w:rsidRDefault="00FD32D1" w:rsidP="00FD32D1">
      <w:pPr>
        <w:pStyle w:val="NormalHanging"/>
      </w:pPr>
      <w:r w:rsidRPr="0009368B">
        <w:t>–</w:t>
      </w:r>
      <w:r w:rsidRPr="0009368B">
        <w:tab/>
        <w:t>der henviser til forretningsordenens artikel 55,</w:t>
      </w:r>
    </w:p>
    <w:p w14:paraId="68514262" w14:textId="77777777" w:rsidR="00FD32D1" w:rsidRPr="0009368B" w:rsidRDefault="00FD32D1" w:rsidP="00FD32D1">
      <w:pPr>
        <w:pStyle w:val="NormalHanging"/>
      </w:pPr>
      <w:r w:rsidRPr="0009368B">
        <w:t>–</w:t>
      </w:r>
      <w:r w:rsidRPr="0009368B">
        <w:tab/>
        <w:t>der henviser til betænkning fra Udenrigsudvalget (A10-0253/2025),</w:t>
      </w:r>
    </w:p>
    <w:p w14:paraId="106C98A6" w14:textId="77777777" w:rsidR="00FD32D1" w:rsidRPr="0009368B" w:rsidRDefault="00FD32D1" w:rsidP="00FD32D1">
      <w:pPr>
        <w:pStyle w:val="NormalHanging"/>
      </w:pPr>
      <w:r w:rsidRPr="0009368B">
        <w:t>A.</w:t>
      </w:r>
      <w:r w:rsidRPr="0009368B">
        <w:tab/>
        <w:t xml:space="preserve">der henviser til, at EU's fælles udenrigs- og sikkerhedspolitik (FUSP) bør bevare fred, styrke den internationale sikkerhed og fremme internationalt samarbejde og dermed tjene Europas strategiske interesser som fastsat i artikel 21 i TEU ved at beskytte Unionens sikkerhed og alle medlemsstaternes interesser, herunder gennem troværdig </w:t>
      </w:r>
      <w:r w:rsidRPr="0009368B">
        <w:lastRenderedPageBreak/>
        <w:t>afskrækkelse; der henviser til, at disse mål skal forfølges, samtidig med at demokratiet, retsstatsprincippet og respekten for menneskerettighederne, herunder kvinders og mindretals rettigheder, fremmes;</w:t>
      </w:r>
    </w:p>
    <w:p w14:paraId="3128D320" w14:textId="77777777" w:rsidR="00FD32D1" w:rsidRPr="0009368B" w:rsidRDefault="00FD32D1" w:rsidP="00FD32D1">
      <w:pPr>
        <w:pStyle w:val="NormalHanging"/>
      </w:pPr>
      <w:r w:rsidRPr="0009368B">
        <w:t>B.</w:t>
      </w:r>
      <w:r w:rsidRPr="0009368B">
        <w:tab/>
        <w:t>der henviser til, at krige og væbnede konflikter, herunder direkte konfrontationer og stigende spændinger samt hybride angreb, har påvirket næsten alle kontinenter i løbet af det seneste år; der henviser til, at den tiltagende geopolitiske og økonomiske konfrontation er en faktor, der bidrager til genoptrapning af fastlåste konflikter og udbrud af nye konflikter; der henviser til, at de internationale organisationer, der er oprettet for at forebygge, at sådanne spændinger opstår, er stødt på udfordringer i deres bestræbelser på at opfylde deres mandater, hvilket gør en reform af dem presserende og absolut nødvendig og kræver større kollektivt engagement blandt demokratierne i at styrke forsvaret;</w:t>
      </w:r>
    </w:p>
    <w:p w14:paraId="06383CA8" w14:textId="0AC9FB4E" w:rsidR="00FD32D1" w:rsidRPr="0009368B" w:rsidRDefault="00FD32D1" w:rsidP="00FD32D1">
      <w:pPr>
        <w:pStyle w:val="NormalHanging"/>
      </w:pPr>
      <w:r w:rsidRPr="0009368B">
        <w:t>C.</w:t>
      </w:r>
      <w:r w:rsidRPr="0009368B">
        <w:tab/>
        <w:t>der henviser til, at der er et presserende behov for fortsat at forsvare og styrke den regelbaserede internationale orden og dens institutioner, de universelle normer, værdier og principper i FN-pagten såsom menneskerettighederne og international retspleje, multilateralisme og Helsingforsslutakten, navnlig hvad angår ikke-krænkelse af internationale grænser</w:t>
      </w:r>
      <w:r w:rsidR="00783590">
        <w:t xml:space="preserve"> </w:t>
      </w:r>
      <w:r w:rsidR="00783590" w:rsidRPr="00783590">
        <w:t>og forbud mod magtanvendelse</w:t>
      </w:r>
      <w:r w:rsidRPr="0009368B">
        <w:t>; der henviser til, at EU i sagens natur er fortaler for den multilaterale indbyrdes afhængighed mellem de forskellige institutionelle aktører;</w:t>
      </w:r>
    </w:p>
    <w:p w14:paraId="367BBE31" w14:textId="77777777" w:rsidR="00FD32D1" w:rsidRPr="0009368B" w:rsidRDefault="00FD32D1" w:rsidP="00FD32D1">
      <w:pPr>
        <w:pStyle w:val="NormalHanging"/>
      </w:pPr>
      <w:r w:rsidRPr="0009368B">
        <w:t>D.</w:t>
      </w:r>
      <w:r w:rsidRPr="0009368B">
        <w:tab/>
        <w:t>der henviser til, at visse gamle og andre nye stormagter udviser kompleks adfærd, der varierer fra nært samarbejde til sektorbaseret konfrontation og tvang; der henviser til, at Rusland, som fører en ulovlig og uprovokeret angrebskrig mod Ukraine, spiller en ledende rolle med hensyn til at undergrave den regelbaserede internationale orden; der henviser til, at Rusland bevidst trækker sin ulovlige angrebskrig mod Ukraine ud med det formål at udmatte Ukraine og destabilisere EU og NATO; der henviser til, at beskyttelsen af hele EU's østlige flanke er afgørende for hele EU's stabilitet, sikkerhed og modstandsdygtighed; der henviser til, at det aktuelle fragmenterede geopolitiske klima tvinger EU til at tilpasse sig og bedre forsvare sine egne og sine medlemsstaters interesser;</w:t>
      </w:r>
    </w:p>
    <w:p w14:paraId="443C2A61" w14:textId="77777777" w:rsidR="00FD32D1" w:rsidRDefault="00FD32D1" w:rsidP="00FD32D1">
      <w:pPr>
        <w:pStyle w:val="NormalHanging"/>
      </w:pPr>
      <w:r w:rsidRPr="0009368B">
        <w:t xml:space="preserve">E. </w:t>
      </w:r>
      <w:r w:rsidRPr="0009368B">
        <w:tab/>
        <w:t>der henviser til, at EU samarbejder med transatlantiske partnere og ligesindede lande for at styrke sin økonomiske sikkerhed;</w:t>
      </w:r>
    </w:p>
    <w:p w14:paraId="6C538B75" w14:textId="4CCC1665" w:rsidR="00783590" w:rsidRPr="0009368B" w:rsidRDefault="008A6E73" w:rsidP="00FD32D1">
      <w:pPr>
        <w:pStyle w:val="NormalHanging"/>
      </w:pPr>
      <w:r>
        <w:t>F</w:t>
      </w:r>
      <w:r w:rsidR="00783590" w:rsidRPr="00783590">
        <w:t>.</w:t>
      </w:r>
      <w:r w:rsidR="00783590" w:rsidRPr="00783590">
        <w:tab/>
        <w:t>der henviser til, at Dayton Paris-fredsaftalerne bragte den ødelæggende krig i Bosnien-Hercegovina til ophør for 30 år siden; der henviser til, at en fuldstændig gennemførelse af aftalens principper er altafgørende;</w:t>
      </w:r>
    </w:p>
    <w:p w14:paraId="53329724" w14:textId="072AEA19" w:rsidR="00FD32D1" w:rsidRPr="0009368B" w:rsidRDefault="008A6E73" w:rsidP="00FD32D1">
      <w:pPr>
        <w:pStyle w:val="NormalHanging"/>
      </w:pPr>
      <w:r>
        <w:t>G</w:t>
      </w:r>
      <w:r w:rsidR="00FD32D1" w:rsidRPr="0009368B">
        <w:t>.</w:t>
      </w:r>
      <w:r w:rsidR="00FD32D1" w:rsidRPr="0009368B">
        <w:tab/>
        <w:t>der henviser til, at EU og Det Forenede Kongerige i deres fælles erklæring af 19. maj 2025 påtager sig en fælles forpligtelse til at opretholde stabilitet på Vestbalkan; der henviser til, at EU og Det Forenede Kongerige bør fastlægge konkrete samarbejdsområder i regionen, navnlig for at sikre overholdelse af magtfordelingsprincippet i Dayton-Paris-fredsaftalen;</w:t>
      </w:r>
    </w:p>
    <w:p w14:paraId="56DD19FE" w14:textId="14637D41" w:rsidR="00FD32D1" w:rsidRPr="0009368B" w:rsidRDefault="008A6E73" w:rsidP="00FD32D1">
      <w:pPr>
        <w:pStyle w:val="NormalHanging"/>
      </w:pPr>
      <w:r>
        <w:t>H</w:t>
      </w:r>
      <w:r w:rsidR="00FD32D1" w:rsidRPr="0009368B">
        <w:t>.</w:t>
      </w:r>
      <w:r w:rsidR="00FD32D1" w:rsidRPr="0009368B">
        <w:tab/>
        <w:t xml:space="preserve">der henviser til, at visse internationale aktører, først og fremmest autoritære stater, bringer den europæiske sikkerhed og stabilitet i fare ved at anvende en lang række hybride taktikker, navnlig sabotage mod kritisk infrastruktur og indblanding i vores samfunds demokratiske funktion samt fuldt udviklede sikkerhedstrusler såsom droneindtrængninger og angreb på jernbanenettene; der henviser til, at imødegåelsen af sådanne trusler udgør en del af EU's FUSP, hvilket nødvendiggør et troværdigt </w:t>
      </w:r>
      <w:r w:rsidR="00FD32D1" w:rsidRPr="0009368B">
        <w:lastRenderedPageBreak/>
        <w:t>informationssystem til førstehåndsefterretninger om eksterne trusler, der bidrager til EU's evne til at reagere hurtigt og effektivt samt til at beskytte sine interesser uden for EU;</w:t>
      </w:r>
    </w:p>
    <w:p w14:paraId="7B3AFDE9" w14:textId="47C8D49E" w:rsidR="00FD32D1" w:rsidRPr="0009368B" w:rsidRDefault="008A6E73" w:rsidP="00FD32D1">
      <w:pPr>
        <w:pStyle w:val="NormalHanging"/>
      </w:pPr>
      <w:r>
        <w:t>I</w:t>
      </w:r>
      <w:r w:rsidR="00FD32D1" w:rsidRPr="0009368B">
        <w:t>.</w:t>
      </w:r>
      <w:r w:rsidR="00FD32D1" w:rsidRPr="0009368B">
        <w:tab/>
        <w:t>der henviser til, at udvidelse udgør en geostrategisk investering i fred, demokrati, stabilitet, sikkerhed, klimabeskyttelse og velstand på lang sigt på hele kontinentet, navnlig i lyset af Ruslands angrebskrig mod Ukraine; der henviser til, at forberedelsen til udvidelse kræver interne EU-reformer, og til, at EU bør gennemføre udvidelsesprocessen sideløbende med de institutionelle reformer og beslutningstagningsreformer, der er nødvendige for at sikre EU's kapacitet til at integrere nye medlemsstater; der henviser til, at en troværdig udvidelsespolitik styrker EU's geopolitiske indflydelse og modstandsdygtighed; der henviser til, at overholdelse af Unionens grundlæggende principper og respekt for folkeretten er en forudsætning for tiltrædelse af EU;</w:t>
      </w:r>
    </w:p>
    <w:p w14:paraId="212BCF47" w14:textId="7E919F77" w:rsidR="00FD32D1" w:rsidRPr="0009368B" w:rsidRDefault="008A6E73" w:rsidP="00FD32D1">
      <w:pPr>
        <w:pStyle w:val="NormalHanging"/>
      </w:pPr>
      <w:r>
        <w:t>J</w:t>
      </w:r>
      <w:r w:rsidR="00FD32D1" w:rsidRPr="0009368B">
        <w:t xml:space="preserve">. </w:t>
      </w:r>
      <w:r w:rsidR="00FD32D1" w:rsidRPr="0009368B">
        <w:tab/>
        <w:t>der henviser til, at EU fortsat fremmer sit eget, selvstændige europæiske diplomati på alle områder, herunder offentligt, kulturelt, økonomisk, klimarelateret, AI-relateret, digitalt og cyberrelateret diplomati; der henviser til, at det er et afgørende skridt i den henseende at få skabt en EU-Udenrigstjeneste, der er formet af en fælles diplomatisk kultur, som næres af et altovervejende EU-perspektiv; der henviser til, at Den Europæiske Unions diplomatakademi bidrager til dette mål;</w:t>
      </w:r>
    </w:p>
    <w:p w14:paraId="28BBA58B" w14:textId="339F91EA" w:rsidR="00FD32D1" w:rsidRDefault="008A6E73" w:rsidP="00FD32D1">
      <w:pPr>
        <w:pStyle w:val="NormalHanging"/>
      </w:pPr>
      <w:r>
        <w:t>K</w:t>
      </w:r>
      <w:r w:rsidR="00FD32D1" w:rsidRPr="0009368B">
        <w:t>.</w:t>
      </w:r>
      <w:r w:rsidR="00FD32D1" w:rsidRPr="0009368B">
        <w:tab/>
        <w:t>der henviser til, at EU prioriterer partnerskaber med ligesindede demokratier; der henviser til, at indgåelsen af nye globale partnerskaber er baseret på politisk due diligence for at undgå afhængighed, der gør EU eksponeret for tvang, og for at garantere, at samarbejdet ikke undergraver menneskerettighederne, bæredygtig udvikling eller EU's solidaritet; der henviser til, at sektorsamarbejde ikke må forfølges på bekostning af EU's grundlæggende værdier; der henviser til, at splittelser i EU eller den transatlantiske alliance såvel som i forholdet til vores strategiske partnere gør os alle svagere og gavner vores modstandere, rivaler og konkurrenter;</w:t>
      </w:r>
    </w:p>
    <w:p w14:paraId="2178233F" w14:textId="360C31D3" w:rsidR="00783590" w:rsidRPr="0009368B" w:rsidRDefault="008A6E73" w:rsidP="00FD32D1">
      <w:pPr>
        <w:pStyle w:val="NormalHanging"/>
      </w:pPr>
      <w:r>
        <w:t>L</w:t>
      </w:r>
      <w:r w:rsidR="00783590" w:rsidRPr="00783590">
        <w:t>.</w:t>
      </w:r>
      <w:r w:rsidR="00783590" w:rsidRPr="00783590">
        <w:tab/>
        <w:t xml:space="preserve">der henviser til, at USA's nationale sikkerhedsstrategi (NSS) af 4. december 2025 i forhold til 2021-udgaven afspejler et radikalt kursskifte i vægtningen, idet den </w:t>
      </w:r>
      <w:r w:rsidR="00D74638">
        <w:t xml:space="preserve">undlader at </w:t>
      </w:r>
      <w:r w:rsidR="00783590" w:rsidRPr="00783590">
        <w:t>foretage en materiel vurdering af de udfordringer, som aktører såsom Rusland og Kina udgør, og indeholder kritiske henvisninger til påståede demokratiske mangler i visse EU-medlemsstater; der henviser til, at NSS i vid udstrækning fremstiller den globale udvikling i relation til økonomiske og strategiske interesser, hvilket viser en mere transaktionsbaseret tilgang til traditionelle allierede og dermed sætter spørgsmålstegn ved de principper, der har understøttet USA's udenrigspolitik i årtier; der henviser til, at NSS blev hilst offentligt velkommen af Kremls talsmand og mødt med bekymring i flere EU</w:t>
      </w:r>
      <w:r w:rsidR="00D74638">
        <w:t>-</w:t>
      </w:r>
      <w:r w:rsidR="00783590" w:rsidRPr="00783590">
        <w:t>hovedstæder, hv</w:t>
      </w:r>
      <w:r w:rsidR="00D74638">
        <w:t xml:space="preserve">ilket </w:t>
      </w:r>
      <w:r w:rsidR="00783590" w:rsidRPr="00783590">
        <w:t>rejs</w:t>
      </w:r>
      <w:r w:rsidR="00D74638">
        <w:t xml:space="preserve">er </w:t>
      </w:r>
      <w:r w:rsidR="00783590" w:rsidRPr="00783590">
        <w:t>spørgsmål om dens indvirkning på den transatlantiske enhed og troværdigheden af kollektiv afskrækkelse;</w:t>
      </w:r>
    </w:p>
    <w:p w14:paraId="41CA9BAA" w14:textId="0CE02D85" w:rsidR="00FD32D1" w:rsidRPr="0009368B" w:rsidRDefault="008A6E73" w:rsidP="00FD32D1">
      <w:pPr>
        <w:pStyle w:val="NormalHanging"/>
      </w:pPr>
      <w:r>
        <w:t>M</w:t>
      </w:r>
      <w:r w:rsidR="00FD32D1" w:rsidRPr="0009368B">
        <w:t>.</w:t>
      </w:r>
      <w:r w:rsidR="00FD32D1" w:rsidRPr="0009368B">
        <w:tab/>
        <w:t>der henviser til, at de oversøiske lande og territorier (OCT'er), der er associeret med EU, har tætte forfatningsmæssige, historiske og kulturelle bånd til medlemsstaterne; der henviser til, at de giver EU en unik global tilstedeværelse og geostrategiske fordele, navnlig i Atlanterhavet, Det Indiske Ocean og Stillehavet samt i Arktis og Antarktis; der henviser til, at FUSP bør styrke det strukturerede samarbejde med OLT'erne på områder såsom sikkerhed, strategiske handelsruter, modstandsdygtighed over for klimaforandringer, maritim sikkerhed og kritiske råstoffer og dermed sikre, at OLT'erne integreres tættere i prioriteterne for Unionens optræden udadtil;</w:t>
      </w:r>
    </w:p>
    <w:p w14:paraId="14C29E41" w14:textId="0F3EEDD5" w:rsidR="00FD32D1" w:rsidRPr="0009368B" w:rsidRDefault="008A6E73" w:rsidP="00FD32D1">
      <w:pPr>
        <w:pStyle w:val="NormalHanging"/>
      </w:pPr>
      <w:r>
        <w:lastRenderedPageBreak/>
        <w:t>N</w:t>
      </w:r>
      <w:r w:rsidR="00FD32D1" w:rsidRPr="0009368B">
        <w:t xml:space="preserve">. </w:t>
      </w:r>
      <w:r w:rsidR="00FD32D1" w:rsidRPr="0009368B">
        <w:tab/>
        <w:t>der henviser til, at civilsamfundets råderum skrumper ind på verdensplan, og at menneskerettighedsforkæmpere og civilsamfundsorganisationer i stigende grad er i risiko for angreb og trusler fra statslige og ikkestatslige aktører;</w:t>
      </w:r>
    </w:p>
    <w:p w14:paraId="093DE0C2" w14:textId="7C36C5CA" w:rsidR="00FD32D1" w:rsidRPr="0009368B" w:rsidRDefault="008A6E73" w:rsidP="00FD32D1">
      <w:pPr>
        <w:pStyle w:val="NormalHanging"/>
      </w:pPr>
      <w:r>
        <w:t>O</w:t>
      </w:r>
      <w:r w:rsidR="009A428F">
        <w:t>.</w:t>
      </w:r>
      <w:r w:rsidR="00FD32D1" w:rsidRPr="0009368B">
        <w:tab/>
        <w:t>der henviser til, at dynamiske civilsamfund i hele verden spiller en afgørende rolle med hensyn til at fremme menneskerettigheder, demokrati og pluralisme samt fremme god regeringsførelse og sociale fremskridt;</w:t>
      </w:r>
    </w:p>
    <w:p w14:paraId="25E42E59" w14:textId="35D53098" w:rsidR="00FD32D1" w:rsidRPr="0009368B" w:rsidRDefault="008A6E73" w:rsidP="00FD32D1">
      <w:pPr>
        <w:pStyle w:val="NormalHanging"/>
      </w:pPr>
      <w:r>
        <w:t>P</w:t>
      </w:r>
      <w:r w:rsidR="00FD32D1" w:rsidRPr="0009368B">
        <w:t>.</w:t>
      </w:r>
      <w:r w:rsidR="00FD32D1" w:rsidRPr="0009368B">
        <w:tab/>
        <w:t xml:space="preserve">der henviser til, at Parlamentet for nylig </w:t>
      </w:r>
      <w:r w:rsidR="00783590" w:rsidRPr="00783590">
        <w:t xml:space="preserve">har givet </w:t>
      </w:r>
      <w:r w:rsidR="00FD32D1" w:rsidRPr="0009368B">
        <w:t>udtryk for sin utvetydige holdning til menneskerettighedskrænkelserne i Cuba og til situationen i Venezuela; der henviser til, at Parlamentet gentagne gange har fordømt Daniel Ortegas og Rosario Murillos regime i Nicaragua;</w:t>
      </w:r>
    </w:p>
    <w:p w14:paraId="3DD2C4D4" w14:textId="4EB60020" w:rsidR="00FD32D1" w:rsidRPr="0009368B" w:rsidRDefault="008A6E73" w:rsidP="00FD32D1">
      <w:pPr>
        <w:pStyle w:val="NormalHanging"/>
      </w:pPr>
      <w:r>
        <w:t>Q</w:t>
      </w:r>
      <w:r w:rsidR="00FD32D1" w:rsidRPr="0009368B">
        <w:t>.</w:t>
      </w:r>
      <w:r w:rsidR="00FD32D1" w:rsidRPr="0009368B">
        <w:tab/>
        <w:t>der henviser til, at Nicolás Maduro den 10. januar 2025 gjorde krav på en ny embedsperiode og ulovligt fastholdt sit greb om magten trods udbredt valgsvindel; der henviser til, at Parlamentet anerkendte Edmundo González Urrutia som Venezuelas legitime og demokratisk valgte præsident og María Corina Machado som leder af den demokratiske opposition ved at tildele dem Sakharovprisen for tankefrihed 2024; der henviser til, at María Corina Machado blev yderligere hædret som modtager af Nobels fredspris 2025;</w:t>
      </w:r>
      <w:r w:rsidR="00783590">
        <w:t xml:space="preserve"> </w:t>
      </w:r>
      <w:r w:rsidR="00783590" w:rsidRPr="00783590">
        <w:t>der henviser til, at den seneste politiske udvikling, bl.a. afsættelsen af Nicolás Maduro og begyndelsen på løsladelsen af politiske fanger, indvarsler et afgørende øjeblik i Venezuelas demokratiske overgang; der henviser til, at situationen samtidig fortsat er ustabil, idet det forrige regimes centrale magtstrukturer stadig er intakte, og der fortsat er alvorlige udfordringer for konsolidering af demokratiet;</w:t>
      </w:r>
    </w:p>
    <w:p w14:paraId="59D5D134" w14:textId="372F9B59" w:rsidR="00FD32D1" w:rsidRPr="0009368B" w:rsidRDefault="008A6E73" w:rsidP="00FD32D1">
      <w:pPr>
        <w:pStyle w:val="NormalHanging"/>
      </w:pPr>
      <w:r>
        <w:t>R</w:t>
      </w:r>
      <w:r w:rsidR="00FD32D1" w:rsidRPr="0009368B">
        <w:t>.</w:t>
      </w:r>
      <w:r w:rsidR="00FD32D1" w:rsidRPr="0009368B">
        <w:tab/>
        <w:t>der henviser til, at FN's principper udfordres i et omfang, der aldrig er set før; der henviser til, at Parlamentet gentagne gange har opfordret det internationale samfund til at forsvare og styrke FN;</w:t>
      </w:r>
    </w:p>
    <w:p w14:paraId="7AC7B013" w14:textId="3867895D" w:rsidR="00FD32D1" w:rsidRPr="0009368B" w:rsidRDefault="008A6E73" w:rsidP="00FD32D1">
      <w:pPr>
        <w:pStyle w:val="NormalHanging"/>
      </w:pPr>
      <w:r>
        <w:t>S</w:t>
      </w:r>
      <w:r w:rsidR="00FD32D1" w:rsidRPr="0009368B">
        <w:t>.</w:t>
      </w:r>
      <w:r w:rsidR="00FD32D1" w:rsidRPr="0009368B">
        <w:tab/>
        <w:t>der henviser til, at den multilaterale verdensorden ikke i tilstrækkelig grad har tilpasset sig de aktuelle geopolitiske realiteter; der henviser til, at FN 80-initiativet, som FN's generalsekretær har iværksat, er en uundværlig del af reformen af FN og vil indebære, at vetosystemet i FN's Sikkerhedsråd bringes til ophør; der henviser til, at FN's meget alvorlige finansielle situation giver anledning til alvorlig bekymring; der henviser til, at FN står over for en budgetnedskæring på 500 mio. USD og tab af 20 % af sit personale; der henviser til, at FN efter tilbagetrækningen af USA's finansielle støtte står over for yderligere betydelige nedskæringer i sine organisationer, der beskæftiger sig med fredsbevarelse, humanitært arbejde og sundhed; der henviser til, at FN-reformprocessen kræver tilstrækkelige finansielle midler og politisk støtte for at fastholde multilateralisme som grundlaget for global styring;</w:t>
      </w:r>
    </w:p>
    <w:p w14:paraId="59BAB03A" w14:textId="770D7B11" w:rsidR="00FD32D1" w:rsidRPr="0009368B" w:rsidRDefault="008A6E73" w:rsidP="00FD32D1">
      <w:pPr>
        <w:pStyle w:val="NormalHanging"/>
      </w:pPr>
      <w:r>
        <w:t>T</w:t>
      </w:r>
      <w:r w:rsidR="00FD32D1" w:rsidRPr="0009368B">
        <w:t>.</w:t>
      </w:r>
      <w:r w:rsidR="00FD32D1" w:rsidRPr="0009368B">
        <w:tab/>
        <w:t>der henviser til, at organiseret kriminalitet, og især narkotikahandel, udgør en alvorlig trussel mod EU's sikkerhed; der henviser til, at EU siden 2020 er blevet verdens største marked for kokain; der henviser til, at denne kokain overvejende stammer fra Latinamerika og hovedsagelig kommer ind i EU via dets atlanterhavshavne;</w:t>
      </w:r>
    </w:p>
    <w:p w14:paraId="6A078D7D" w14:textId="5B37238D" w:rsidR="00FD32D1" w:rsidRPr="0009368B" w:rsidRDefault="008A6E73" w:rsidP="00FD32D1">
      <w:pPr>
        <w:pStyle w:val="NormalHanging"/>
      </w:pPr>
      <w:r>
        <w:t>U</w:t>
      </w:r>
      <w:r w:rsidR="00FD32D1" w:rsidRPr="0009368B">
        <w:t>.</w:t>
      </w:r>
      <w:r w:rsidR="00FD32D1" w:rsidRPr="0009368B">
        <w:tab/>
        <w:t>der henviser til, at autoritære regimer, kriminelle netværk og terrorgrupper bringer europæernes sundhed og sikkerhed i fare gennem ulovlig narkotika- og menneskehandel, hvilket bidrager til ustabilitet i regionen og i visse tilfælde udgør instrumentalisering af migration;</w:t>
      </w:r>
    </w:p>
    <w:p w14:paraId="3ECBEE3E" w14:textId="6D5BB31C" w:rsidR="00FD32D1" w:rsidRPr="0009368B" w:rsidRDefault="008A6E73" w:rsidP="00FD32D1">
      <w:pPr>
        <w:pStyle w:val="NormalHanging"/>
      </w:pPr>
      <w:r>
        <w:t>V</w:t>
      </w:r>
      <w:r w:rsidR="00FD32D1" w:rsidRPr="0009368B">
        <w:t>.</w:t>
      </w:r>
      <w:r w:rsidR="00FD32D1" w:rsidRPr="0009368B">
        <w:tab/>
        <w:t xml:space="preserve">der henviser til, at den russiske angrebskrig mod Ukraine i alvorlig grad har undergravet </w:t>
      </w:r>
      <w:r w:rsidR="00FD32D1" w:rsidRPr="0009368B">
        <w:lastRenderedPageBreak/>
        <w:t>den europæiske og globale sikkerhed, hvilket har forårsaget økonomisk usikkerhed, manglende fødevaresikring og høje energipriser og samtidig har destabiliseret EU's østlige nabolande; der henviser til, at denne aggression er en del af en bredere strategi, der forfølger en imperialistisk og ekspansionistisk dagsorden, som begyndte med krigen i Georgien i 2008; der henviser til, at Budapestmemorandummet om sikkerhedsgarantier fra 1994, i henhold til hvilket Ukraine fjernede alle kernevåben fra sit territorium til gengæld for sikkerhedsgarantier, herunder fra Rusland, ikke forhindrede den russiske angrebskrig;</w:t>
      </w:r>
    </w:p>
    <w:p w14:paraId="307FA7B3" w14:textId="71F31FAC" w:rsidR="00FD32D1" w:rsidRPr="0009368B" w:rsidRDefault="008A6E73" w:rsidP="00FD32D1">
      <w:pPr>
        <w:pStyle w:val="NormalHanging"/>
      </w:pPr>
      <w:r>
        <w:t>W</w:t>
      </w:r>
      <w:r w:rsidR="00FD32D1" w:rsidRPr="0009368B">
        <w:t>.</w:t>
      </w:r>
      <w:r w:rsidR="00FD32D1" w:rsidRPr="0009368B">
        <w:tab/>
        <w:t>der henviser til, at Rusland fortsat plyndrer Ukraines nationale arv; der henviser til, at den russiske angrebskrig har forårsaget alvorlige og langvarige miljøskader i Ukraine; der henviser til, at Den Russiske Føderation udfører intense og bevidste angreb på Ukraines energiinfrastruktur;</w:t>
      </w:r>
    </w:p>
    <w:p w14:paraId="2C515C70" w14:textId="1712F5E9" w:rsidR="00FD32D1" w:rsidRPr="0009368B" w:rsidRDefault="008A6E73" w:rsidP="00FD32D1">
      <w:pPr>
        <w:pStyle w:val="NormalHanging"/>
      </w:pPr>
      <w:r>
        <w:t>X</w:t>
      </w:r>
      <w:r w:rsidR="00FD32D1" w:rsidRPr="0009368B">
        <w:t>.</w:t>
      </w:r>
      <w:r w:rsidR="00FD32D1" w:rsidRPr="0009368B">
        <w:tab/>
        <w:t>der henviser til, at Den Internationale Straffedomstol (ICC) har udstedt arrestordrer mod Vladimir Putin og Maria Lvova-Belova, den russiske kommissær for børns rettigheder, for krigsforbrydelsen ulovlig deportation og forflytning af ukrainske børn;</w:t>
      </w:r>
    </w:p>
    <w:p w14:paraId="4854096E" w14:textId="4D7098D3" w:rsidR="00FD32D1" w:rsidRPr="0009368B" w:rsidRDefault="008A6E73" w:rsidP="00FD32D1">
      <w:pPr>
        <w:pStyle w:val="NormalHanging"/>
      </w:pPr>
      <w:r>
        <w:t>Y</w:t>
      </w:r>
      <w:r w:rsidR="00FD32D1" w:rsidRPr="0009368B">
        <w:t>.</w:t>
      </w:r>
      <w:r w:rsidR="00FD32D1" w:rsidRPr="0009368B">
        <w:tab/>
        <w:t>der henviser til, at Den Europæiske Menneskerettighedsdomstols dom af 9. juli 2025 i sagen Ukraine og Nederlandene mod Rusland markerer et betydeligt skridt fremad med hensyn til at stille Rusland til ansvar for dets angrebskrig og de rædselsgerninger, det har begået i Ukraine;</w:t>
      </w:r>
    </w:p>
    <w:p w14:paraId="5AFAAB82" w14:textId="73A3C4CB" w:rsidR="00FD32D1" w:rsidRPr="0009368B" w:rsidRDefault="008A6E73" w:rsidP="00FD32D1">
      <w:pPr>
        <w:pStyle w:val="NormalHanging"/>
      </w:pPr>
      <w:r>
        <w:t>Z</w:t>
      </w:r>
      <w:r w:rsidR="00FD32D1" w:rsidRPr="0009368B">
        <w:t>.</w:t>
      </w:r>
      <w:r w:rsidR="00FD32D1" w:rsidRPr="0009368B">
        <w:tab/>
        <w:t>der henviser til, at den fremskyndede militarisering af Kina og dets strategiske partnerskaber med Rusland, Nordkorea og Iran kan være til fare for stabiliteten ikke blot i landene i den indopacifiske region, men også i hele det internationale samfund; der henviser til, at Nordkorea i de senere år og i klar strid med FN's Sikkerhedsråds resolutioner gentagne gange har affyret ballistiske missiler med en hidtil uset hyppighed og samtidig har styrket sine nukleare kapabiliteter både hvad angår kvalitet og kvantitet; der henviser til, at det assertive militære, politiske og økonomiske pres fra disse autoritære og diktatoriske magter sammen med deres vedvarende og mangesidede angreb på den regelbaserede internationale orden udgør nogle af de alvorligste sikkerhedstrusler mod EU's medlemsstater i EU's historie;</w:t>
      </w:r>
    </w:p>
    <w:p w14:paraId="5D927F4E" w14:textId="6CC1A065" w:rsidR="00FD32D1" w:rsidRPr="0009368B" w:rsidRDefault="008A6E73" w:rsidP="00FD32D1">
      <w:pPr>
        <w:pStyle w:val="NormalHanging"/>
      </w:pPr>
      <w:r>
        <w:t>AA</w:t>
      </w:r>
      <w:r w:rsidR="00FD32D1" w:rsidRPr="0009368B">
        <w:t>.</w:t>
      </w:r>
      <w:r w:rsidR="00FD32D1" w:rsidRPr="0009368B">
        <w:tab/>
        <w:t>der henviser til, at Kina på NATO-topmødet i Washington DC i 2024 blev omtalt som en afgørende medskyldig i Ruslands aggression; der henviser til, at Kina aldrig formelt har fordømt Ruslands ulovlige aggression mod og invasion af Ukraine; der henviser til, at Rusland har karakteriseret sine strategiske forbindelser med Kina som værende på et hidtil uset højt niveau; der henviser til, at Folkerepublikken Kina er den vigtigste støtte for Rusland i dets angrebskrig, idet den leverer størstedelen af de varer med dobbelt anvendelse, der tjener som input i Ruslands forsvarssektor, og yder diplomatisk og politisk støtte og derved forlænger og muliggør krigen; der henviser til, at Rusland søger at undergrave regional stabilitet og europæiske forhåbninger gennem tvangsforanstaltninger og militære aktioner, mens Kina i stigende grad anvender økonomisk indflydelse og strategiske partnerskaber til at påvirke udviklingen i EU's nabolande sammen med andre aktører og bidrager til en sådan destabilisering;</w:t>
      </w:r>
      <w:r w:rsidR="00783590">
        <w:t xml:space="preserve"> </w:t>
      </w:r>
      <w:r w:rsidR="00783590" w:rsidRPr="00783590">
        <w:t>der henviser til, at Kina gennem en kombination af statslige investeringer, erhvervelse af strategisk infrastruktur, teknologioverførsel og påvirkningsoperationer søger at opnå større indflydelse i EU;</w:t>
      </w:r>
    </w:p>
    <w:p w14:paraId="582AAE73" w14:textId="5B333E3F" w:rsidR="00FD32D1" w:rsidRPr="0009368B" w:rsidRDefault="008A6E73" w:rsidP="00FD32D1">
      <w:pPr>
        <w:pStyle w:val="NormalHanging"/>
      </w:pPr>
      <w:r>
        <w:t>AB</w:t>
      </w:r>
      <w:r w:rsidR="00FD32D1" w:rsidRPr="0009368B">
        <w:t>.</w:t>
      </w:r>
      <w:r w:rsidR="00FD32D1" w:rsidRPr="0009368B">
        <w:tab/>
        <w:t xml:space="preserve">der henviser til, at situationen med hensyn til menneskerettigheder og grundlæggende frihedsrettigheder i Aserbajdsjan er blevet yderligere forværret i løbet af det seneste år; </w:t>
      </w:r>
      <w:r w:rsidR="00FD32D1" w:rsidRPr="0009368B">
        <w:lastRenderedPageBreak/>
        <w:t>der henviser til, at alle afgørelser afsagt af Den Internationale Domstol vedrørende Nagorno-Karabakh bør gennemføres, herunder afgørelsen af 17. november 2023 med angivelse af midlertidige foranstaltninger vedrørende sikker, uhindret og hurtig tilbagesendelse af personer, der er flygtet fra regionen;</w:t>
      </w:r>
    </w:p>
    <w:p w14:paraId="787346D1" w14:textId="57E7E4F5" w:rsidR="00FD32D1" w:rsidRPr="0009368B" w:rsidRDefault="00FD32D1" w:rsidP="00FD32D1">
      <w:pPr>
        <w:pStyle w:val="NormalHanging"/>
      </w:pPr>
      <w:r w:rsidRPr="0009368B">
        <w:t>A</w:t>
      </w:r>
      <w:r w:rsidR="008A6E73">
        <w:t>C</w:t>
      </w:r>
      <w:r w:rsidRPr="0009368B">
        <w:t>.</w:t>
      </w:r>
      <w:r w:rsidRPr="0009368B">
        <w:tab/>
        <w:t>der henviser til, at EU's optræden udadtil er uigenkaldeligt knyttet til de værdier og principper, der er nedfældet i artikel 2, artikel 3, stk. 5, og artikel 21 i TEU, herunder alle medlemsstaters suverænitet, uafhængighed og territoriale integritet, i overensstemmelse med FN-pagten; der henviser til, at disse principper også gælder for Cypern; der henviser til, at Tyrkiets udenrigspolitik fortsat er i modstrid med EU's udenrigspolitik; der henviser til, at Tyrkiets eget konstruktive engagement er afgørende for, om forhandlingerne om en løsning på Cypernspørgsmålet kan genoptages, og om der kan gøres fremskridt inden for rammerne af FN;</w:t>
      </w:r>
    </w:p>
    <w:p w14:paraId="7970C658" w14:textId="76475E52" w:rsidR="00FD32D1" w:rsidRPr="0009368B" w:rsidRDefault="00FD32D1" w:rsidP="00FD32D1">
      <w:pPr>
        <w:pStyle w:val="NormalHanging"/>
      </w:pPr>
      <w:r w:rsidRPr="0009368B">
        <w:t>A</w:t>
      </w:r>
      <w:r w:rsidR="008A6E73">
        <w:t>D</w:t>
      </w:r>
      <w:r w:rsidRPr="0009368B">
        <w:t>.</w:t>
      </w:r>
      <w:r w:rsidRPr="0009368B">
        <w:tab/>
        <w:t>der henviser til, at Tyrkiets militære besættelse af EU-territorium i Cypern fortsætter, og det samme gælder truslen om magtanvendelse mod en medlemsstat;</w:t>
      </w:r>
    </w:p>
    <w:p w14:paraId="76761913" w14:textId="2AFA6F65" w:rsidR="00FD32D1" w:rsidRPr="0009368B" w:rsidRDefault="00FD32D1" w:rsidP="00FD32D1">
      <w:pPr>
        <w:pStyle w:val="NormalHanging"/>
      </w:pPr>
      <w:r w:rsidRPr="0009368B">
        <w:t>A</w:t>
      </w:r>
      <w:r w:rsidR="008A6E73">
        <w:t>E</w:t>
      </w:r>
      <w:r w:rsidRPr="0009368B">
        <w:t>.</w:t>
      </w:r>
      <w:r w:rsidRPr="0009368B">
        <w:tab/>
        <w:t>der henviser til, at Tyrkiets krænkelser af græsk luftrum og overtrædelser af lufttrafikreglerne i flyveinformationsregion Athen tager til; der henviser til, at krænkelser af græsk territorialfarvand også tager til, mens tyrkiske fartøjer systematisk udøver ulovligt fiskeri i græsk territorialfarvand; der henviser til, at der stadig er tvister om eftersøgnings- og redningsoperationer samt om NAVTEX-relaterede ansvarsområder;</w:t>
      </w:r>
    </w:p>
    <w:p w14:paraId="2BACD887" w14:textId="6490360E" w:rsidR="00FD32D1" w:rsidRPr="0009368B" w:rsidRDefault="00FD32D1" w:rsidP="00FD32D1">
      <w:pPr>
        <w:pStyle w:val="NormalHanging"/>
      </w:pPr>
      <w:r w:rsidRPr="0009368B">
        <w:t>A</w:t>
      </w:r>
      <w:r w:rsidR="008A6E73">
        <w:t>F</w:t>
      </w:r>
      <w:r w:rsidRPr="0009368B">
        <w:t>.</w:t>
      </w:r>
      <w:r w:rsidRPr="0009368B">
        <w:tab/>
        <w:t>der henviser til, at den eneste mulige løsning på det kurdiske spørgsmål i Tyrkiet er en retfærdig, omfattende og holdbar aftale;</w:t>
      </w:r>
    </w:p>
    <w:p w14:paraId="20FB78CE" w14:textId="0B76920D" w:rsidR="00FD32D1" w:rsidRPr="0009368B" w:rsidRDefault="00FD32D1" w:rsidP="00FD32D1">
      <w:pPr>
        <w:pStyle w:val="NormalHanging"/>
      </w:pPr>
      <w:r w:rsidRPr="0009368B">
        <w:t>A</w:t>
      </w:r>
      <w:r w:rsidR="008A6E73">
        <w:t>G</w:t>
      </w:r>
      <w:r w:rsidRPr="0009368B">
        <w:t>.</w:t>
      </w:r>
      <w:r w:rsidRPr="0009368B">
        <w:tab/>
        <w:t>der henviser til, at Egypten er en relevant søjle for stabilitet i det østlige Middelhavsområde, hvilket er blevet understreget af EU's beslutning om at yde 4 mia. EUR i makrofinansiel bistand til Egypten for perioden 2024-2027;</w:t>
      </w:r>
    </w:p>
    <w:p w14:paraId="6A562E6E" w14:textId="5ECDC3D4" w:rsidR="00FD32D1" w:rsidRPr="0009368B" w:rsidRDefault="00FD32D1" w:rsidP="00FD32D1">
      <w:pPr>
        <w:pStyle w:val="NormalHanging"/>
      </w:pPr>
      <w:r w:rsidRPr="0009368B">
        <w:t>A</w:t>
      </w:r>
      <w:r w:rsidR="008A6E73">
        <w:t>H</w:t>
      </w:r>
      <w:r w:rsidRPr="0009368B">
        <w:t>.</w:t>
      </w:r>
      <w:r w:rsidRPr="0009368B">
        <w:tab/>
        <w:t>der henviser til, at EU og Den Kirgisiske Republik i 2024 undertegnede en udvidet partnerskabs- og samarbejdsaftale; der henviser til, at menneskerettighederne udgør et meget vigtigt element i aftalen; der henviser til, at den bekymrende menneskerettighedssituation i landet er et tegn på alvorlige tilbageskridt i den henseende, som er taget til i forbindelse med det hurtige valg, hvilket bl.a. fremgår af den nylige tilbageholdelse af Temirlan Sultanbekov og forslaget om at genindføre dødsstraf i landet; der henviser til, at den kirgisiske regering skal tage konkrete skridt til at gøre noget ved de presserende bekymringer, som Parlamentet nævnte i sin beslutning af 9. september 2025; der henviser til, at myndighederne i alle fem centralasiatiske lande i de senere år i forskellig grad har skærpet kursen over for afvigende meninger og har strammet kontrollen med ytringsfriheden og at intimidering, chikane og retsforfølgning af kritiske aktivister, journalister og medlemmer af LGBTIQ+-samfundet er blevet værre;</w:t>
      </w:r>
    </w:p>
    <w:p w14:paraId="074029A0" w14:textId="16DE8452" w:rsidR="00FD32D1" w:rsidRPr="0009368B" w:rsidRDefault="00FD32D1" w:rsidP="00FD32D1">
      <w:pPr>
        <w:pStyle w:val="NormalHanging"/>
      </w:pPr>
      <w:r w:rsidRPr="0009368B">
        <w:t>A</w:t>
      </w:r>
      <w:r w:rsidR="008A6E73">
        <w:t>I</w:t>
      </w:r>
      <w:r w:rsidRPr="0009368B">
        <w:t>.</w:t>
      </w:r>
      <w:r w:rsidRPr="0009368B">
        <w:tab/>
        <w:t>der henviser til, at det første topmøde nogensinde mellem EU og Centralasien den 3.-4. april 2025 var betydningsfuldt, eftersom det markerede et strategisk vendepunkt i forbindelserne mellem de to parter og starten på en struktureret dialog, som til fulde anerkender den centralasiatiske regions nøglerolle som en korsvej mellem Europa og Asien;</w:t>
      </w:r>
    </w:p>
    <w:p w14:paraId="438995AC" w14:textId="7186EB45" w:rsidR="00FD32D1" w:rsidRPr="0009368B" w:rsidRDefault="00FD32D1" w:rsidP="00FD32D1">
      <w:pPr>
        <w:pStyle w:val="NormalHanging"/>
      </w:pPr>
      <w:r w:rsidRPr="0009368B">
        <w:t>A</w:t>
      </w:r>
      <w:r w:rsidR="008A6E73">
        <w:t>J</w:t>
      </w:r>
      <w:r w:rsidRPr="0009368B">
        <w:t>.</w:t>
      </w:r>
      <w:r w:rsidRPr="0009368B">
        <w:tab/>
        <w:t xml:space="preserve">der henviser til, at EU i sine forbindelser med Indien bør erkende landets fortsatte </w:t>
      </w:r>
      <w:r w:rsidRPr="0009368B">
        <w:lastRenderedPageBreak/>
        <w:t>strategiske samarbejde med Rusland, herunder dets beklagelige deltagelse i de fælles Zapad-2025-militærøvelser med Rusland og Belarus, og samtidig tage højde for geopolitiske udfordringer på en måde, der styrker EU's fælles interesser med Indien, øger sikkerheden og opretholder folkeretten;</w:t>
      </w:r>
    </w:p>
    <w:p w14:paraId="103FCA51" w14:textId="5FFC99B8" w:rsidR="00FD32D1" w:rsidRPr="0009368B" w:rsidRDefault="00FD32D1" w:rsidP="00FD32D1">
      <w:pPr>
        <w:pStyle w:val="NormalHanging"/>
      </w:pPr>
      <w:r w:rsidRPr="0009368B">
        <w:t>A</w:t>
      </w:r>
      <w:r w:rsidR="008A6E73">
        <w:t>K</w:t>
      </w:r>
      <w:r w:rsidRPr="0009368B">
        <w:t>.</w:t>
      </w:r>
      <w:r w:rsidRPr="0009368B">
        <w:tab/>
        <w:t>der henviser til, at Parlamentet bifaldt den indsats, der er gjort af visse arabiske stater og Israel for at normalisere deres diplomatiske forbindelser i henhold til Abrahamaftalerne; der henviser til, at Parlamentet støtter initiativer, der tager sigte på at skabe bred regional og international opbakning til en bedre fremtid med hensyn til de arabisk-israelske forbindelser;</w:t>
      </w:r>
    </w:p>
    <w:p w14:paraId="7A414F4D" w14:textId="78A21828" w:rsidR="00FD32D1" w:rsidRPr="0009368B" w:rsidRDefault="00FD32D1" w:rsidP="00FD32D1">
      <w:pPr>
        <w:pStyle w:val="NormalHanging"/>
      </w:pPr>
      <w:r w:rsidRPr="0009368B">
        <w:t>A</w:t>
      </w:r>
      <w:r w:rsidR="008A6E73">
        <w:t>L</w:t>
      </w:r>
      <w:r w:rsidRPr="0009368B">
        <w:t>.</w:t>
      </w:r>
      <w:r w:rsidRPr="0009368B">
        <w:tab/>
        <w:t>der henviser til, at EU har en historisk mulighed for at uddybe sin alliance med Latinamerika; der henviser til, at søjlen for politik og samarbejde i partnerskabsaftalen mellem EU og Mercosur kræver godkendelse fra Parlamentet, Rådet og medlemsstaternes nationale parlamenter; der henviser til, at handelssøjlen kun kræver Parlamentets og Rådets godkendelse; der henviser til, at denne godkendelse vil være en geopolitisk milepæl, som styrker EU's globale tilstedeværelse og styrker den multilaterale regelbaserede orden; der henviser til, at den vil skabe en institutionel ramme for fremme af samarbejde på områder som menneskerettigheder, bæredygtig udvikling, den digitale økonomi og bekæmpelse af organiseret kriminalitet; der henviser til, at vedtagelsen og gennemførelsen af aftalen bør forbedre de interregionale forbindelser, høste geopolitisk udbytte og fremme EU's strategiske interesser; der henviser til, at den hurtige undertegnelse og ratificering af partnerskabsaftalen mellem EU og Mercosur og den globale aftale mellem EU og Mexico understøtter EU's øgede engagement i og styrkede politiske bånd til Latinamerika;</w:t>
      </w:r>
    </w:p>
    <w:p w14:paraId="368C40EC" w14:textId="7D85C172" w:rsidR="00FD32D1" w:rsidRPr="0009368B" w:rsidRDefault="00FD32D1" w:rsidP="00FD32D1">
      <w:pPr>
        <w:pStyle w:val="NormalHanging"/>
      </w:pPr>
      <w:r w:rsidRPr="0009368B">
        <w:t>A</w:t>
      </w:r>
      <w:r w:rsidR="008A6E73">
        <w:t>M</w:t>
      </w:r>
      <w:r w:rsidRPr="0009368B">
        <w:t>.</w:t>
      </w:r>
      <w:r w:rsidRPr="0009368B">
        <w:tab/>
        <w:t>der henviser til, at EU's politik for Arktis bør tilskynde til bæredygtig økonomisk udvikling, støtte de oprindelige folk i at bevare deres sprog og kultur, sikre beskyttelsen af det arktiske økosystem i lyset af klimakrisen og fremme modstandsdygtighed over for geopolitiske udfordringer fra lande uden for EU; der henviser til, at denne politik bør tage højde for de berettigede bekymringer over øget samarbejde mellem Kina og Rusland i den arktiske region; der henviser til, at denne politik fuldt ud skal integrere anbefalingerne i Kirunaerklæringen, støtte øget finansiering til vedvarende energi og bæredygtig affaldshåndtering i arktiske samfund og opbygge kapacitet til at tackle miljømæssige, økonomiske og sociale udfordringer;</w:t>
      </w:r>
    </w:p>
    <w:p w14:paraId="3DA372A1" w14:textId="0F5B29A1" w:rsidR="00FD32D1" w:rsidRPr="0009368B" w:rsidRDefault="00FD32D1" w:rsidP="00FD32D1">
      <w:pPr>
        <w:pStyle w:val="NormalHanging"/>
      </w:pPr>
      <w:r w:rsidRPr="0009368B">
        <w:t>A</w:t>
      </w:r>
      <w:r w:rsidR="008A6E73">
        <w:t>N</w:t>
      </w:r>
      <w:r w:rsidRPr="0009368B">
        <w:t>.</w:t>
      </w:r>
      <w:r w:rsidRPr="0009368B">
        <w:tab/>
        <w:t>der henviser til, at Ruslands gentagne krænkelser af nabostaters suverænitet og territoriale integritet samt dets hindring af sejladsen i Det Asovske Hav, Sortehavet og Østersøen rejser alvorlig tvivl om udsigterne til at kunne opretholde en fredelig sameksistens i Arktis; der henviser til, at Rusland forbedrer sin arktiske infrastruktur og isbryderflåde i væsentlig grad og samtidig gør fremskridt med sine strategiske ambitioner i regionen; der henviser til, at Den Russiske Føderation forfølger en strategi med henblik på at konsolidere den føderale kontrol med naturressourcer, styrke sine territoriale krav og tiltrække investeringer ved hjælp af "særlig økonomisk zone"-incitamenter;</w:t>
      </w:r>
    </w:p>
    <w:p w14:paraId="42715C9C" w14:textId="3758B8AA" w:rsidR="00FD32D1" w:rsidRPr="0009368B" w:rsidRDefault="00FD32D1" w:rsidP="00FD32D1">
      <w:pPr>
        <w:pStyle w:val="NormalHanging"/>
      </w:pPr>
      <w:r w:rsidRPr="0009368B">
        <w:t>A</w:t>
      </w:r>
      <w:r w:rsidR="008A6E73">
        <w:t>O</w:t>
      </w:r>
      <w:r w:rsidRPr="0009368B">
        <w:t>.</w:t>
      </w:r>
      <w:r w:rsidRPr="0009368B">
        <w:tab/>
        <w:t xml:space="preserve">der henviser til, at det bør være er centralt mål for FUSP for så vidt angår det arktiske område aktivt at søge fuld observatørstatus eller, hvor det er muligt, deltagerstatus for EU i alle relevante forvaltningsorganer vedrørende Arktis, som det endnu ikke er repræsenteret i; der henviser til, at dette også kræver styrket interoperabilitet mellem EU, dets medlemsstater og dets transatlantiske allierede inden for sikkerhed i Arktis, maritim overvågning, eftersøgnings- og redningsoperationer samt beskyttelse af kritisk </w:t>
      </w:r>
      <w:r w:rsidRPr="0009368B">
        <w:lastRenderedPageBreak/>
        <w:t>infrastruktur;</w:t>
      </w:r>
    </w:p>
    <w:p w14:paraId="11FAA983" w14:textId="61B12DEB" w:rsidR="00FD32D1" w:rsidRPr="0009368B" w:rsidRDefault="00FD32D1" w:rsidP="00FD32D1">
      <w:pPr>
        <w:pStyle w:val="NormalHanging"/>
      </w:pPr>
      <w:r w:rsidRPr="0009368B">
        <w:t>A</w:t>
      </w:r>
      <w:r w:rsidR="008A6E73">
        <w:t>P</w:t>
      </w:r>
      <w:r w:rsidRPr="0009368B">
        <w:t>.</w:t>
      </w:r>
      <w:r w:rsidRPr="0009368B">
        <w:tab/>
        <w:t>der henviser til, at beskyttelse af religionsfriheden konsekvent bør integreres i EU's eksterne foranstaltninger; der henviser til, at næstformanden for Kommissionen/Unionens højtstående repræsentant for udenrigsanliggender og sikkerhedspolitik (NF/HR) og Kommissionen regelmæssigt bør rapportere om religionsfrihed og forfølgelse af religiøse mindretal rundt om i verden; der henviser til, at trossamfund og trosbaserede organisationer kan spille en central rolle med hensyn til at fremme fred, tværreligiøs dialog, konfliktløsning, humanitær bistand og beskyttelse af menneskerettighederne;</w:t>
      </w:r>
    </w:p>
    <w:p w14:paraId="5845BC16" w14:textId="653B7A3E" w:rsidR="00FD32D1" w:rsidRPr="0009368B" w:rsidRDefault="00FD32D1" w:rsidP="00FD32D1">
      <w:pPr>
        <w:pStyle w:val="NormalHanging"/>
      </w:pPr>
      <w:r w:rsidRPr="0009368B">
        <w:t>A</w:t>
      </w:r>
      <w:r w:rsidR="008A6E73">
        <w:t>Q</w:t>
      </w:r>
      <w:r w:rsidRPr="0009368B">
        <w:t>.</w:t>
      </w:r>
      <w:r w:rsidRPr="0009368B">
        <w:tab/>
        <w:t>der henviser til, at den tiltagende trosbaserede forfølgelse af religiøse mindretal rundt om i verden, herunder, men ikke begrænset til, forfølgelsen af kristne i verden, som det for nylig er set i Syrien, Nigeria, Den Demokratiske Republik Congo og Nicaragua, understreger nødvendigheden af, at der rettes større opmærksomhed mod forfølgelsen af religiøse mindretal; der henviser til, at Tjenesten for EU's Optræden Udadtil (EU-Udenrigstjenesten) bør samarbejde med det internationale samfund om at få vendt den stærkt bekymrende tendens til tiltagende religiøs forfølgelse;</w:t>
      </w:r>
    </w:p>
    <w:p w14:paraId="064D8C5C" w14:textId="35CD8F9D" w:rsidR="00FD32D1" w:rsidRPr="0009368B" w:rsidRDefault="00FD32D1" w:rsidP="00FD32D1">
      <w:pPr>
        <w:pStyle w:val="NormalHanging"/>
      </w:pPr>
      <w:r w:rsidRPr="0009368B">
        <w:t>A</w:t>
      </w:r>
      <w:r w:rsidR="008A6E73">
        <w:t>R</w:t>
      </w:r>
      <w:r w:rsidRPr="0009368B">
        <w:t>.</w:t>
      </w:r>
      <w:r w:rsidRPr="0009368B">
        <w:tab/>
        <w:t xml:space="preserve">der henviser til, at Global Gateway-initiativet fremmer tætte partnerskaber med ligesindede lande baseret på gensidige fordele, økonomisk udvikling og robuste forsyningskæder; der henviser til, at effektiv anvendelse af midlerne er hovedprioriteten, og at de skal koncentreres om et begrænset antal strategiske initiativer, navnlig styrkelse af infrastruktur, samt om at imødegå parallelle initiativer fra ikke-EU-lande; der henviser til, at EU's grundlæggende værdier, herunder respekt for menneskerettighederne, god regeringsførelse, demokrati, gennemsigtighed og miljømæssig bæredygtighed, altid bør være retningsgivende for Global Gateway-projekter; der henviser til, at disse projekter systematisk skal inddrage civilsamfundet og lokalsamfundene i alle faser af projektudformningen, </w:t>
      </w:r>
      <w:r w:rsidRPr="0009368B">
        <w:noBreakHyphen/>
        <w:t xml:space="preserve">gennemførelsen og </w:t>
      </w:r>
      <w:r w:rsidRPr="0009368B">
        <w:noBreakHyphen/>
        <w:t>evalueringen for at sikre, at de er imødekommende over for lokale behov, kønssensitive og skaber meningsfulde udviklingsresultater;</w:t>
      </w:r>
    </w:p>
    <w:p w14:paraId="680E5C44" w14:textId="2A0B53E0" w:rsidR="00FD32D1" w:rsidRPr="0009368B" w:rsidRDefault="00FD32D1" w:rsidP="00FD32D1">
      <w:pPr>
        <w:pStyle w:val="NormalHanging"/>
      </w:pPr>
      <w:r w:rsidRPr="0009368B">
        <w:t>A</w:t>
      </w:r>
      <w:r w:rsidR="008A6E73">
        <w:t>S</w:t>
      </w:r>
      <w:r w:rsidRPr="0009368B">
        <w:t>.</w:t>
      </w:r>
      <w:r w:rsidRPr="0009368B">
        <w:tab/>
        <w:t>der henviser til, at det budget på 300 mia. EUR, der er afsat til dette initiativ, er mindre end en tredjedel af omfanget af de projekter, der allerede er i gang under Kinas sammenlignelige "ét bælte, én vej"-initiativ med fokus på konnektivitet og infrastruktur; der henviser til, at den nuværende finansiering til EU-Udenrigstjenesten og EU-delegationerne er utilstrækkelig til at opfylde deres behov i betragtning af omfanget af de aktuelle udfordringer; der henviser til, at nedskæringer i diplomatiske kerneaktiviteter øger risikoen for nedlukning af repræsentationer, hvilket vil begrænse EU's mulighed for at agere som en global aktør;</w:t>
      </w:r>
    </w:p>
    <w:p w14:paraId="09F69B69" w14:textId="0F9D8A0D" w:rsidR="00FD32D1" w:rsidRPr="0009368B" w:rsidRDefault="00FD32D1" w:rsidP="00FD32D1">
      <w:pPr>
        <w:pStyle w:val="NormalHanging"/>
      </w:pPr>
      <w:r w:rsidRPr="0009368B">
        <w:t>A</w:t>
      </w:r>
      <w:r w:rsidR="008A6E73">
        <w:t>T</w:t>
      </w:r>
      <w:r w:rsidRPr="0009368B">
        <w:t>.</w:t>
      </w:r>
      <w:r w:rsidRPr="0009368B">
        <w:tab/>
        <w:t xml:space="preserve">der henviser til, at forebyggende diplomati er et proaktivt udenrigspolitisk værktøj til at undgå konflikter mellem parter og til at mægle og understøtte dem i at finde fredelige løsninger, herunder fredsmægling og dialog; der henviser til, at ondsindede ikke-EU-aktørers indsats har mindsket EU's indflydelse rundt om i verden; der henviser til, at NF/HR sammen med EU-Udenrigstjenesten bør analysere tidligere europæiske diplomatiske indsatser og resultaterne heraf; der henviser til, at en sådan analyse kræver en klar forståelse af bl.a. lokale, historiske, kulturelle og religiøse sammenhænge; der henviser til, at der kan være behov for en fornyet tilgang til forebyggende diplomati for at sikre, at EU opfattes som en pålidelig partner på alle niveauer; der henviser til, at EU's valgobservationsmissioner spiller en central rolle med hensyn til at støtte demokrati rundt om i verden; der henviser til, at parlamentarisk diplomati og </w:t>
      </w:r>
      <w:r w:rsidRPr="0009368B">
        <w:lastRenderedPageBreak/>
        <w:t>interparlamentariske forbindelser er meget vigtige redskaber til at nå målene for EU's udenrigspolitik i ikke-EU-lande og skabe forbindelser ud over blot på statsligt niveau; der henviser til, at budgetbevillingen til demokratistøtte og valgobservation under den næste flerårige finansielle ramme bør forhøjes, navnlig med henblik på udsendelse af sådanne missioner til kandidatlande;</w:t>
      </w:r>
    </w:p>
    <w:p w14:paraId="54B4C48A" w14:textId="29C5C7C0" w:rsidR="00FD32D1" w:rsidRPr="0009368B" w:rsidRDefault="00FD32D1" w:rsidP="00FD32D1">
      <w:pPr>
        <w:pStyle w:val="NormalHanging"/>
      </w:pPr>
      <w:r w:rsidRPr="0009368B">
        <w:t>A</w:t>
      </w:r>
      <w:r w:rsidR="008A6E73">
        <w:t>U</w:t>
      </w:r>
      <w:r w:rsidRPr="0009368B">
        <w:t>.</w:t>
      </w:r>
      <w:r w:rsidRPr="0009368B">
        <w:tab/>
        <w:t>der henviser til, at klimaforandringer i stigende grad fungerer som en "trusselsmultiplikator", der fører til yderligere destabilisering af sårbare lande og regioner, humanitære kriser, der kunne forebygges, og yderligere migrationspres;</w:t>
      </w:r>
    </w:p>
    <w:p w14:paraId="35E4C138" w14:textId="02FE99B5" w:rsidR="00FD32D1" w:rsidRPr="0009368B" w:rsidRDefault="00FD32D1" w:rsidP="00FD32D1">
      <w:pPr>
        <w:pStyle w:val="NormalHanging"/>
      </w:pPr>
      <w:r w:rsidRPr="0009368B">
        <w:t>A</w:t>
      </w:r>
      <w:r w:rsidR="008A6E73">
        <w:t>V</w:t>
      </w:r>
      <w:r w:rsidRPr="0009368B">
        <w:t>.</w:t>
      </w:r>
      <w:r w:rsidRPr="0009368B">
        <w:tab/>
        <w:t xml:space="preserve">der henviser til, at 25-året for FN's Sikkerhedsråds resolution 1325 </w:t>
      </w:r>
      <w:r w:rsidR="00B9307C" w:rsidRPr="0009368B">
        <w:t xml:space="preserve">(2000) </w:t>
      </w:r>
      <w:r w:rsidRPr="0009368B">
        <w:t>om kvinder, fred og sikkerhed fordrer, at ligestilling mellem kønnene og dagsordenen for kvinder, fred og sikkerhed fastholdes som centrale principper i EU's fælles udenrigs- og sikkerhedspolitik; der henviser til, at EU-Udenrigstjenesten og Kommissionen bør opretholde EU's førende rolle med hensyn til at fremme kvinders rettigheder i hele verden ved at gennemføre kønshandlingsplan III omhyggeligt og ambitiøst; der henviser til, at søjlen "Gå foran med et godt eksempel" i kønshandlingsplan III kræver, at NF/VP forbedrer kønsbalancen på ledelsesposter i EU-Udenrigstjenesten;</w:t>
      </w:r>
    </w:p>
    <w:p w14:paraId="23D54814" w14:textId="6E52E892" w:rsidR="00FD32D1" w:rsidRPr="0009368B" w:rsidRDefault="00FD32D1" w:rsidP="00FD32D1">
      <w:pPr>
        <w:pStyle w:val="NormalHanging"/>
      </w:pPr>
      <w:r w:rsidRPr="0009368B">
        <w:t>A</w:t>
      </w:r>
      <w:r w:rsidR="008A6E73">
        <w:t>W</w:t>
      </w:r>
      <w:r w:rsidRPr="0009368B">
        <w:t>.</w:t>
      </w:r>
      <w:r w:rsidRPr="0009368B">
        <w:tab/>
        <w:t>der henviser til, at autoritære og undertrykkende regeringer som den i Rusland i de senere år er blevet endnu mere målbevidste med hensyn til traditionelle kønsnormer som et middel til legitimering af staterne og sociopolitisk kontrol; der henviser til, at tværnationale religiøse netværk og højreekstremistiske politiske bevægelser fremmer LGBTIQ+-fjendtlige politikker; der henviser til, at disse tendenser undergraver grundlæggende rettigheder og udgør en direkte anfægtelse af de værdier, der er nedfældet i traktaten om Den Europæiske Union, som omfatter ligestilling mellem kønnene og udgør grundlaget for Unionens udenrigspolitik;</w:t>
      </w:r>
    </w:p>
    <w:p w14:paraId="17985DA9" w14:textId="559E2BA0" w:rsidR="00FD32D1" w:rsidRPr="0009368B" w:rsidRDefault="00FD32D1" w:rsidP="00130173">
      <w:pPr>
        <w:spacing w:after="240"/>
        <w:ind w:left="567" w:hanging="567"/>
      </w:pPr>
      <w:r w:rsidRPr="0009368B">
        <w:t>1.</w:t>
      </w:r>
      <w:r w:rsidRPr="0009368B">
        <w:tab/>
        <w:t>fremhæver, at Parlamentets beslutninger om gennemførelsen af FUSP er en central del af dets bidrag til udformningen af EU's udenrigspolitik; understreger, at disse beslutninger viser den praktiske betydning af den styrkede ret til kontrol på det udenrigspolitiske område, som Lissabontraktaten giver Parlamentet; minder om, at Parlamentets 2025-beslutning er den anden af sin art i indeværende valgperiode og har til formål at fungere som en vejledning for EU's udøvende myndighed, når denne fastsætter udenrigspolitiske prioriteter for denne valgperiode; fremhæver den omstændighed, at EU i et evigt ustabilt internationalt miljø er nødt til at tackle talrige udenrigspolitiske udfordringer, som påvirker Unionen direkte og indirekte, samtidigt, bl.a. den vedvarende russiske angrebskrig mod Ukraine, konflikterne i Mellemøsten, en tiltagende konkurrence mellem stormagterne, konstante forsøg på at undergrave den multilaterale regelbaserede internationale orden og en stigende sammenhæng mellem kriser uden for og internt i EU; er af den faste overbevisning, at EU for at kunne forblive relevant på den internationale scene er nødt til at føre en beslutsom, disciplineret og assertiv udenrigspolitik, der opfylder EU's egne strategiske målsætninger og fortsat fastlægger, hævder og forsvarer EU's interesser overalt i verden; minder om, at EU's optræden udadtil bør være styret af de værdier og principper, der er nedfældet i artikel 2, artikel 3, stk. 5, og artikel 21 i TEU, som har ligget til grund for EU's egen oprettelse, udvikling og udvidelse, bl.a. inden for områderne demokrati, retsstat, menneskerettighedernes og de grundlæggende frihedsrettigheders universalitet og udelelighed, respekt for den menneskelige værdighed og principperne om lighed og solidaritet; mener endvidere, at FUSP bør sikre gennemførelsen af FN's 2030-dagsorden for bæredygtig udvikling og verdensmålene for bæredygtig udvikling;</w:t>
      </w:r>
    </w:p>
    <w:p w14:paraId="4B4DD7D0" w14:textId="77777777" w:rsidR="00FD32D1" w:rsidRPr="0009368B" w:rsidRDefault="00FD32D1" w:rsidP="00FD32D1">
      <w:pPr>
        <w:pStyle w:val="NormalHanging12a"/>
      </w:pPr>
      <w:r w:rsidRPr="0009368B">
        <w:lastRenderedPageBreak/>
        <w:t>2.</w:t>
      </w:r>
      <w:r w:rsidRPr="0009368B">
        <w:tab/>
        <w:t>deler fuldt ud de bekymringer, der tages op i rapporten fra NF/HR, og er stærkt bekymret over den store hast, hvormed den geopolitiske ustabilitet gennemtvinges i kraft af autoritære magters og unilaterale aktørers assertive militære, politiske og økonomiske pres; fremhæver, at der fra Ukraine til Kaukasus, fra Mellemøsten til Sahel, i Arktis og andre steder er opstået en bue af ustabilitet rundt om Europa, hvilket illustrerer den gennemgribende usikkerhed, som EU opererer i; understreger, at den nuværende geopolitiske kontekst er præget af en hastigt stigende udhuling af de demokratiske normer; bemærker med bekymring, at multilaterale organisationer er blevet voldsomt svækket, og at den internationale regelbaserede orden undergraves i alvorlig grad, hvilket har ført til en situation, hvor konkurrence og protektionisme erstatter samarbejde og frihandel, og hvor investeringer, information og migrationsstrømme i stigende grad instrumentaliseres; advarer om, at en sådan fragmentering truer vores strategiske interesser, sikkerhed, velstand og enhed; minder om, at EU ikke har råd til at vende sig indad og skal forblive åbent og engageret i verden for at forsvare sine demokratiske værdier og interesser, hvilket igen nødvendiggør mobilisering af vores regionale og globale partnerskaber og alliancer;</w:t>
      </w:r>
    </w:p>
    <w:p w14:paraId="045D21FB" w14:textId="77777777" w:rsidR="00FD32D1" w:rsidRPr="0009368B" w:rsidRDefault="00FD32D1" w:rsidP="00FD32D1">
      <w:pPr>
        <w:pStyle w:val="NormalHanging12a"/>
        <w:spacing w:before="240"/>
        <w:ind w:left="567" w:hanging="567"/>
      </w:pPr>
      <w:r w:rsidRPr="0009368B">
        <w:t>3.</w:t>
      </w:r>
      <w:r w:rsidRPr="0009368B">
        <w:tab/>
        <w:t>opfordrer i den forbindelse NF/HR til at videreudvikle en fremadskuende og mere sammenhængende FUSP, der:</w:t>
      </w:r>
    </w:p>
    <w:p w14:paraId="03ED3E61" w14:textId="77777777" w:rsidR="00FD32D1" w:rsidRPr="0009368B" w:rsidRDefault="00FD32D1" w:rsidP="00C12147">
      <w:pPr>
        <w:pStyle w:val="NormalHanging12a"/>
        <w:ind w:left="1418" w:hanging="567"/>
        <w:rPr>
          <w:bCs/>
          <w:iCs/>
        </w:rPr>
      </w:pPr>
      <w:r w:rsidRPr="0009368B">
        <w:t>a)</w:t>
      </w:r>
      <w:r w:rsidRPr="0009368B">
        <w:tab/>
        <w:t>forsvarer den regelbaserede internationale orden </w:t>
      </w:r>
    </w:p>
    <w:p w14:paraId="3F7EB873" w14:textId="77777777" w:rsidR="00FD32D1" w:rsidRDefault="00FD32D1" w:rsidP="00381091">
      <w:pPr>
        <w:pStyle w:val="NormalHanging12a"/>
        <w:ind w:left="1418" w:hanging="567"/>
      </w:pPr>
      <w:r w:rsidRPr="0009368B">
        <w:t>b)</w:t>
      </w:r>
      <w:r w:rsidRPr="0009368B">
        <w:tab/>
        <w:t>fremmer samarbejde om fælles interesser </w:t>
      </w:r>
    </w:p>
    <w:p w14:paraId="10E1EFC9" w14:textId="3D064F0A" w:rsidR="00C12147" w:rsidRPr="00C12147" w:rsidRDefault="00C12147" w:rsidP="00381091">
      <w:pPr>
        <w:pStyle w:val="NormalHanging12a"/>
        <w:ind w:left="1418" w:hanging="567"/>
      </w:pPr>
      <w:r>
        <w:t>c</w:t>
      </w:r>
      <w:r w:rsidRPr="00C12147">
        <w:t>)</w:t>
      </w:r>
      <w:r w:rsidRPr="00C12147">
        <w:tab/>
        <w:t>respekterer visse medlemsstaters neutralitet og sikrer, at diplomatiske foranstaltninger træffes på en måde, som er i overensstemmelse med FN-pagten</w:t>
      </w:r>
    </w:p>
    <w:p w14:paraId="7B76E9DE" w14:textId="7DB11B60" w:rsidR="00FD32D1" w:rsidRPr="00C12147" w:rsidRDefault="00C12147" w:rsidP="00381091">
      <w:pPr>
        <w:pStyle w:val="NormalHanging12a"/>
        <w:ind w:left="1418" w:hanging="567"/>
      </w:pPr>
      <w:r>
        <w:t>d</w:t>
      </w:r>
      <w:r w:rsidR="00FD32D1" w:rsidRPr="0009368B">
        <w:t>)</w:t>
      </w:r>
      <w:r w:rsidR="00FD32D1" w:rsidRPr="0009368B">
        <w:tab/>
        <w:t>fastlægger klare grænser og standpunkter, som ikke er til forhandling, og </w:t>
      </w:r>
    </w:p>
    <w:p w14:paraId="1BF6DE8A" w14:textId="0E743946" w:rsidR="00FD32D1" w:rsidRPr="00C12147" w:rsidRDefault="00C12147" w:rsidP="00381091">
      <w:pPr>
        <w:pStyle w:val="NormalHanging12a"/>
        <w:ind w:left="1418" w:hanging="567"/>
      </w:pPr>
      <w:r>
        <w:t>e</w:t>
      </w:r>
      <w:r w:rsidR="00FD32D1" w:rsidRPr="0009368B">
        <w:t>)</w:t>
      </w:r>
      <w:r w:rsidR="00FD32D1" w:rsidRPr="0009368B">
        <w:tab/>
        <w:t>øger synligheden og virkningen af EU's eksterne foranstaltninger</w:t>
      </w:r>
    </w:p>
    <w:p w14:paraId="68C41565" w14:textId="77777777" w:rsidR="00FD32D1" w:rsidRPr="0009368B" w:rsidRDefault="00FD32D1" w:rsidP="00FD32D1">
      <w:pPr>
        <w:pStyle w:val="NormalHanging12a"/>
        <w:ind w:firstLine="0"/>
      </w:pPr>
      <w:r w:rsidRPr="0009368B">
        <w:t>og derved forfølger de ambitiøse mål og tydeligt adresserer de vigtigste geopolitiske udfordringer, der er skitseret i nedenstående punkter;</w:t>
      </w:r>
    </w:p>
    <w:p w14:paraId="4575A58C" w14:textId="77777777" w:rsidR="00FD32D1" w:rsidRPr="0009368B" w:rsidRDefault="00FD32D1" w:rsidP="00FD32D1">
      <w:pPr>
        <w:spacing w:after="240"/>
        <w:rPr>
          <w:b/>
          <w:i/>
        </w:rPr>
      </w:pPr>
      <w:r w:rsidRPr="0009368B">
        <w:rPr>
          <w:b/>
          <w:i/>
        </w:rPr>
        <w:t>Påvirkning af den regelbaserede internationale orden, vi forsvarer</w:t>
      </w:r>
    </w:p>
    <w:p w14:paraId="4D5CCE3D" w14:textId="77777777" w:rsidR="00FD32D1" w:rsidRPr="0009368B" w:rsidRDefault="00FD32D1" w:rsidP="00FD32D1">
      <w:pPr>
        <w:pStyle w:val="NormalHanging12a"/>
      </w:pPr>
      <w:r w:rsidRPr="0009368B">
        <w:t>4.</w:t>
      </w:r>
      <w:r w:rsidRPr="0009368B">
        <w:tab/>
        <w:t>minder om, at den regelbaserede internationale orden beskytter staters suverænitet og territoriale integritet, beskytter de universelle værdier i menneskerettighederne, muliggør fredelig tvistbilæggelse og sikrer, at magt er betinget af lovgivning snarere end af magtanvendelse; er stærkt foruroliget over, at den regelbaserede internationale orden er under et hidtil uset pres, der hidrører fra en kombination af intern udhuling og udefrakommende angreb; advarer om, at det fører til ustabilitet og konflikter i hele verden og dermed svækker vores egen sikkerhed og velstand, når den tillægges lavere status;</w:t>
      </w:r>
    </w:p>
    <w:p w14:paraId="7C60E6F4" w14:textId="77777777" w:rsidR="00FD32D1" w:rsidRPr="0009368B" w:rsidRDefault="00FD32D1" w:rsidP="00FD32D1">
      <w:pPr>
        <w:pStyle w:val="NormalHanging12a"/>
      </w:pPr>
      <w:r w:rsidRPr="0009368B">
        <w:t>5.</w:t>
      </w:r>
      <w:r w:rsidRPr="0009368B">
        <w:tab/>
        <w:t xml:space="preserve">understreger, at Ruslands ulovlige, uprovokerede og uberettigede angrebskrig mod Ukraine udgør en åbenlys krænkelse af folkeretten og af FN-pagten såvel som et hidtil uset angreb på den europæiske fredsorden, der har eksisteret siden Anden Verdenskrig; minder om, at Ruslands aggressioner mod Ukraine begyndte i 2014; gentager sin faste overbevisning om, at Ruslands aggression i sidste ende skal mislykkes, og Ukraine skal sejre, så der sendes et signal om, at magtanvendelse aldrig vil få forrang for loven, for at afskrække andre fra at forsøge at udfordre grænser ved brug af militære midler; </w:t>
      </w:r>
      <w:r w:rsidRPr="0009368B">
        <w:lastRenderedPageBreak/>
        <w:t>fremhæver det presserende behov for en langsigtet og strategisk tilgang til Moskva og dets allierede;</w:t>
      </w:r>
    </w:p>
    <w:p w14:paraId="2C8914F4" w14:textId="5563E6F0" w:rsidR="00FD32D1" w:rsidRPr="0009368B" w:rsidRDefault="00FD32D1" w:rsidP="00FD32D1">
      <w:pPr>
        <w:pStyle w:val="NormalHanging12a"/>
      </w:pPr>
      <w:r w:rsidRPr="0009368B">
        <w:t>6.</w:t>
      </w:r>
      <w:r w:rsidRPr="0009368B">
        <w:tab/>
        <w:t xml:space="preserve">hylder modet og modstandsdygtigheden i den ukrainske befolkning, som ikke blot forsvarer deres eget lands suverænitet og territoriale integritet, men også værner om grundlæggende europæiske værdier; kræver en øjeblikkelig og betingelsesløs våbenhvile, russisk tilbagetrækning fra hele Ukraines internationalt anerkendte territorium og tilbagesendelse af alle ukrainske krigsfanger, alle bortførte og tilbageholdte civile og alle børn, som Rusland og Lukasjenko-regimet ulovligt har taget med; opfordrer endvidere til, at ligene af alle faldne ukrainske soldater sendes tilbage; opfordrer indtrængende EU til at opretholde og forstærke sin støtte til Ukraine, herunder gennem politisk, økonomisk, finansiel og militær bistand, med henblik på at styrke Ukraine; </w:t>
      </w:r>
      <w:r w:rsidR="00C12147" w:rsidRPr="00C12147">
        <w:t xml:space="preserve">bifalder Det Europæiske Råds beslutning fra december 2025 om at yde Ukraine en finansiel bistandspakke på 90 mia. EUR i form af EU-støttede lån; beklager imidlertid, at det ikke er lykkedes Rådet at nå til enighed om en mere ambitiøs finansieringsstruktur baseret på indefrosne russiske aktiver, hvilket ville mindske Ukraines voksende gældsbyrde; minder dog om Rådets forordning (EU) 2025/2600 af 12. december 2025 om ubegrænset immobilisering af russiske statslige aktiver; </w:t>
      </w:r>
      <w:r w:rsidRPr="0009368B">
        <w:t>understreger, at investeringer i Ukraines territoriale forsvar og dets forsvarsteknologiske og -industrielle base er nødvendige og til gensidig gavn for Europa, men at de ikke i sig selv udgør sikkerhedsgarantier; glæder sig i den forbindelse over NATO's initiativ med en prioriteret liste over Ukraines behov (Prioritised Ukraine Requirements List – PURL) og opfordrer indtrængende EU's medlemsstater til at fortsætte leveringen af våben og ammunition til Ukraine, navnlig luftforsvarssystemer og kapabiliteter til angreb i dybden, og samtidig støtte en diplomatisk løsning på krigen i overensstemmelse med folkeretten med henblik på at opnå en retfærdig og varig fred;</w:t>
      </w:r>
    </w:p>
    <w:p w14:paraId="21F5A74A" w14:textId="77777777" w:rsidR="00FD32D1" w:rsidRPr="0009368B" w:rsidRDefault="00FD32D1" w:rsidP="00FD32D1">
      <w:pPr>
        <w:pStyle w:val="NormalHanging12a"/>
      </w:pPr>
      <w:r w:rsidRPr="0009368B">
        <w:t>7.</w:t>
      </w:r>
      <w:r w:rsidRPr="0009368B">
        <w:tab/>
        <w:t>gentager sin opfordring til, at der udvikles en EU-retlig ramme for udpegelse af stater som sponsorer for terrorisme; opfordrer Rådet til at føje Den Russiske Føderation til en sådan EU-liste over statslige sponsorer for terrorisme;</w:t>
      </w:r>
    </w:p>
    <w:p w14:paraId="681F82C5" w14:textId="1BC5EE9A" w:rsidR="00FD32D1" w:rsidRPr="0009368B" w:rsidRDefault="00FD32D1" w:rsidP="00FD32D1">
      <w:pPr>
        <w:pStyle w:val="NormalHanging12a"/>
      </w:pPr>
      <w:r w:rsidRPr="0009368B">
        <w:t>8.</w:t>
      </w:r>
      <w:r w:rsidRPr="0009368B">
        <w:tab/>
        <w:t xml:space="preserve">fordømmer på det kraftigste det illegitime Lukasjenko-regime for at tillade, at belarusisk territorium anvendes som base for russiske militære operationer, hvorved det undergraver landets suverænitet og udgør en direkte trussel mod EU's og dets medlemsstaters sikkerhed og stabilitet, samtidig med at det fortsætter med at undertrykke sin egen befolkning; gentager kravet om øjeblikkelig og betingelsesløs løsladelse af alle politiske fanger og opfordrer indtrængende til en styrkelse af de restriktive foranstaltninger; </w:t>
      </w:r>
      <w:r w:rsidR="00C12147" w:rsidRPr="00C12147">
        <w:t xml:space="preserve">fordømmer Belarus' organiserede hybridangreb mod EU's medlemsstater, bl.a. Litauen, ved brug af ubemandede luftfartøjer, overflyvning med luftballoner, økonomisk tvang, smugleri, militære provokationer, cyberangreb og statslig desinformation; </w:t>
      </w:r>
      <w:r w:rsidRPr="0009368B">
        <w:t xml:space="preserve">understreger med bekymring, at regimerne i Rusland og Belarus instrumentaliserer migration som </w:t>
      </w:r>
      <w:r w:rsidR="00C12147" w:rsidRPr="00C12147">
        <w:t>led i en større strategi beregnet til at undergrave EU, dets medlemsstaters regeringer samt NATO</w:t>
      </w:r>
      <w:r w:rsidRPr="0009368B">
        <w:t>; opfordrer indtrængende EU og dets medlemsstater til at øge den politiske, finansielle og tekniske støtte til de uafhængige medier, menneskerettighedsforkæmpere og civilsamfundsinitiativer, der opererer i og uden for Belarus;</w:t>
      </w:r>
    </w:p>
    <w:p w14:paraId="1BE8A4F2" w14:textId="599E49D3" w:rsidR="00FD32D1" w:rsidRPr="0009368B" w:rsidRDefault="00FD32D1" w:rsidP="00FD32D1">
      <w:pPr>
        <w:pStyle w:val="NormalHanging12a"/>
      </w:pPr>
      <w:r w:rsidRPr="0009368B">
        <w:t>9.</w:t>
      </w:r>
      <w:r w:rsidRPr="0009368B">
        <w:tab/>
      </w:r>
      <w:r w:rsidR="00991A65" w:rsidRPr="00991A65">
        <w:t xml:space="preserve">glæder sig over konklusionerne fra det møde, som "koalitionen af villige" afholdt i Paris den 6. januar 2026, herunder de politisk og juridisk bindende tilsagn om at fastlægge en fælles tilgang til at støtte Ukraine, opretholde dets langsigtede militære kapaciteter og genoprette fred og sikkerhed i tilfælde af et fremtidigt væbnet angreb fra Ruslands side; udtrykker støtte til forslaget om at oprette en multinational styrke til Ukraine og </w:t>
      </w:r>
      <w:r w:rsidR="00991A65" w:rsidRPr="00991A65">
        <w:lastRenderedPageBreak/>
        <w:t xml:space="preserve">tilskynder alle EU's medlemsstater til grundigt at overveje, hvordan de bedst kan støtte en sådan styrke; glæder sig yderligere over drøftelserne om en amerikanskledet mekanisme til overvågning og kontrol af våbenhvilen; </w:t>
      </w:r>
      <w:r w:rsidRPr="0009368B">
        <w:t>understreger, at enhver fredsaftale skal indeholde solide og troværdige sikkerhedsgarantier for Ukraine, være forhandlet på plads af landets valgte ledere og have opbakning fra dets befolkning; tilråder forsigtighed over for Ruslands uoprigtige forslag, der har til formål at forlænge krigen, og advarer om, at enhver løsningsaftale, som Rusland gennemtvinger, eller som belønner dets aggression, vil underminere den europæiske sikkerhed; minder om, at et tæt samarbejde mellem EU og USA fortsat er afgørende for at opnå og sikre en retfærdig og varig fred i Ukraine og således er afgørende for sikkerheden på det europæiske kontinent, sideløbende med EU's bestræbelser på at påtage sig et større ansvar for sin egen sikkerhed;</w:t>
      </w:r>
    </w:p>
    <w:p w14:paraId="470CA889" w14:textId="77777777" w:rsidR="00FD32D1" w:rsidRPr="0009368B" w:rsidRDefault="00FD32D1" w:rsidP="00FD32D1">
      <w:pPr>
        <w:pStyle w:val="NormalHanging12a"/>
      </w:pPr>
      <w:r w:rsidRPr="0009368B">
        <w:t>10.</w:t>
      </w:r>
      <w:r w:rsidRPr="0009368B">
        <w:tab/>
        <w:t>understreger, at det i lyset af det sikkerhedslandskab, der er i stadig udvikling, og den voksende trussel, som Den Russiske Føderation udgør, herunder de gentagne droneindtrængninger, der krænker europæisk luftrum, er bydende nødvendigt, at EU's medlemsstater hurtigst muligt forbedrer deres civilbeskyttelsesmekanismer, hvilket kræver en koordineret og robust indsats i hele Unionen, således at det civile beredskab styrkes, og systemerne for tidlig varsling moderniseres; anser disse aggressive og hensynsløse handlinger for at være uansvarlige og udgøre en alvorlig optrapning fra Ruslands side, som truer EU-borgernes sikkerhed, regionens stabilitet og den internationale fred; opfordrer Kommissionen til at undersøge mulighederne for løsninger i tæt partnerskab med NATO, så der afskrækkes fra sådanne krænkelser i fremtiden; glæder sig i den forbindelse over Kommissionens meddelelse om EU's "Bevarelse af fred – køreplan for forsvarsberedskab 2030", herunder "droneforsvarsinitiativet"; tilskynder desuden til, at der etableres en samarbejdsmekanisme mellem EU-institutionerne og de relevante ukrainske modparter med henblik på at udveksle bedste praksis med hensyn til bekæmpelse af hybrid krigsførelse og russisk informationsvirksomhed og derved styrke begge parters modstandsdygtighed over for disse nye trusler;</w:t>
      </w:r>
    </w:p>
    <w:p w14:paraId="4BAA7AB1" w14:textId="77777777" w:rsidR="00FD32D1" w:rsidRPr="0009368B" w:rsidRDefault="00FD32D1" w:rsidP="00FD32D1">
      <w:pPr>
        <w:pStyle w:val="NormalHanging12a"/>
      </w:pPr>
      <w:r w:rsidRPr="0009368B">
        <w:t>11.</w:t>
      </w:r>
      <w:r w:rsidRPr="0009368B">
        <w:tab/>
        <w:t>fordømmer Ruslands aggression for i alvorlig grad at destabilisere EU's østlige nabolande, forhindre veje til fred og velstand og foranledige afsmittende virkninger på Vestbalkan, som truer med at bremse reformer og give næring til antieuropæiske narrativer; er dybt bekymret over, at medier med tilknytning til Kreml, der opererer på Vestbalkan, har intensiveret deres aktiviteter efter udbruddet af Ruslands angrebskrig, herunder aggressiv indblanding i valgprocesser og informationssfæren, med det formål at fremme prorussiske følelser og give næring til antieuropæisk retorik; opfordrer Kommissionen til at reagere mere konsekvent på brugen af antieuropæisk retorik på Vestbalkan, navnlig i Serbien, ved at gå i aktiv dialog med staterne i regionen og ved at træffe håndfaste foranstaltninger for at opbygge modstandsdygtighed i samfundet over for hybride trusler; fremhæver, at bekæmpelse af Ruslands destabiliserende indflydelse er afgørende for at styrke Unionens rolle som garant for stabilitet, demokrati og velstand;</w:t>
      </w:r>
    </w:p>
    <w:p w14:paraId="6631B9DB" w14:textId="135F37F4" w:rsidR="00FD32D1" w:rsidRPr="0009368B" w:rsidRDefault="00FD32D1" w:rsidP="00FD32D1">
      <w:pPr>
        <w:pStyle w:val="NormalHanging12a"/>
      </w:pPr>
      <w:r w:rsidRPr="0009368B">
        <w:t xml:space="preserve">12. </w:t>
      </w:r>
      <w:r w:rsidRPr="0009368B">
        <w:tab/>
        <w:t xml:space="preserve">opfordrer indtrængende Kommissionen til aktivt at støtte internationale retsmekanismer og sikre ansvarliggørelse for krigsforbrydelser og aggressionsforbrydelser; tilskynder EU og dets medlemsstater til at støtte oprettelsen af en særlig domstol til at retsforfølge Rusland for aggressionsforbrydelser mod Ukraine; minder om, at ICC har udstedt arrestordrer på Vladimir Putin og den russiske kommissær for børns rettigheder, Maria Lvova-Belova, som følge af deres involvering i bortførelsen af ukrainske børn og forflytningen af dem til Rusland; udtrykker støtte til alle Den Internationale </w:t>
      </w:r>
      <w:r w:rsidRPr="0009368B">
        <w:lastRenderedPageBreak/>
        <w:t xml:space="preserve">Straffedomstols og Den Internationale Domstols aktiviteter i forbindelse med retsforfølgning af forbrydelser begået på ukrainsk område; bakker op om innovative løsninger på finansiering af Ukraines forsvarsindsats samt dets minerydning og genopbygning ved hjælp af immobiliserede russiske udenlandske aktiver, herunder aktiver tilhørende den russiske stat, russiske lokale myndigheder, russiske statsejede virksomheder og enkeltpersoner på EU's sanktionsliste; opfordrer Kommissionen til at foreslå og medlemsstaterne til at nå til enighed om </w:t>
      </w:r>
      <w:r w:rsidR="00991A65" w:rsidRPr="00991A65">
        <w:t>en yderligere juridisk og finansielt forsvarlig mekanisme i form af et erstatningslån</w:t>
      </w:r>
      <w:r w:rsidRPr="0009368B">
        <w:t>, der gør det muligt at gøre brug af disse immobiliserede aktiver</w:t>
      </w:r>
      <w:r w:rsidR="00991A65">
        <w:t xml:space="preserve"> </w:t>
      </w:r>
      <w:r w:rsidR="00991A65" w:rsidRPr="00991A65">
        <w:t>og dermed skabe langsigtet synlighed for Ukraine og sikre, at landet i sidste ende modtager krigsskadeserstatning eller et tilsvarende beløb fra Rusland i overensstemmelse med folkeretten; understreger, at Rusland og ikke EU's skatteydere skal bære omkostningerne ved Ruslands aggression</w:t>
      </w:r>
      <w:r w:rsidRPr="0009368B">
        <w:t xml:space="preserve">; forventer, at medlemsstaterne styrker deres sanktioner mod Rusland, så længe det er nødvendigt for at sikre en retfærdig og varig fred, og indtil der er opnået ansvarliggørelse; </w:t>
      </w:r>
      <w:r w:rsidR="001F2C3D" w:rsidRPr="001F2C3D">
        <w:t xml:space="preserve">glæder sig i den forbindelse over de igangværende drøftelser mellem EU og G7 om at undersøge mulighederne for et forbud mod maritime tjenesteydelser for al russisk olieeksport som et alternativ til olieprisloftet; </w:t>
      </w:r>
      <w:r w:rsidRPr="0009368B">
        <w:t>opfordrer i mellemtiden EU og dets medlemsstater til at styrke effektiviteten og virkningerne af de EU-sanktionspakker, der hidtil er vedtaget, og til at enes om nye, så snart behovet opstår; opfordrer endvidere Kommissionen og medlemsstaterne til at lukke de finansielle smuthuller, som Rusland udnytter til at omgå sanktionerne, og til at indføre yderligere restriktive foranstaltninger over for ikke-EU-lande, der muliggør Ruslands angrebskrig mod Ukraine, hvad enten det er ved at lette omgåelsen af sanktioner eller ved at yde direkte militær bistand; mener, at der også bør indføres sanktioner over for europæiske virksomheder, der fortsat giver sig af med forbudte forretninger med Den Russiske Føderation; opfordrer Rådet, Kommissionen og EU-Udenrigstjenesten til at fremlægge en EU-dækkende strategi for Rusland, der sammenkæder afskrækkelse, inddæmning, ansvarliggørelse og støtte til demokratiske alternativer;</w:t>
      </w:r>
    </w:p>
    <w:p w14:paraId="1CB3F36F" w14:textId="77777777" w:rsidR="00FD32D1" w:rsidRDefault="00FD32D1" w:rsidP="00FD32D1">
      <w:pPr>
        <w:pStyle w:val="NormalHanging12a"/>
      </w:pPr>
      <w:r w:rsidRPr="0009368B">
        <w:t>13.</w:t>
      </w:r>
      <w:r w:rsidRPr="0009368B">
        <w:tab/>
        <w:t>gentager, at EU og alle dets medlemsstater skal gå foran med et godt eksempel med hensyn til at opretholde folkerettens forrang; understreger, at EU's troværdighed og evne til at beskytte sine borgere og vitale interesser afhænger af dets engagement i sine grundlæggende principper såsom demokratiet, retsstatsprincippet og menneskerettighederne uden tilfælde af dobbeltmoral eller selektiv overholdelse; opfordrer derfor til en streng anvendelse af retsstatsmekanismen i situationer, hvor disse principper tilsidesættes;</w:t>
      </w:r>
    </w:p>
    <w:p w14:paraId="0430BF5B" w14:textId="7DAA868B" w:rsidR="00966211" w:rsidRPr="0009368B" w:rsidRDefault="00966211" w:rsidP="00FD32D1">
      <w:pPr>
        <w:pStyle w:val="NormalHanging12a"/>
      </w:pPr>
      <w:r>
        <w:t>1</w:t>
      </w:r>
      <w:r w:rsidR="008A6E73">
        <w:t>4</w:t>
      </w:r>
      <w:r w:rsidRPr="00966211">
        <w:t>.</w:t>
      </w:r>
      <w:r w:rsidRPr="00966211">
        <w:tab/>
        <w:t>opfordrer Kommissionen og Rådet til i deres eksterne forbindelser og politikker konsekvent at værne om og fremme folkeretten og til at træffe alle nødvendige foranstaltninger for at sikre, at den overholdes fuldt ud af alle stater, uden sondring baseret på økonomisk eller militær magt;</w:t>
      </w:r>
    </w:p>
    <w:p w14:paraId="3E8E99E1" w14:textId="46F25359" w:rsidR="00FD32D1" w:rsidRPr="0009368B" w:rsidRDefault="00FD32D1" w:rsidP="00FD32D1">
      <w:pPr>
        <w:pStyle w:val="NormalHanging12a"/>
      </w:pPr>
      <w:r w:rsidRPr="0009368B">
        <w:t>1</w:t>
      </w:r>
      <w:r w:rsidR="008A6E73">
        <w:t>5</w:t>
      </w:r>
      <w:r w:rsidRPr="0009368B">
        <w:t xml:space="preserve">. </w:t>
      </w:r>
      <w:r w:rsidRPr="0009368B">
        <w:tab/>
        <w:t>fremhæver behovet for at bekæmpe straffrihed og styrke ansvarliggørelsesindsatsen globalt, herunder gennem ICC; giver udtryk for sin dybeste bekymring over USA's sanktioner mod ICC, dens anklagere, dommere og personale, som udgør et alvorligt angreb på det internationale retssystem; opfordrer Kommissionen til hurtigst muligt at aktivere statutten om spærring for at beskytte og bevare ICC som en uundværlig hjørnesten i det internationale retssystem;</w:t>
      </w:r>
    </w:p>
    <w:p w14:paraId="7FB21B2F" w14:textId="597450A7" w:rsidR="00FD32D1" w:rsidRPr="0009368B" w:rsidRDefault="00FD32D1" w:rsidP="00FD32D1">
      <w:pPr>
        <w:pStyle w:val="NormalHanging12a"/>
      </w:pPr>
      <w:r w:rsidRPr="0009368B">
        <w:t>1</w:t>
      </w:r>
      <w:r w:rsidR="008A6E73">
        <w:t>6</w:t>
      </w:r>
      <w:r w:rsidRPr="0009368B">
        <w:t xml:space="preserve">. </w:t>
      </w:r>
      <w:r w:rsidRPr="0009368B">
        <w:tab/>
        <w:t>glæder sig over det nylige tilsagn om at bringe krigen i Gaza til ophør og noterer sig den 20-punkts fredsplan, som den amerikanske regering har foreslået</w:t>
      </w:r>
      <w:r w:rsidR="00EA74B1">
        <w:t xml:space="preserve"> </w:t>
      </w:r>
      <w:r w:rsidR="00EA74B1" w:rsidRPr="00EA74B1">
        <w:t>og er godkendt ved FN's Sikkerhedsråds resolution 2803</w:t>
      </w:r>
      <w:r w:rsidRPr="0009368B">
        <w:t xml:space="preserve">, og som nu skal gennemføres fuldt ud og skærmes </w:t>
      </w:r>
      <w:r w:rsidRPr="0009368B">
        <w:lastRenderedPageBreak/>
        <w:t>mod ethvert forsøg fra regionale aktørers side på at undergrave den; glæder sig over løsladelsen af alle israelske gidsler, der var tilbageholdt af Hamas, og genoptagelsen af uddeling af humanitær bistand i Gaza; understreger, at selv om planen udgør et afgørende første skridt hen imod at bringe konflikten til ophør, er der stadig en række udfordringer, navnlig med hensyn til håndhævelse, forvaltning, ansvarliggørelse og opretholdelse af tillid; understreger, at en fuldstændig afvæbning af Hamas, udelukkelse af Hamas fra enhver form for regeringsførelse i Gaza</w:t>
      </w:r>
      <w:r w:rsidR="00EA74B1" w:rsidRPr="00EA74B1">
        <w:t>, reform og styrkelse af Den Palæstinensiske Myndighed</w:t>
      </w:r>
      <w:r w:rsidRPr="0009368B">
        <w:t xml:space="preserve"> og tilbagetrækning af de israelske styrker fortsat er centrale mål for alle yderligere skridt; opfordrer EU til at spille en aktiv rolle i udformningen af freds- og genopbygningsprocessen i tæt samarbejde med centrale regionale aktører</w:t>
      </w:r>
      <w:r w:rsidR="00EA74B1" w:rsidRPr="00EA74B1">
        <w:t>; støtter de igangværende stabiliseringsbestræbelser i Gaza og glæder sig over styrkelsen af EU's civile missioner under den fælles sikkerheds- og forsvarspolitik (FSFP), EU BAM Rafah og EUPOL COPPS</w:t>
      </w:r>
      <w:r w:rsidRPr="0009368B">
        <w:t>; gentager, at målet fortsat bør være en forhandlet tostatsløsning i overensstemmelse med folkeretten som den eneste holdbare vej til en retfærdig og varig fred i Mellemøsten, hvor det israelske og det palæstinensiske folk lever side om side i fred og sikkerhed;</w:t>
      </w:r>
    </w:p>
    <w:p w14:paraId="6EC9E118" w14:textId="626E7DEE" w:rsidR="00FD32D1" w:rsidRPr="0009368B" w:rsidRDefault="00FD32D1" w:rsidP="00FD32D1">
      <w:pPr>
        <w:pStyle w:val="NormalHanging12a"/>
      </w:pPr>
      <w:r w:rsidRPr="0009368B">
        <w:t>1</w:t>
      </w:r>
      <w:r w:rsidR="008A6E73">
        <w:t>7</w:t>
      </w:r>
      <w:r w:rsidRPr="0009368B">
        <w:t>.</w:t>
      </w:r>
      <w:r w:rsidRPr="0009368B">
        <w:tab/>
      </w:r>
      <w:r w:rsidR="00917C8E" w:rsidRPr="00917C8E">
        <w:t>bemærker med alvorlig bekymring den vedvarende, alvorlige humanitære situation i Gaza, herunder den udbredte manglende fødevaresikring og sultkatastrofe; bemærker med alvorlig bekymring de vedvarende hindringer for humanitær adgang og den forfærdelse, som NF/HR har givet udtryk for, over de nylige afgørelser om udstedelse af tilladelser, som begrænser humanitære organisationer, der opererer i Gaza; opfordrer alle parter til at give mulighed for hurtig levering af humanitær bistand; understreger, at foranstaltninger, der uretmæssigt begrænser humanitære aktører, risikerer at afvikle afgørende humanitær bistand på et tidspunkt, hvor der er akut behov herfor; er bekymret over, om alle parter overholder folkeretten og relevante FN-resolutioner, og over de vedvarende cyklusser af vold og terrorangreb i hele Mellemøsten; minder om alle parters forpligtelse til at overholde folkeretten og relevante FN-resolutioner, bl.a. dem, der vedrører beskyttelse af civile, humanitært personale og journalister;</w:t>
      </w:r>
    </w:p>
    <w:p w14:paraId="51CD3BD8" w14:textId="43E20DD2" w:rsidR="00FD32D1" w:rsidRDefault="00FD32D1" w:rsidP="00FD32D1">
      <w:pPr>
        <w:pStyle w:val="NormalHanging12a"/>
      </w:pPr>
      <w:r w:rsidRPr="0009368B">
        <w:t>1</w:t>
      </w:r>
      <w:r w:rsidR="008A6E73">
        <w:t>8</w:t>
      </w:r>
      <w:r w:rsidRPr="0009368B">
        <w:t>.</w:t>
      </w:r>
      <w:r w:rsidRPr="0009368B">
        <w:tab/>
        <w:t>understreger, at konflikten i Gaza destabiliserer EU's sydlige nabolande og risikerer at afføde bredere afsmittende virkninger i hele Mellemøsten og Nordafrika, herunder radikalisering, tvangsfordrivelse og øgede regionale spændinger; understreger, at denne dynamik direkte påvirker den europæiske sikkerhed og migrationsstyring;</w:t>
      </w:r>
    </w:p>
    <w:p w14:paraId="3F538E64" w14:textId="4188F7ED" w:rsidR="00917C8E" w:rsidRPr="0009368B" w:rsidRDefault="00917C8E" w:rsidP="00FD32D1">
      <w:pPr>
        <w:pStyle w:val="NormalHanging12a"/>
      </w:pPr>
      <w:r w:rsidRPr="00917C8E">
        <w:t>1</w:t>
      </w:r>
      <w:r w:rsidR="008A6E73">
        <w:t>9</w:t>
      </w:r>
      <w:r w:rsidRPr="00917C8E">
        <w:t>.</w:t>
      </w:r>
      <w:r w:rsidRPr="00917C8E">
        <w:tab/>
        <w:t>udtrykker sin uenighed med den israelske regerings anerkendelse af Somaliland som en uafhængig stat; bekræfter på ny betydningen af at respektere Den Føderale Republik Somalias enhed, suverænitet og territoriale integritet i overensstemmelse med dens forfatning, Den Afrikanske Enhedsorganisations charter og De Forenede Nationers pagt som afgørende for fred og stabilitet på hele Afrikas Horn;</w:t>
      </w:r>
    </w:p>
    <w:p w14:paraId="497DBD7C" w14:textId="5238FC84" w:rsidR="00FD32D1" w:rsidRPr="0009368B" w:rsidRDefault="008A6E73" w:rsidP="00FD32D1">
      <w:pPr>
        <w:pStyle w:val="NormalHanging12a"/>
      </w:pPr>
      <w:r>
        <w:t>20</w:t>
      </w:r>
      <w:r w:rsidR="00FD32D1" w:rsidRPr="0009368B">
        <w:t xml:space="preserve">. </w:t>
      </w:r>
      <w:r w:rsidR="00FD32D1" w:rsidRPr="0009368B">
        <w:tab/>
        <w:t>mener, at den voksende antisemitisme rundt om i verden er en uacceptabel konsekvens af Hamas' brutale og vilkårlige terrorangreb i hele Israel og Israels uforholdsmæssigt omfattende militære modsvar i Palæstina;</w:t>
      </w:r>
    </w:p>
    <w:p w14:paraId="77DB2D16" w14:textId="6F3C3BE0" w:rsidR="00FD32D1" w:rsidRPr="0009368B" w:rsidRDefault="008A6E73" w:rsidP="00FD32D1">
      <w:pPr>
        <w:pStyle w:val="NormalHanging12a"/>
      </w:pPr>
      <w:r>
        <w:t>21</w:t>
      </w:r>
      <w:r w:rsidR="00FD32D1" w:rsidRPr="0009368B">
        <w:t>.</w:t>
      </w:r>
      <w:r w:rsidR="00FD32D1" w:rsidRPr="0009368B">
        <w:tab/>
        <w:t>fordømmer på det kraftigste terrorangrebet den 7. oktober 2023 begået af terrororganisationen Hamas mod Israel;</w:t>
      </w:r>
    </w:p>
    <w:p w14:paraId="2E5DAC8A" w14:textId="54A59AA5" w:rsidR="00FD32D1" w:rsidRPr="0009368B" w:rsidRDefault="00FD32D1" w:rsidP="00FD32D1">
      <w:pPr>
        <w:pStyle w:val="NormalHanging12a"/>
      </w:pPr>
      <w:r w:rsidRPr="0009368B">
        <w:t>2</w:t>
      </w:r>
      <w:r w:rsidR="008A6E73">
        <w:t>2</w:t>
      </w:r>
      <w:r w:rsidRPr="0009368B">
        <w:t xml:space="preserve">. </w:t>
      </w:r>
      <w:r w:rsidRPr="0009368B">
        <w:tab/>
        <w:t xml:space="preserve">bekræfter på ny EU's engagement i Staten Israels eksistens, sikkerhed og legitime ret til selvforsvar såvel som i palæstinensernes sikkerhed og værdighed; minder om, at Israels ret til selvforsvar er nedfældet i og begrænset af folkeretten og skal udøves med fuld respekt for internationale domstole; </w:t>
      </w:r>
      <w:r w:rsidR="00917C8E" w:rsidRPr="00917C8E">
        <w:t xml:space="preserve">bemærker med bekymring, at krigen </w:t>
      </w:r>
      <w:r w:rsidRPr="0009368B">
        <w:t xml:space="preserve">i Gaza, har </w:t>
      </w:r>
      <w:r w:rsidRPr="0009368B">
        <w:lastRenderedPageBreak/>
        <w:t xml:space="preserve">haft katastrofale humanitære konsekvenser og </w:t>
      </w:r>
      <w:r w:rsidR="00917C8E" w:rsidRPr="00917C8E">
        <w:t xml:space="preserve">har </w:t>
      </w:r>
      <w:r w:rsidRPr="0009368B">
        <w:t xml:space="preserve">medført uacceptable lidelser for civilbefolkningen, og som på bemærkelsesværdig vis er blevet forværret af Hamas gennem bevidst misbrug af civil infrastruktur og dets brug af civilbefolkningen i Gaza som menneskelige skjolde, herunder de tilbageværende israelske gidsler; udtrykker sin lettelse over befrielsen af alle levende gidsler og opfordrer Hamas til at udlevere </w:t>
      </w:r>
      <w:r w:rsidR="00917C8E" w:rsidRPr="00917C8E">
        <w:t>liget af det sidste afdøde gidsel, som Hamas stadig er i besiddelse af, til de pårørende</w:t>
      </w:r>
      <w:r w:rsidRPr="0009368B">
        <w:t xml:space="preserve">; bekræfter på ny sin holdning om at kræve en permanent våbenhvile, hurtig humanitær adgang og nødhjælpskorridorer; beklager dybt skrøbeligheden af våbenhvilen i Gaza – en omstændighed, der har bragt for mange civiles liv i fare; </w:t>
      </w:r>
    </w:p>
    <w:p w14:paraId="5AB0F43C" w14:textId="702A8D0C" w:rsidR="00FD32D1" w:rsidRPr="0009368B" w:rsidRDefault="00FD32D1" w:rsidP="00FD32D1">
      <w:pPr>
        <w:pStyle w:val="NormalHanging12a"/>
      </w:pPr>
      <w:r w:rsidRPr="0009368B">
        <w:t>2</w:t>
      </w:r>
      <w:r w:rsidR="008A6E73">
        <w:t>3</w:t>
      </w:r>
      <w:r w:rsidRPr="0009368B">
        <w:t xml:space="preserve">. </w:t>
      </w:r>
      <w:r w:rsidRPr="0009368B">
        <w:tab/>
        <w:t>minder om, at overholdelse af artikel 2 i associeringsaftalen mellem EU og Israel</w:t>
      </w:r>
      <w:r w:rsidRPr="0009368B">
        <w:rPr>
          <w:rStyle w:val="FootnoteReference"/>
        </w:rPr>
        <w:footnoteReference w:id="14"/>
      </w:r>
      <w:r w:rsidRPr="0009368B">
        <w:t xml:space="preserve"> er et afgørende element i partnerskabet, og opfordrer den israelske regering til fortsat at overvåge og vurdere gennemførelsen af den; minder om, at Kommissionens formand på baggrund af den humanitære situation i Gaza den 10. september 2025 bebudede forslag om at suspendere visse handelsbestemmelser i associeringsaftalen samt støtte til målrettede foranstaltninger mod bestemte israelske ministre; noterer sig de arrestordrer, der blev udstedt af ICC den 21. november 2024; understreger, at alle foranstaltninger af denne art bør overvejes nøje og træffes på en måde, der bevarer EU's evne til at handle som en troværdig partner og fremme udsigterne til en forhandlet tostatsløsning; mener, at Associeringsrådet EU-Israel fortsat er et meget vigtigt forum for ærlig dialog; bekræfter på ny, at konstruktivt engagement og vedvarende dialog fortsat er de mest effektive instrumenter til at fremme fred, sikkerhed og varig stabilitet i regionen; insisterer på, at den konkrete køreplan for gennemførelsen af tostatsløsningen skal være det centrale fokus i Kommissionens strategi for Mellemøsten, der er planlagt til 2026; beklager de konsekvenser, som fraværet af en fælles reaktion på den katastrofale situation i Gazastriben har haft for EU's globale omdømme; </w:t>
      </w:r>
    </w:p>
    <w:p w14:paraId="51969449" w14:textId="1D1703AA" w:rsidR="00FD32D1" w:rsidRDefault="00FD32D1" w:rsidP="00FD32D1">
      <w:pPr>
        <w:pStyle w:val="NormalHanging12a"/>
      </w:pPr>
      <w:r w:rsidRPr="0009368B">
        <w:t>2</w:t>
      </w:r>
      <w:r w:rsidR="008A6E73">
        <w:t>4</w:t>
      </w:r>
      <w:r w:rsidRPr="0009368B">
        <w:t>.</w:t>
      </w:r>
      <w:r w:rsidRPr="0009368B">
        <w:tab/>
        <w:t>understreger, at varig fred kræver en troværdig politisk proces, som tager sigte på at opnå en tostatsløsning baseret på grænserne fra 1967 med to suveræne, demokratiske stater som fredelige naboer og med Jerusalem som fælles hovedstad; opfordrer alle parter til at gøre en fornyet indsats for at fjerne hindringerne for denne løsning</w:t>
      </w:r>
      <w:r w:rsidR="004754BD" w:rsidRPr="00381091">
        <w:t>;</w:t>
      </w:r>
      <w:r w:rsidRPr="0009368B">
        <w:t xml:space="preserve"> fordømmer udvidelsen af israelske bosættelser på Vestbredden og </w:t>
      </w:r>
      <w:r w:rsidR="004754BD" w:rsidRPr="004754BD">
        <w:t xml:space="preserve">minder om EU's mangeårige holdning om, at disse fortsat er ulovlige </w:t>
      </w:r>
      <w:r w:rsidRPr="0009368B">
        <w:t xml:space="preserve">i </w:t>
      </w:r>
      <w:r w:rsidR="004754BD" w:rsidRPr="004754BD">
        <w:t>henhold til folkeretten og udgør</w:t>
      </w:r>
      <w:r w:rsidR="004754BD">
        <w:t xml:space="preserve"> </w:t>
      </w:r>
      <w:r w:rsidRPr="0009368B">
        <w:t xml:space="preserve">en </w:t>
      </w:r>
      <w:r w:rsidR="004754BD" w:rsidRPr="004754BD">
        <w:t>ensidig foranstaltning, der undergraver tilliden og udsigterne til en forhandlingsløsning</w:t>
      </w:r>
      <w:r w:rsidRPr="0009368B">
        <w:t>; bifalder de sanktioner, der er vedtaget mod ekstremistiske israelske bosættere; fremhæver Den Palæstinensiske Myndigheds rolle som EU's vigtigste samtalepartner i Palæstina og bekræfter på ny, at enhver fremtidig forvaltning i Gaza skal udelukke terrororganisationers deltagelse og sikre demilitariseringen af Gaza; gentager sin modstand mod enhver annekteringsplan for Gaza eller noget som helst andet palæstinensisk område og mod massetvangsforflytninger;</w:t>
      </w:r>
    </w:p>
    <w:p w14:paraId="20E67C0A" w14:textId="01A55590" w:rsidR="00F44BB0" w:rsidRPr="0009368B" w:rsidRDefault="00F44BB0" w:rsidP="00FD32D1">
      <w:pPr>
        <w:pStyle w:val="NormalHanging12a"/>
      </w:pPr>
      <w:r w:rsidRPr="00F44BB0">
        <w:t>2</w:t>
      </w:r>
      <w:r w:rsidR="008A6E73">
        <w:t>5</w:t>
      </w:r>
      <w:r w:rsidRPr="00F44BB0">
        <w:t>.</w:t>
      </w:r>
      <w:r w:rsidRPr="00F44BB0">
        <w:tab/>
        <w:t xml:space="preserve">fastholder, at Kommissionen skal kunne garantere, at der ikke tildeles eller knyttes nogen EU-midler til nogen form for terrorisme og/eller religiøs og politisk radikalisering; gentager sin holdning om, at alle skolebøger og undervisningsmaterialer, der støttes med EU-midler, skal være i overensstemmelse med UNESCO's standarder for fred, tolerance, sameksistens og ikkevold; er bekymret over den antisemitisme, hadtale, forherligelse af djihad og tilskyndelse til vold, som indgår i palæstinensiske </w:t>
      </w:r>
      <w:r w:rsidRPr="00F44BB0">
        <w:lastRenderedPageBreak/>
        <w:t>skolebøger, der indirekte finansieres af EU;</w:t>
      </w:r>
    </w:p>
    <w:p w14:paraId="18C3A357" w14:textId="16F4594B" w:rsidR="00FD32D1" w:rsidRPr="0009368B" w:rsidRDefault="00FD32D1" w:rsidP="00FD32D1">
      <w:pPr>
        <w:pStyle w:val="NormalHanging12a"/>
      </w:pPr>
      <w:r w:rsidRPr="0009368B">
        <w:t>2</w:t>
      </w:r>
      <w:r w:rsidR="008A6E73">
        <w:t>6</w:t>
      </w:r>
      <w:r w:rsidRPr="0009368B">
        <w:t>.</w:t>
      </w:r>
      <w:r w:rsidRPr="0009368B">
        <w:tab/>
        <w:t>tilskynder FN, Den Arabiske Liga, regionale partnere og EU til at koordinere donorstøtten, knytte et solidt tilsyn til finansieringen og sikre, at genopbygningsbistanden støtter civile institutioner og effektiv regeringsførelse; giver i den forbindelse udtryk for dyb bekymring over terrorgruppers misbrug af humanitær bistand bestemt for de palæstinensiske områder; opfordrer til, at kontrolmekanismerne for fordelingen af EU-midler styrkes;</w:t>
      </w:r>
    </w:p>
    <w:p w14:paraId="245E0CE2" w14:textId="37123F21" w:rsidR="00FD32D1" w:rsidRPr="0009368B" w:rsidRDefault="00FD32D1" w:rsidP="00FD32D1">
      <w:pPr>
        <w:pStyle w:val="NormalHanging12a"/>
      </w:pPr>
      <w:r w:rsidRPr="0009368B">
        <w:t>2</w:t>
      </w:r>
      <w:r w:rsidR="008A6E73">
        <w:t>7</w:t>
      </w:r>
      <w:r w:rsidRPr="0009368B">
        <w:t>.</w:t>
      </w:r>
      <w:r w:rsidRPr="0009368B">
        <w:tab/>
        <w:t>anerkender visse arabiske staters og Israels bestræbelser på at normalisere de diplomatiske forbindelser i henhold til Abrahamaftalerne; opfordrer EU til at støtte initiativer, der har til formål at skabe bred regional og international opbakning til en bedre fremtid med hensyn til de arabisk-israelske forbindelser;</w:t>
      </w:r>
    </w:p>
    <w:p w14:paraId="4721107E" w14:textId="520CA742" w:rsidR="00FD32D1" w:rsidRPr="0009368B" w:rsidRDefault="00FD32D1" w:rsidP="00FD32D1">
      <w:pPr>
        <w:pStyle w:val="NormalHanging12a"/>
      </w:pPr>
      <w:r w:rsidRPr="0009368B">
        <w:t>2</w:t>
      </w:r>
      <w:r w:rsidR="008A6E73">
        <w:t>8</w:t>
      </w:r>
      <w:r w:rsidRPr="0009368B">
        <w:t>.</w:t>
      </w:r>
      <w:r w:rsidRPr="0009368B">
        <w:tab/>
        <w:t>bemærker, at en betydelig svækkelse af Iran og dets allierede – herunder Assadregimets fald og nederlag til Teherans stedfortrædere såsom Hizbollah, Hamas, houthierne og andre militser – ville give håb om fred og om fortsat normalisering af regionen i Abrahamaftalens ånd;</w:t>
      </w:r>
      <w:r w:rsidR="00F44BB0">
        <w:t xml:space="preserve"> </w:t>
      </w:r>
      <w:r w:rsidR="00F44BB0" w:rsidRPr="00F44BB0">
        <w:t>er dybt bekymret over Hizbollahs betydelige støtte til Ruslands militære operationer i Ukraine og dets koordinering med andre iranskstøttede militser;</w:t>
      </w:r>
    </w:p>
    <w:p w14:paraId="5A829C2C" w14:textId="3E115D82" w:rsidR="00FD32D1" w:rsidRPr="0009368B" w:rsidRDefault="00FD32D1" w:rsidP="00FD32D1">
      <w:pPr>
        <w:pStyle w:val="NormalHanging12a"/>
      </w:pPr>
      <w:r w:rsidRPr="0009368B">
        <w:t>2</w:t>
      </w:r>
      <w:r w:rsidR="008A6E73">
        <w:t>9</w:t>
      </w:r>
      <w:r w:rsidRPr="0009368B">
        <w:t>.</w:t>
      </w:r>
      <w:r w:rsidRPr="0009368B">
        <w:tab/>
        <w:t>glæder sig over de positive forandringer i Libanon siden begyndelsen af 2025</w:t>
      </w:r>
      <w:r w:rsidR="00F44BB0" w:rsidRPr="00F44BB0">
        <w:t>, der er afspejlet i konklusionerne fra det niende møde i Associeringsrådet EU-Libanon, navnlig viljen til at støtte den libanesiske sikkerhedssektor yderligere gennem fuld anvendelse af EU-værktøjer, herunder den europæiske fredsfacilitet og programmer under instrumentet for naboskab, udviklingssamarbejde og internationalt samarbejde, og til at undersøge mulighederne for en fremtidig indsats inden for den fælles sikkerheds- og forsvarspolitik</w:t>
      </w:r>
      <w:r w:rsidRPr="0009368B">
        <w:t xml:space="preserve">; er fortsat bekymret over </w:t>
      </w:r>
      <w:r w:rsidR="00F44BB0" w:rsidRPr="00F44BB0">
        <w:t xml:space="preserve">indflydelsen fra </w:t>
      </w:r>
      <w:r w:rsidRPr="0009368B">
        <w:t xml:space="preserve">væbnede militser og terrororganisationer </w:t>
      </w:r>
      <w:r w:rsidR="00F44BB0" w:rsidRPr="00F44BB0">
        <w:t xml:space="preserve">og beklager navnlig de manglende fremskridt med den lovede afvæbning af </w:t>
      </w:r>
      <w:r w:rsidRPr="0009368B">
        <w:t xml:space="preserve">Hizbollah </w:t>
      </w:r>
      <w:r w:rsidR="00F44BB0" w:rsidRPr="00F44BB0">
        <w:t>og andre væbnede grupper, hvilket er en forudsætning for regional stabilitet</w:t>
      </w:r>
      <w:r w:rsidRPr="0009368B">
        <w:t>; gør på ny opmærksom på betydningen af en ambitiøs "pagt for Middelhavsområdet" og en effektiv gennemførelse heraf med tilstrækkelig teknisk og finansiel støtte til Libanon og med fokus på kapacitetsopbygning, energiinfrastruktur og social støtte; opfordrer indtrængende NF/HR og Kommissionen til at støtte den libanesiske regering i forbindelse med dens reformdagsorden</w:t>
      </w:r>
      <w:r w:rsidR="00F44BB0">
        <w:t xml:space="preserve"> </w:t>
      </w:r>
      <w:r w:rsidR="00F44BB0" w:rsidRPr="00F44BB0">
        <w:t>og dens plan om at genindføre et monopol på våben; gentager sin fulde støtte til Libanons suverænitet, statslige myndighed, territoriale integritet, politiske uafhængighed og stabilitet i overensstemmelse med FN's Sikkerhedsråds resolution 1701</w:t>
      </w:r>
      <w:r w:rsidRPr="0009368B">
        <w:t>;</w:t>
      </w:r>
    </w:p>
    <w:p w14:paraId="5FAE1B20" w14:textId="3B3D19B8" w:rsidR="00FD32D1" w:rsidRDefault="008A6E73" w:rsidP="00FD32D1">
      <w:pPr>
        <w:pStyle w:val="NormalHanging12a"/>
      </w:pPr>
      <w:r>
        <w:t>30</w:t>
      </w:r>
      <w:r w:rsidR="00FD32D1" w:rsidRPr="0009368B">
        <w:t>.</w:t>
      </w:r>
      <w:r w:rsidR="00FD32D1" w:rsidRPr="0009368B">
        <w:tab/>
        <w:t>står sammen med Syriens religiøst og etnisk mangfoldige samfund, som i over et årti har lidt under det iransk</w:t>
      </w:r>
      <w:r w:rsidR="00FD32D1" w:rsidRPr="0009368B">
        <w:noBreakHyphen/>
        <w:t xml:space="preserve"> og russiskstøttede Assad-regime og terrorgrupper; støtter en syriskledet og syriskejet inkluderende politisk proces, der indbefatter territorial integritet, retsopgør og forsoning; opfordrer indtrængende de syriske myndigheder til at intensivere bestræbelserne på at inddrage alle dele af det syriske samfund i beslutningstagningen, til at gøre fremskridt med gennemførelsen af aftalen med de syriske demokratiske styrker i det nordøstlige Syrien og fortsat at fremme hurtige, gennemsigtige og uafhængige undersøgelser af gerninger, hvor man er gået målrettet efter religiøse og etniske befolkningsgrupper, samt til at træffe alle nødvendige foranstaltninger til at bekæmpe sekterisk vold og straffrihed; beklager i den forbindelse den fortsatte forfølgelse og tvangsfordrivelse af samt forskelsbehandlingen af og angreb på religiøse befolkningsgrupper såsom kristne og gentager, at EU er nødt til at beskytte Syriens rige multikulturelle identitet; erkender den enorme mangel på finansielle og menneskelige ressourcer til at genopbygge landet og støtter EU's beslutning om at </w:t>
      </w:r>
      <w:r w:rsidR="00FD32D1" w:rsidRPr="0009368B">
        <w:lastRenderedPageBreak/>
        <w:t>ophæve sektorspecifikke sanktioner i lighed med USA og Det Forenede Kongerige og yde betydelig udviklingsbistand i tillæg til humanitær bistand som bebudet under den første del af Bruxelleskonferencen for Syrien i 2025;</w:t>
      </w:r>
      <w:r w:rsidR="00327BD7">
        <w:t xml:space="preserve"> </w:t>
      </w:r>
      <w:r w:rsidR="00327BD7" w:rsidRPr="00327BD7">
        <w:t>glæder sig over det besøg i Syrien, som Kommissionens formand, Ursula von der Leyen, og formanden for Det Europæiske Råd, António Costa, aflagde den 8. januar 2026 med henblik på at styrke de politiske bånd og det økonomiske engagement; noterer sig med tilfredshed den aftale, som Syrien og Israel indgik den 6. januar 2026, om oprettelse af en særlig kommunikationscelle til koordinering af militær nedtrapning</w:t>
      </w:r>
      <w:r w:rsidR="00327BD7">
        <w:t>;</w:t>
      </w:r>
    </w:p>
    <w:p w14:paraId="3EC3E049" w14:textId="32108B5A" w:rsidR="00076481" w:rsidRPr="0009368B" w:rsidRDefault="008A6E73" w:rsidP="00FD32D1">
      <w:pPr>
        <w:pStyle w:val="NormalHanging12a"/>
      </w:pPr>
      <w:r>
        <w:t>31</w:t>
      </w:r>
      <w:r w:rsidR="00076481">
        <w:t>.</w:t>
      </w:r>
      <w:r w:rsidR="00076481">
        <w:tab/>
      </w:r>
      <w:r w:rsidR="00076481" w:rsidRPr="00076481">
        <w:t xml:space="preserve">udtrykker alvorlig bekymring over de igangværende kampe i områder som Aleppo og det nordøstlige Syrien, som resulterer i yderligere fordrivelse og et stort antal ofre </w:t>
      </w:r>
      <w:r w:rsidR="00913DC6">
        <w:t xml:space="preserve">inden </w:t>
      </w:r>
      <w:r w:rsidR="00076481" w:rsidRPr="00076481">
        <w:t xml:space="preserve">for civilbefolkningen og skaber en alvorlig sikkerhedsrisiko, navnlig på grund af </w:t>
      </w:r>
      <w:r w:rsidR="00913DC6">
        <w:t xml:space="preserve">flugten af </w:t>
      </w:r>
      <w:r w:rsidR="00076481" w:rsidRPr="00076481">
        <w:t>Daesh-krigere, der tilbageholdes i det nordøstlige Syrien; opfordrer den internationale koalition, herunder USA, til straks at træffe alle nødvendige og umiddelbare foranstaltninger for at afbøde denne sikkerhedsrisiko</w:t>
      </w:r>
      <w:r w:rsidR="00076481">
        <w:t>;</w:t>
      </w:r>
    </w:p>
    <w:p w14:paraId="35537DFB" w14:textId="3FBEB790" w:rsidR="00FD32D1" w:rsidRPr="0009368B" w:rsidRDefault="008A6E73" w:rsidP="00FD32D1">
      <w:pPr>
        <w:pStyle w:val="NormalHanging12a"/>
      </w:pPr>
      <w:r>
        <w:t>32</w:t>
      </w:r>
      <w:r w:rsidR="00FD32D1" w:rsidRPr="0009368B">
        <w:t>.</w:t>
      </w:r>
      <w:r w:rsidR="00FD32D1" w:rsidRPr="0009368B">
        <w:tab/>
        <w:t>bekræfter den nøglerolle, som multilaterale organisationer, navnlig FN, sammen med Verdenshandelsorganisationen, Organisationen for Sikkerhed og Samarbejde i Europa og regionale fora spiller som uundværlige platforme for konfliktløsning og global styring; advarer om, at "minilaterale" formater risikerer i stigende grad at fragmentere de globale normer, og kræver, at EU prioriterer en bred og rummelig opfattelse af multilateralisme i tæt samarbejde med sine ligesindede partnere; opfordrer Kommissionen og NF/HR til at bane vejen for globalt lederskab af multilaterale initiativer; bekræfter sit tilsagn om at fremme omfattende reformer for at styrke FN's rolle, effektivitet og demokratiske repræsentation;</w:t>
      </w:r>
    </w:p>
    <w:p w14:paraId="5F14DA7A" w14:textId="1294EE2D" w:rsidR="00FD32D1" w:rsidRPr="0009368B" w:rsidRDefault="008A6E73" w:rsidP="00FD32D1">
      <w:pPr>
        <w:pStyle w:val="NormalHanging12a"/>
      </w:pPr>
      <w:r>
        <w:t>33</w:t>
      </w:r>
      <w:r w:rsidR="00FD32D1" w:rsidRPr="0009368B">
        <w:t>.</w:t>
      </w:r>
      <w:r w:rsidR="00FD32D1" w:rsidRPr="0009368B">
        <w:tab/>
        <w:t>opfordrer NF/HR til at revurdere EU's tilgang til BRIKS-gruppen og dens partnere og til at udvikle en særskilt EU-politik over for BRIKS+; understreger, at BRIKS+ giver Rusland mulighed for at omgå de foranstaltninger, der havde til formål at isolere landet politisk, og gør det muligt for Kina at øge sin indflydelse yderligere gennem dets modus operandi med at finansiere infrastrukturprojekter;</w:t>
      </w:r>
    </w:p>
    <w:p w14:paraId="3E0E616C" w14:textId="7681E62C" w:rsidR="00FD32D1" w:rsidRDefault="00FD32D1" w:rsidP="00FD32D1">
      <w:pPr>
        <w:pStyle w:val="NormalHanging12a"/>
      </w:pPr>
      <w:r w:rsidRPr="0009368B">
        <w:t>3</w:t>
      </w:r>
      <w:r w:rsidR="008A6E73">
        <w:t>4</w:t>
      </w:r>
      <w:r w:rsidRPr="0009368B">
        <w:t>.</w:t>
      </w:r>
      <w:r w:rsidRPr="0009368B">
        <w:tab/>
        <w:t>opfordrer NF/HR til at agere konsekvent og fremme et virkningsfuldt og solidt demokratisk narrativ i tæt samarbejde med medlemsstaterne for at imødegå autokratisk pres, der har til formål at undergrave kontrollen med magtmisbrug, indskrænke civilsamfundets råderum og nedbryde menneskerettighederne; opfordrer til, at der etableres en europæisk demokrativurdering, som gør det muligt at opdage tegn på autoritære tendenser på et tidligt tidspunkt, samt en værktøjskasse til indgriben med fokus på demokratistøtte og bekæmpelse af autoritære narrativer, navnlig i lyset af den beklagelige nedlukning af De Forenede Staters statslige bistandsorganisations (USAID's) aktiviteter; tilskynder i den forbindelse til større investeringer i strategisk kommunikation og bekæmpelse af udenlandsk indblanding og informationsmanipulation (FIMI); er af den opfattelse, at EU's indsatser for at imødegå denne trussel bør bygge på den allerede eksisterende ekspertise, der er udviklet inden for EU-Udenrigstjenesten, og opfordrer til større sammenhæng mellem eksisterende og kommende EU-forordninger og -indsatser; opfordrer til, at der gøres en yderligere indsats for fuldt ud at tage den FIMI-værktøjskasse, der er udviklet af EU-Udenrigstjenesten, i brug; mener, at EU klart bør udpege det digitale område som et indsatsområde og anerkende digitalt diplomati som en strategisk interesse;</w:t>
      </w:r>
    </w:p>
    <w:p w14:paraId="624FBE16" w14:textId="1749F234" w:rsidR="00567162" w:rsidRPr="0009368B" w:rsidRDefault="00567162" w:rsidP="00FD32D1">
      <w:pPr>
        <w:pStyle w:val="NormalHanging12a"/>
      </w:pPr>
      <w:r w:rsidRPr="00567162">
        <w:t>3</w:t>
      </w:r>
      <w:r w:rsidR="008A6E73">
        <w:t>5</w:t>
      </w:r>
      <w:r w:rsidRPr="00567162">
        <w:t>.</w:t>
      </w:r>
      <w:r w:rsidRPr="00567162">
        <w:tab/>
        <w:t xml:space="preserve">fordømmer på det kraftigste de målrettede sanktioner mod lovgivere med ansvar for </w:t>
      </w:r>
      <w:r w:rsidRPr="00567162">
        <w:lastRenderedPageBreak/>
        <w:t>forordningen om digitale tjenester</w:t>
      </w:r>
      <w:r>
        <w:rPr>
          <w:rStyle w:val="FootnoteReference"/>
        </w:rPr>
        <w:footnoteReference w:id="15"/>
      </w:r>
      <w:r w:rsidRPr="00567162">
        <w:t xml:space="preserve"> og andre forordninger vedrørende det digitale område, navnlig sanktionerne mod en tidligere kommissær;</w:t>
      </w:r>
    </w:p>
    <w:p w14:paraId="48BC43AD" w14:textId="70681E2B" w:rsidR="00FD32D1" w:rsidRPr="0009368B" w:rsidRDefault="00FD32D1" w:rsidP="00FD32D1">
      <w:pPr>
        <w:pStyle w:val="NormalHanging12a"/>
      </w:pPr>
      <w:r w:rsidRPr="0009368B">
        <w:t>3</w:t>
      </w:r>
      <w:r w:rsidR="008A6E73">
        <w:t>6</w:t>
      </w:r>
      <w:r w:rsidRPr="0009368B">
        <w:t>.</w:t>
      </w:r>
      <w:r w:rsidRPr="0009368B">
        <w:tab/>
        <w:t>tilskynder til årlige strategiske gennemgange af trusler mod den regelbaserede internationale orden, der skal koordineres af EU-Udenrigstjenesten og følges op af aktive foranstaltninger for at forhindre yderligere udhuling af de multilaterale normer;</w:t>
      </w:r>
    </w:p>
    <w:p w14:paraId="797D1CB6" w14:textId="77777777" w:rsidR="00FD32D1" w:rsidRPr="0009368B" w:rsidRDefault="00FD32D1" w:rsidP="00FD32D1">
      <w:pPr>
        <w:spacing w:after="240"/>
        <w:rPr>
          <w:b/>
          <w:i/>
        </w:rPr>
      </w:pPr>
      <w:r w:rsidRPr="0009368B">
        <w:rPr>
          <w:b/>
          <w:i/>
        </w:rPr>
        <w:t>Fremme af samarbejde baseret på fælles interesser</w:t>
      </w:r>
    </w:p>
    <w:p w14:paraId="4FC35C4A" w14:textId="655A3EF2" w:rsidR="00FD32D1" w:rsidRPr="0009368B" w:rsidRDefault="00FD32D1" w:rsidP="00FD32D1">
      <w:pPr>
        <w:pStyle w:val="NormalHanging12a"/>
        <w:spacing w:before="240"/>
        <w:ind w:left="567" w:hanging="567"/>
      </w:pPr>
      <w:r w:rsidRPr="0009368B">
        <w:t>3</w:t>
      </w:r>
      <w:r w:rsidR="008A6E73">
        <w:t>7</w:t>
      </w:r>
      <w:r w:rsidRPr="0009368B">
        <w:t>.</w:t>
      </w:r>
      <w:r w:rsidRPr="0009368B">
        <w:tab/>
        <w:t>bekræfter endnu en gang, at EU's eksterne foranstaltninger forudsætter et troværdigt værdibaseret engagement; fastholder imidlertid, at det ikke er tilstrækkeligt udelukkende at basere sig på normative beføjelser og principper; tilskynder til en mere assertiv forfølgelse af EU's strategiske mål, i forbindelse med hvilken partnerskaber og alliancer baseret på fælles interesser udnyttes aktivt; understreger, at en succesfuld udnyttelse af partnerskaber og alliancer – også på lang sigt – skal være baseret på lige vilkår mellem partnerne; understreger, at EU-støtte bør være betinget af respekt for grundlæggende demokratiske principper og retsstatsprincippet; bekræfter i den forbindelse på ny, at EU-lovgivning ikke er til forhandling med ikke-EU-lande;</w:t>
      </w:r>
    </w:p>
    <w:p w14:paraId="14B86B90" w14:textId="522DB656" w:rsidR="00FD32D1" w:rsidRPr="0009368B" w:rsidRDefault="00FD32D1" w:rsidP="00FD32D1">
      <w:pPr>
        <w:pStyle w:val="NormalHanging12a"/>
      </w:pPr>
      <w:r w:rsidRPr="0009368B">
        <w:t>3</w:t>
      </w:r>
      <w:r w:rsidR="008A6E73">
        <w:t>8</w:t>
      </w:r>
      <w:r w:rsidRPr="0009368B">
        <w:t>.</w:t>
      </w:r>
      <w:r w:rsidRPr="0009368B">
        <w:tab/>
        <w:t>tilskynder i den forbindelse NF/HR til at gå efter skræddersyede politikker, som imødekommer medlemsstaternes og partnerlandenes forventninger, og som hurtigt leverer resultater i forbindelse med politiske aftaler, og derved godtgøre, at EU er et pålideligt strategisk anker, navnlig i en tid, hvor konflikter breder sig, og hvor magtanvendelse i stigende grad normaliseres som et middel til at forfølge politiske mål;</w:t>
      </w:r>
    </w:p>
    <w:p w14:paraId="02031D47" w14:textId="671D1B7A" w:rsidR="00FD32D1" w:rsidRDefault="00FD32D1" w:rsidP="00FD32D1">
      <w:pPr>
        <w:pStyle w:val="NormalHanging12a"/>
      </w:pPr>
      <w:r w:rsidRPr="0009368B">
        <w:t>3</w:t>
      </w:r>
      <w:r w:rsidR="008A6E73">
        <w:t>9</w:t>
      </w:r>
      <w:r w:rsidRPr="0009368B">
        <w:t>.</w:t>
      </w:r>
      <w:r w:rsidRPr="0009368B">
        <w:tab/>
      </w:r>
      <w:r w:rsidR="00EE04A7" w:rsidRPr="00EE04A7">
        <w:t>understreger, at et stærkt transatlantisk partnerskab med USA og Canada inden for rammerne af NATO udgør kernen i den europæiske sikkerhedsarkitektur; udtrykker i den forbindelse bekymring over, at visse elementer i USA's nye nationale sikkerhedsstrategi langt fra imødegår den trussel, som Rusland udgør for især Europas sikkerhed og dermed også USA's sikkerhed, i tilstrækkelig grad; beklager endvidere, at den nationale sikkerhedsstrategi indeholder en mangelfuld vurdering af EU som et politisk system, herunder de utilstrækkelige beskrivelser af den nationale politiske situation i EU's medlemsstater; bekræfter på ny Parlamentets mangeårige støtte til EU's kerneværdier demokrati og menneskerettigheder; mener, at den nationale sikkerhedsstrategi yderligere forstærker den absolutte nødvendighed af, at Europa styrker sin strategiske autonomi, mindsker sin afhængighed og diversificerer sine partnerskaber</w:t>
      </w:r>
      <w:r w:rsidRPr="0009368B">
        <w:t>;</w:t>
      </w:r>
    </w:p>
    <w:p w14:paraId="734FD01A" w14:textId="2051836C" w:rsidR="001B5C48" w:rsidRDefault="008A6E73" w:rsidP="00FD32D1">
      <w:pPr>
        <w:pStyle w:val="NormalHanging12a"/>
      </w:pPr>
      <w:r>
        <w:t>40</w:t>
      </w:r>
      <w:r w:rsidR="001B5C48" w:rsidRPr="001B5C48">
        <w:t>.</w:t>
      </w:r>
      <w:r w:rsidR="001B5C48" w:rsidRPr="001B5C48">
        <w:tab/>
        <w:t xml:space="preserve">beklager den amerikanske præsidents beslutning af 7. januar 2026 om at trække sig ud af, suspendere deltagelsen i eller bringe samarbejdet med et betydeligt antal internationale organisationer, herunder en lang række FN-organer, til ophør; udtrykker sin alvorlige bekymring for, at et sådant skridt kan undergrave FN-systemets finansielle bæredygtighed, svække det multilaterale samarbejde på et tidspunkt, hvor der er allermest behov for det, og opmuntre autoritære og revisionistiske aktører, der historisk set har forsøgt at udnytte enhver tilbagetrækning eller distancering fra internationale organisationer fra vestlige magters side; tilskynder den amerikanske regering til at overveje sin beslutning og på ny bekræfte sit engagement i FN og det multilaterale </w:t>
      </w:r>
      <w:r w:rsidR="001B5C48" w:rsidRPr="001B5C48">
        <w:lastRenderedPageBreak/>
        <w:t>samarbejde;</w:t>
      </w:r>
    </w:p>
    <w:p w14:paraId="2FC1B06F" w14:textId="45FC0A26" w:rsidR="001B5C48" w:rsidRDefault="008A6E73" w:rsidP="00FD32D1">
      <w:pPr>
        <w:pStyle w:val="NormalHanging12a"/>
      </w:pPr>
      <w:r>
        <w:t>41</w:t>
      </w:r>
      <w:r w:rsidR="001B5C48" w:rsidRPr="001B5C48">
        <w:t>.</w:t>
      </w:r>
      <w:r w:rsidR="001B5C48" w:rsidRPr="001B5C48">
        <w:tab/>
        <w:t>afviser resolut ethvert forsøg på at undergrave Kongeriget Danmarks, og herunder Grønlands, suverænitet og territoriale integritet; minder i den forbindelse om, at Grønland er en selvstyrende del af Kongeriget Danmark og har beføjelse til at træffe afgørelse om sin økonomiske udvikling, sine internationale partnerskaber og sin råstofpolitik; gentager, at kun det grønlandske folk kan træffe beslutning om deres fremtid; advarer samtidig om, at sådanne politiske processer ikke må instrumentaliseres eller påvirkes af eksterne aktører; fremhæver navnlig Kinas strategiske interesse i Arktis og dets anvendelse af økonomisk indflydelse til at opnå politisk indflydelse; noterer sig, at USA's interesse skyldes sikkerhedsmæssige bekymringer knyttet til udviklingen i det strategiske miljø i Arktis, men mener, at forsvarsaftalen fra 1951 mellem Kongeriget Danmark og USA giver fuldt ud tilstrækkelige muligheder for øget amerikansk tilstedeværelse i Grønland; minder om, at Danmark, herunder Grønland, er medlem af NATO og derfor fuldt ud er omfattet af alliancens kollektive sikkerhedsgarantier; glæder sig over erklæringen af 6. januar 2026 fra syv europæiske ledere og understreger, at sikkerhed i Arktis kun kan opnås i fællesskab, i samarbejde med NATO; opfordrer Kommissionen og Det Europæiske Råd til at fastlægge konkret støtte til Grønland og Danmark i overensstemmelse med EU's principper, folkeretten og NATO-chartret;</w:t>
      </w:r>
    </w:p>
    <w:p w14:paraId="5A36144C" w14:textId="06D3F08C" w:rsidR="00D911F6" w:rsidRDefault="008A6E73" w:rsidP="00FD32D1">
      <w:pPr>
        <w:pStyle w:val="NormalHanging12a"/>
      </w:pPr>
      <w:r>
        <w:t>42</w:t>
      </w:r>
      <w:r w:rsidR="00D911F6" w:rsidRPr="00D911F6">
        <w:t>.</w:t>
      </w:r>
      <w:r w:rsidR="00D911F6" w:rsidRPr="00D911F6">
        <w:tab/>
        <w:t>finder det beklageligt, at USA nu har anlagt en mere transaktionsbaseret tilgang til udenrigspolitik, som er kendetegnet ved et mere indskrænket engagement i multilateralisme og europæisk sikkerhed; fremhæver vigtigheden af, at EU drager lektier af egne sårbarheder og tager de fornødne skridt på EU-plan til at forebygge en fremtidig situation, hvor Unionen vil være sårbar over for tvang; anser det for mere afgørende end nogensinde at opretholde forbindelserne til amerikanske samarbejdspartnere på føderalt og delstatsniveau og sikre fortsat koordination inden for områder som sikkerhed, teknologi og økonomisk modstandsdygtighed og samtidig vise sammenhold og fast tilslutning til en fælles EU-holdning; tilslutter sig fuldt og helt uddybningen af samarbejdet inden for rammerne af den EU-amerikanske transatlantiske lovgiverdialog og at der regelmæssigt afholdes topmøder mellem EU og USA for at give det fremtidige samarbejde fremdrift på højeste niveau; opfordrer til en uddybning af den EU-amerikanske dialog om sikkerhed og forsvar, hvis potentiale stadig er uudnyttet; minder om, at Europa, såfremt det skal være en stærk transatlantisk partner, skal kunne tage vare på eget forsvar og egen sikkerhed; gentager i den forbindelse den akutte nødvendighed af, at EU og dets medlemsstater til fulde omsætter konceptet "strategisk autonomi og forsvarsberedskab" i praksis og med henblik herpå foretager kollektive og velkoordinerede investeringer i de nødvendige forsvarskapabiliteter; fremhæver det presserende behov for, at EU og dets medlemsstater bliver mere pålidelige og mere selvforsynende på områderne sikkerhed, forsvar og teknologi med det formål at styrke den europæiske søjle inden for NATO;</w:t>
      </w:r>
    </w:p>
    <w:p w14:paraId="43EC9E35" w14:textId="64EA0FFD" w:rsidR="00086C13" w:rsidRPr="0009368B" w:rsidRDefault="008A6E73" w:rsidP="00FD32D1">
      <w:pPr>
        <w:pStyle w:val="NormalHanging12a"/>
      </w:pPr>
      <w:r>
        <w:t>43</w:t>
      </w:r>
      <w:r w:rsidR="00086C13">
        <w:t>.</w:t>
      </w:r>
      <w:r w:rsidR="00086C13">
        <w:tab/>
      </w:r>
      <w:r w:rsidR="00086C13" w:rsidRPr="00086C13">
        <w:t>bekræfter sin fulde og urokkelige solidaritet med Grønland som en del af Kongeriget Danmark; fordømmer brugen af ensidige handelstrusler og økonomisk intimidering mod Danmark og andre EU-medlemsstater som en form for tvang, der er uforenelig med folkeretten og de centrale principper for samarbejde mellem NATO-allierede; advarer mod forsøg på at instrumentalisere sikkerhedshensyn i Arktis til at udøve territorialt eller politisk pres og støtter fuldt ud Kongeriget Danmarks, herunder Grønlands, holdning om, at Grønland ikke er til salg; understreger, at Grønland ikke må anvendes som et redskab til at splitte Den Europæiske Union; opfordrer Unionen til at reagere beslutsomt, kollektivt og beslutsomt og til at modsætte sig sådanne handlinger;</w:t>
      </w:r>
    </w:p>
    <w:p w14:paraId="4C86D57B" w14:textId="62B3FC8C" w:rsidR="00FD32D1" w:rsidRPr="0009368B" w:rsidRDefault="00D56CD6" w:rsidP="00FD32D1">
      <w:pPr>
        <w:pStyle w:val="NormalHanging12a"/>
      </w:pPr>
      <w:r>
        <w:lastRenderedPageBreak/>
        <w:t>44</w:t>
      </w:r>
      <w:r w:rsidR="00FD32D1" w:rsidRPr="0009368B">
        <w:t>.</w:t>
      </w:r>
      <w:r w:rsidR="00FD32D1" w:rsidRPr="0009368B">
        <w:tab/>
        <w:t>glæder sig over sikkerheds- og forsvarspartnerskabet mellem EU og Canada, der blev undertegnet på topmødet mellem EU og Canada i 2025 som den første aftale af denne art med en partner på det amerikanske kontinent; opfordrer til, at den hurtigt føres ud i livet, bl.a. gennem canadisk deltagelse i missioner og operationer under den fælles sikkerheds- og forsvarspolitik (FSFP); støtter forhandlingerne om et direktiv, der gør det muligt for canadiske enheder at deltage i EU's fælles indkøb under instrumentet for sikkerhedstiltag for Europa (SAFE);</w:t>
      </w:r>
    </w:p>
    <w:p w14:paraId="6BB89B5C" w14:textId="2DEC6FE9" w:rsidR="00FD32D1" w:rsidRPr="0009368B" w:rsidRDefault="00D56CD6" w:rsidP="00FD32D1">
      <w:pPr>
        <w:pStyle w:val="NormalHanging12a"/>
      </w:pPr>
      <w:r>
        <w:t>45</w:t>
      </w:r>
      <w:r w:rsidR="00FD32D1" w:rsidRPr="0009368B">
        <w:t>.</w:t>
      </w:r>
      <w:r w:rsidR="00FD32D1" w:rsidRPr="0009368B">
        <w:tab/>
        <w:t>roser det stærke og konstruktive partnerskab med Det Forenede Kongerige; glæder sig over den fælles erklæring fra Det Forenede Kongeriges og EU's ledere af 19. maj 2025 efter 2025-topmødet mellem Det Forenede Kongerige og EU, navnlig oprettelsen af det omfattende sikkerheds- og forsvarspartnerskab; opfordrer til en hurtig og fuldstændig gennemførelse heraf, herunder gennem i) regelmæssige, halvårlige strategiske udenrigs- og sikkerhedsdialoger på ministerplan mellem Det Forenede Kongeriges udenrigs- og forsvarsministre og NF/HR for at koordinere reaktionerne på kriser og bringe strategiske prioriteter på linje, ii) Det Forenede Kongeriges deltagelse i EU's civile og militære krisestyringsmissioner under FSFP, når dette er juridisk muligt, iii) øget samarbejde om cyberrobusthed, imødegåelse af hybride trusler, beskyttelse af kritisk infrastruktur og bekæmpelse af ulovlig finansiering, iv) styrket koordinering af håndhævelse af sanktioner og v) fælles foranstaltninger til bekæmpelse af Ruslands skyggeflåde</w:t>
      </w:r>
      <w:r w:rsidR="0045733A" w:rsidRPr="0045733A">
        <w:t>, og glæder sig over de fælles tilsagn om at udvide samarbejdet på Vestbalkan, navnlig om at sikre efterlevelse af magtdelingsprincippet i Dayton-Paris-fredsaftalen</w:t>
      </w:r>
      <w:r w:rsidR="00FD32D1" w:rsidRPr="0009368B">
        <w:t>; noterer sig den politiske aftale om de vigtigste aspekter af den fremtidige aftale mellem EU og Det Forenede Kongerige med hensyn til Gibraltar, som blev bekendtgjort af parterne den 11. juni 2025; afventer offentliggørelsen af den fuldstændige lovtekst, så den kan undersøges nærmere;</w:t>
      </w:r>
    </w:p>
    <w:p w14:paraId="242D1ACD" w14:textId="628E0A72" w:rsidR="00FD32D1" w:rsidRPr="0009368B" w:rsidRDefault="00D56CD6" w:rsidP="00FD32D1">
      <w:pPr>
        <w:pStyle w:val="NormalHanging12a"/>
      </w:pPr>
      <w:r>
        <w:t>46</w:t>
      </w:r>
      <w:r w:rsidR="00FD32D1" w:rsidRPr="0009368B">
        <w:t>.</w:t>
      </w:r>
      <w:r w:rsidR="00FD32D1" w:rsidRPr="0009368B">
        <w:tab/>
        <w:t>roser de tætte forbindelser med vesteuropæiske ikke-EU-lande og deres stærke samarbejde med EU om eksterne foranstaltninger; glæder sig i den forbindelse over afslutningen af forhandlingerne om og den foreløbige sektorielle anvendelse af en bred pakke af foranstaltninger for så vidt angår de fremtidige forbindelser mellem EU og Schweiz, hvilket markerer en vigtig milepæl med hensyn til at fremme og uddybe de allerede tætte forbindelser; tilskynder til en hurtig ratifikation heraf; understreger vigtigheden af forsvars</w:t>
      </w:r>
      <w:r w:rsidR="00FD32D1" w:rsidRPr="0009368B">
        <w:noBreakHyphen/>
        <w:t xml:space="preserve"> og sikkerhedspartnerskabet med Norge og fremhæver betydningen af at fremme stærkere forbindelser med Norge i lyset af landets afgørende rolle for EU's energisikkerhed; opfordrer til øget samarbejde om energiresiliens og forsyningsdiversificering som centrale instrumenter til fremme af Unionens strategiske autonomi; glæder sig over befolkningens voksende støtte til EU-tiltrædelse i Island samt den intention, som de islandske myndigheder har givet udtryk for, om at afholde en folkeafstemning om genoptagelse senest i 2027 af forhandlingerne om EU-tiltrædelse; opfordrer i mellemtiden til en proaktiv dialog med den islandske regering for at uddybe forsvars</w:t>
      </w:r>
      <w:r w:rsidR="00FD32D1" w:rsidRPr="0009368B">
        <w:noBreakHyphen/>
        <w:t xml:space="preserve"> og sikkerhedssamarbejdet og formidle fordelene ved EU-medlemskab; opfordrer til en hurtig ratificering af EU's associeringsaftaler med Andorra og San Marino;</w:t>
      </w:r>
    </w:p>
    <w:p w14:paraId="7169E00B" w14:textId="1F33B2F9" w:rsidR="00FD32D1" w:rsidRDefault="00D56CD6" w:rsidP="00FD32D1">
      <w:pPr>
        <w:pStyle w:val="NormalHanging12a"/>
      </w:pPr>
      <w:r>
        <w:t>47</w:t>
      </w:r>
      <w:r w:rsidR="00FD32D1" w:rsidRPr="0009368B">
        <w:t>.</w:t>
      </w:r>
      <w:r w:rsidR="00FD32D1" w:rsidRPr="0009368B">
        <w:tab/>
        <w:t xml:space="preserve">fremhæver den strategiske betydning af landene på Vestbalkan og støtter et troværdigt politisk og sikkerhedsmæssigt samarbejde på deres meritbaserede vej mod EU-integration; mener, at fremtiden for Vestbalkan, Ukraine og Moldova ligger i EU i overensstemmelse med deres befolkningers forhåbninger; fordømmer russisk indblanding i EU-kandidatlandes, navnlig Moldovas, demokratiske processer; </w:t>
      </w:r>
      <w:r w:rsidR="00550E0E" w:rsidRPr="00550E0E">
        <w:t xml:space="preserve">noterer sig resultatet af parlamentsvalget i </w:t>
      </w:r>
      <w:r w:rsidR="00BE1CE9">
        <w:t>Kosovo</w:t>
      </w:r>
      <w:r w:rsidR="00550E0E" w:rsidRPr="00550E0E">
        <w:t xml:space="preserve"> den 28. december 2025; opfordrer til hurtig dannelse af en ny forsamling og regering</w:t>
      </w:r>
      <w:r w:rsidR="00550E0E">
        <w:t xml:space="preserve"> </w:t>
      </w:r>
      <w:r w:rsidR="00FD32D1" w:rsidRPr="0009368B">
        <w:t xml:space="preserve">i Kosovo </w:t>
      </w:r>
      <w:r w:rsidR="00550E0E" w:rsidRPr="00550E0E">
        <w:t xml:space="preserve">med henblik på at håndtere hårdt </w:t>
      </w:r>
      <w:r w:rsidR="00550E0E" w:rsidRPr="00550E0E">
        <w:lastRenderedPageBreak/>
        <w:t>tiltrængte EU-relaterede reformer, navnlig vedrørende vækstplanen for Vestbalkan, og</w:t>
      </w:r>
      <w:r w:rsidR="00550E0E">
        <w:t xml:space="preserve"> </w:t>
      </w:r>
      <w:r w:rsidR="00FD32D1" w:rsidRPr="0009368B">
        <w:t xml:space="preserve">til at </w:t>
      </w:r>
      <w:r w:rsidR="00550E0E" w:rsidRPr="00550E0E">
        <w:t>håndtere forpligtelserne vedrørende normaliseringen af forbindelserne mellem Kosovo og Serbien; glæder sig over den delvise ophævelse af EU's foranstaltninger over for Kosovo</w:t>
      </w:r>
      <w:r w:rsidR="00FD32D1" w:rsidRPr="0009368B">
        <w:t>; gentager, at EU-tiltrædelsesforhandlingerne med Serbien kun bør bevæge sig fremad på grundlag af målbare og holdbare fremskridt i grundprincipklyngen, herunder en fuldstændig tilpasning til EU's FUSP, navnlig sanktionerne mod Rusland; glæder sig over den vellykkede genoptagelse af FUSP-dialogen mellem EU og dets partnere på Vestbalkan og understreger betydningen af disse partnerskaber for fred og sikkerhed; minder om, at EU-udvidelse udgør en geostrategisk investering i regional sikkerhed og stabilitet, som kræver engagement fra både Unionens og kandidatlandenes side, og opfordrer i den forbindelse EU til at gøre udvidelsesprocessen mere forudsigelig og politisk synlig for borgerne i regionen; mener, at EU med henblik herpå skal opretholde udvidelsesmomentummet og give kandidatlandene tilstrækkelig teknisk og finansiel bistand og konsistent politisk støtte på deres vej mod fuldt medlemskab; fremhæver imidlertid behovet for yderligere at forbedre konditionaliteten vedrørende retsstatsprincippet og at sikre, at al EU-finansiering til tiltrædelseslande er fuldt ud i overensstemmelse med EU's egne strategiske mål og interesser; understreger samtidig, at fremskridt på deres vej mod EU-tiltrædelse er meritbaseret og betinget af fuld overholdelse af folkeretten og gældende EU-ret samt af deres tilpasning til FUSP, herunder overholdelse af sanktioner og EU's visumpolitik; minder om, at udvidelsesprocessen bør fortsætte parallelt med institutionelle reformer og beslutningstagningsreformer, der har til formål at beskytte Unionens integrationskapacitet; opfordrer indtrængende EU-kandidatlandene til aktivt at støtte og samarbejde med internationale domstole og mekanismer for at sikre, at de kan udføre deres arbejde korrekt og retsforfølge og sikre ansvarliggørelse for krigsforbrydelser, forbrydelser mod menneskeheden, folkedrab og aggressionsforbrydelser begået i hele verden;</w:t>
      </w:r>
    </w:p>
    <w:p w14:paraId="5053024E" w14:textId="7074F1EE" w:rsidR="00A950BB" w:rsidRPr="0009368B" w:rsidRDefault="00D56CD6" w:rsidP="00FD32D1">
      <w:pPr>
        <w:pStyle w:val="NormalHanging12a"/>
      </w:pPr>
      <w:r>
        <w:t>4</w:t>
      </w:r>
      <w:r w:rsidR="00A950BB" w:rsidRPr="00A950BB">
        <w:t>8.</w:t>
      </w:r>
      <w:r w:rsidR="00A950BB" w:rsidRPr="00A950BB">
        <w:tab/>
        <w:t>understreger, at en af de vigtigste prioriteter for FUSP og FSFP med hensyn til landene i Det Østlige Partnerskab skal være fast støtte til deres suverænitet og territoriale integritet inden for internationalt anerkendte grænser; opfordrer Den Russiske Føderation til at trække alle sine tropper tilbage fra regionen Transnistrien i Republikken Moldova, fra de georgiske regioner Abkhasien og Tskhinvali/Sydossetien og fra de ulovligt besatte dele af Ukraine under fuld overholdelse af folkeretten og FN-pagten;</w:t>
      </w:r>
    </w:p>
    <w:p w14:paraId="05C50155" w14:textId="1D65C8AF" w:rsidR="00FD32D1" w:rsidRPr="0009368B" w:rsidRDefault="00D56CD6" w:rsidP="00FD32D1">
      <w:pPr>
        <w:pStyle w:val="NormalHanging12a"/>
      </w:pPr>
      <w:r>
        <w:t>4</w:t>
      </w:r>
      <w:r w:rsidR="00FD32D1" w:rsidRPr="0009368B">
        <w:t>9.</w:t>
      </w:r>
      <w:r w:rsidR="00FD32D1" w:rsidRPr="0009368B">
        <w:tab/>
        <w:t>gentager sin opbakning til det europæiske politiske fællesskab som en platform for drøftelser, dialog og samarbejde med europæiske partnere om de udenrigspolitiske og sikkerhedsmæssige udfordringer, vi står over for, med henblik på at styrke sikkerheden og stabiliteten i Europa og tilstræbe politisk og sikkerhedsmæssigt samarbejde baseret på fælles interesser; opfordrer til tæt inddragelse af Parlamentet i klarlæggelsen af dette fællesskabs omfang og fremtidige arbejde; understreger, at en vis grad af tilpasning med hensyn til demokratiske værdier og principper er afgørende for, at dette format kan blive en succes og have sammenhængskraft i fremtiden; gentager, at det europæiske politiske fællesskab under ingen omstændigheder må blive et påskud for forsinkelser af udvidelseslandes tiltrædelse af EU;</w:t>
      </w:r>
    </w:p>
    <w:p w14:paraId="71D0CCC1" w14:textId="64D0AD53" w:rsidR="00FD32D1" w:rsidRPr="0009368B" w:rsidRDefault="00D56CD6" w:rsidP="00FD32D1">
      <w:pPr>
        <w:pStyle w:val="NormalHanging12a"/>
      </w:pPr>
      <w:r>
        <w:t>5</w:t>
      </w:r>
      <w:r w:rsidR="00FD32D1" w:rsidRPr="0009368B">
        <w:t>0.</w:t>
      </w:r>
      <w:r w:rsidR="00FD32D1" w:rsidRPr="0009368B">
        <w:tab/>
        <w:t xml:space="preserve">understreger, at Tyrkiets strategiske rolle som NATO-medlem og dets samarbejde med EU, navnlig ved at bidrage til EU's krisestyringsmissioner og -operationer, er vigtigt for den europæiske stabilitet og sikkerhed; mener, at det er vigtigt at udvikle samarbejdsbaserede og gensidigt fordelagtige forbindelser med Tyrkiet på en trinvis, forholdsmæssigt afpasset og reversibel måde med streng konditionalitet for så vidt </w:t>
      </w:r>
      <w:r w:rsidR="00FD32D1" w:rsidRPr="0009368B">
        <w:lastRenderedPageBreak/>
        <w:t>angår respekt for retsstatsprincippet, grundlæggende rettigheder, folkeretten og gode naboskabsforbindelser; beklager i den forbindelse, at Tyrkiet fortsat anfægter en EU-medlemsstats suverænitet, og understreger, at Tyrkiet gør en utilstrækkelig indsats for at tilpasse sig EU's FUSP; gentager sit synspunkt om, at aftalememorandummet mellem Tyrkiet og Libyen om afgrænsning af maritime jurisdiktioner i Middelhavet krænker tredjelandes suveræne rettigheder, ikke er i overensstemmelse med FN's havretskonvention og ikke kan have retsvirkninger for tredjelande; minder i den forbindelse om undertegnelsen af og henvisningen til aftalememorandaene mellem Tyrkiet og Libyen om omfattende sikkerhedssamarbejde og militært samarbejde og om afgrænsningen af havområder; beklager endvidere Tyrkiets afvisning af at betegne Hamas som en terrororganisation; understreger desuden, at der er uforenelighed mellem Tyrkiets kandidatur til BRIKS+ og EU's FUSP; opfordrer Tyrkiet til fuldt ud at tilslutte sig EU's sanktioner mod Rusland; udtrykker endvidere bekymring over situationen med hensyn til de grundlæggende frihedsrettigheder og de demokratiske tilbageskridt i Tyrkiet; opfordrer indtrængende til øjeblikkelig løsladelse af oppositionslederen Ekrem İmamoğlu samt Selahattin Demirtaş, Osman Kavala og alle andre politiske fanger og opfordrer til, at der sættes en stopper for de vedvarende angreb på og den juridiske chikane af den politiske opposition, medlemmer af pressen og repræsentanter for civilsamfundet; støtter normaliseringen af forbindelserne mellem Armenien og Tyrkiet af hensyn til forsoning, gode naboskabsforbindelser og stabilitet, sikkerhed og socioøkonomisk udvikling i regionen og glæder sig over de fremskridt, der er opnået indtil videre;</w:t>
      </w:r>
    </w:p>
    <w:p w14:paraId="724BEEC3" w14:textId="34963B7E" w:rsidR="00FD32D1" w:rsidRPr="0009368B" w:rsidRDefault="00D56CD6" w:rsidP="00FD32D1">
      <w:pPr>
        <w:pStyle w:val="NormalHanging12a"/>
      </w:pPr>
      <w:r>
        <w:t>5</w:t>
      </w:r>
      <w:r w:rsidR="00FD32D1" w:rsidRPr="0009368B">
        <w:t>1.</w:t>
      </w:r>
      <w:r w:rsidR="00FD32D1" w:rsidRPr="0009368B">
        <w:tab/>
        <w:t>udtrykker sin dybe bekymring over, at Tyrkiet fortsat opretholder "casus belli"-truslen mod Grækenland, og fordømmer de tyrkiske militærstyrkers ulovlige besættelse af en del af Republikken Cyperns territorium; beklager, at Tyrkiet ikke har opfyldt de forpligtelser, det har påtaget sig over for EU i henhold til forhandlingsrammen fra oktober 2005; minder om, at fuld overholdelse af Københavnskriterierne og normalisering af forbindelserne med alle EU's medlemsstater, herunder Republikken Cypern, er en nødvendig del af tiltrædelsesprocessen; mener som følge af ovenstående, at Tyrkiets EU-tiltrædelsesproces ikke kan genoptages under de nuværende omstændigheder;</w:t>
      </w:r>
    </w:p>
    <w:p w14:paraId="6613A958" w14:textId="027531A9" w:rsidR="00FD32D1" w:rsidRPr="0009368B" w:rsidRDefault="00D56CD6" w:rsidP="00FD32D1">
      <w:pPr>
        <w:pStyle w:val="NormalHanging12a"/>
      </w:pPr>
      <w:r>
        <w:t>5</w:t>
      </w:r>
      <w:r w:rsidR="00FD32D1" w:rsidRPr="0009368B">
        <w:t>2.</w:t>
      </w:r>
      <w:r w:rsidR="00FD32D1" w:rsidRPr="0009368B">
        <w:tab/>
        <w:t xml:space="preserve">opfordrer til en hurtig genoptagelse af forhandlingerne om en løsning på Cypernspørgsmålet inden for den FN-godkendte ramme og opfordrer indtrængende til, at der ikke træffes ensidige foranstaltninger, der er uforenelige med en fredelig løsning; opfordrer til, at stødpudezonens status og mandatet for FN's fredsbevarende styrke i Cypern respekteres; </w:t>
      </w:r>
      <w:r w:rsidR="00197366" w:rsidRPr="00197366">
        <w:t>henleder opmærksomheden på Kommissionens udpegelse af Johannes Hahn som særlig udsending for Cypern, hvilket understreger EU's engagement i en samlet løsning på det aftalte grundlag og Unionens vilje til at bidrage til bilæggelsesprocessen inden for FN-rammerne;</w:t>
      </w:r>
    </w:p>
    <w:p w14:paraId="1B549493" w14:textId="64FECE8C" w:rsidR="00FD32D1" w:rsidRPr="0009368B" w:rsidRDefault="00D56CD6" w:rsidP="00FD32D1">
      <w:pPr>
        <w:pStyle w:val="NormalHanging12a"/>
      </w:pPr>
      <w:r>
        <w:t>5</w:t>
      </w:r>
      <w:r w:rsidR="00FD32D1" w:rsidRPr="0009368B">
        <w:t>3.</w:t>
      </w:r>
      <w:r w:rsidR="00FD32D1" w:rsidRPr="0009368B">
        <w:tab/>
        <w:t>bemærker, at Det Østlige Partnerskab har bevæget sig ind i en ny geopolitisk fase, hvor nogle partnere har kurs mod EU-tiltrædelse, mens andre stræber efter skræddersyet samarbejde, og Ruslands aggression nedbryder den tidligere balance i regionen; påpeger, at EU derfor skal redefinere det strategiske formål med Det Østlige Partnerskab og forankre det i modstandsdygtighed, demokratisk omstilling og sikkerhed; anerkender Den Parlamentariske Forsamling Euronest som den parlamentariske dimension af Det Østlige Partnerskab; opfordrer Rådet, EU-Udenrigstjenesten og Kommissionen til at integrere drøftelserne i Den Parlamentariske Forsamling Euronest i den politiske planlægning;</w:t>
      </w:r>
    </w:p>
    <w:p w14:paraId="16D48BB2" w14:textId="1E46CCDF" w:rsidR="00FD32D1" w:rsidRPr="0009368B" w:rsidRDefault="00D56CD6" w:rsidP="00FD32D1">
      <w:pPr>
        <w:pStyle w:val="NormalHanging12a"/>
      </w:pPr>
      <w:r>
        <w:lastRenderedPageBreak/>
        <w:t>5</w:t>
      </w:r>
      <w:r w:rsidR="00FD32D1" w:rsidRPr="0009368B">
        <w:t>4.</w:t>
      </w:r>
      <w:r w:rsidR="00FD32D1" w:rsidRPr="0009368B">
        <w:tab/>
        <w:t>glæder sig over EU's langsigtede strategiske tilgang til Sortehavsregionen og dets dagsorden for konnektivitet som en hjørnesten for velstand i region, der forbinder Europa med Sydkaukasus og Centralasien; opfordrer til en hurtig og effektiv gennemførelse af strategien i tæt samarbejde med partnerlandene med det i mente, at fremme af menneskerettighederne og retsstatsprincippet fortsat skal stå i centrum af EU's engagement i regionen; understreger den strategiske betydning af at gennemføre centrale infrastrukturprojekter i overensstemmelse med de udvidede transeuropæiske net; understreger den rolle, som Den Parlamentariske Forsamling Euronest spiller i den forbindelse;</w:t>
      </w:r>
    </w:p>
    <w:p w14:paraId="72FFD94B" w14:textId="1D2E42BB" w:rsidR="00FD32D1" w:rsidRPr="0009368B" w:rsidRDefault="00D56CD6" w:rsidP="00FD32D1">
      <w:pPr>
        <w:pStyle w:val="NormalHanging12a"/>
      </w:pPr>
      <w:r>
        <w:t>5</w:t>
      </w:r>
      <w:r w:rsidR="00FD32D1" w:rsidRPr="0009368B">
        <w:t>5.</w:t>
      </w:r>
      <w:r w:rsidR="00FD32D1" w:rsidRPr="0009368B">
        <w:tab/>
        <w:t xml:space="preserve">fremhæver Sydkaukasus' strategiske betydning og opfordrer indtrængende EU til at udvikle en langsigtet vision for sit engagement i den region; </w:t>
      </w:r>
    </w:p>
    <w:p w14:paraId="5C4003D6" w14:textId="12C2D0DC" w:rsidR="00FD32D1" w:rsidRPr="0009368B" w:rsidRDefault="00D56CD6" w:rsidP="00FD32D1">
      <w:pPr>
        <w:pStyle w:val="NormalHanging12a"/>
      </w:pPr>
      <w:r>
        <w:t>5</w:t>
      </w:r>
      <w:r w:rsidR="00FD32D1" w:rsidRPr="0009368B">
        <w:t>6.</w:t>
      </w:r>
      <w:r w:rsidR="00FD32D1" w:rsidRPr="0009368B">
        <w:tab/>
        <w:t>fordømmer partiet Den Georgiske Drøms autoritære tendenser og dets drejning mod russiske interesser på trods af Ruslands langvarige besættelse af Abkhasien og Tskhinvaliregionen/Sydossetien; afviser enhver anerkendelse af parlamentsvalget og anser Georgien for at være en stat, der er erobret af partiet Den Georgiske Drøms illegitime regime; opfordrer indtrængende det georgiske parlament til at ophæve lovene om "udenlandsk indflydelse" og "familieværdier"; opfordrer til, at der øjeblikkeligt sættes en stopper for politisk motiveret forfølgelse af den politiske opposition, civilsamfundet og uafhængige medier, og til betingelsesløs løsladelse af alle politiske fanger; opfordrer indtrængende EU til langt om længe at reagere hensigtsmæssigt og beslutsomt på denne demokratiske krise i et kandidatland ved at udnytte alle tilgængelige midler og gør på ny opmærksom på sin gentagne opfordring til EU og dets medlemsstater om at indføre målrettede sanktioner mod Den Georgiske Drøms ledere og embedsmænd, der er ansvarlige for demokratiske tilbageskridt og trusler mod politisk pluralisme</w:t>
      </w:r>
      <w:r w:rsidR="00197366" w:rsidRPr="00197366">
        <w:t>, og mod personligheder der kolporterer russiske-støttede narrativer og fordrejer den politiske proces med tvangsmidler</w:t>
      </w:r>
      <w:r w:rsidR="00FD32D1" w:rsidRPr="0009368B">
        <w:t>; opfordrer Georgien til at vende tilbage til den europæiske vej i overensstemmelse med befolkningens klare valg; minder om, at Georgien samtidig bør tilpasse sig FUSP, herunder overholdelse af sanktionerne mod Rusland;</w:t>
      </w:r>
    </w:p>
    <w:p w14:paraId="1EE010AC" w14:textId="56D341FE" w:rsidR="00FD32D1" w:rsidRPr="0009368B" w:rsidRDefault="00D56CD6" w:rsidP="00FD32D1">
      <w:pPr>
        <w:pStyle w:val="NormalHanging12a"/>
      </w:pPr>
      <w:r>
        <w:t>5</w:t>
      </w:r>
      <w:r w:rsidR="00FD32D1" w:rsidRPr="0009368B">
        <w:t>7.</w:t>
      </w:r>
      <w:r w:rsidR="00FD32D1" w:rsidRPr="0009368B">
        <w:tab/>
        <w:t>støtter fredsaftalen fra august 2025 mellem Armenien og Aserbajdsjan og opfordrer til, at den gennemføres i god tro med fuld respekt for Armeniens territoriale integritet, samt til, at den ledsagende fredsaftale formaliseres og ratificeres, begyndende med Aserbajdsjans tilbagetrækning fra det territorium, landet besætter i Armenien; opfordrer EU til fortsat at være konstruktivt involveret i den yderligere normalisering af de bilaterale forbindelser mellem Armenien og Aserbajdsjan; gentager sin opfordring til de aserbajdsjanske myndigheder om øjeblikkeligt og betingelsesløst at løslade alle 23 armenske gidsler, der blev tilbageholdt efter angrebet på regionen Nagorno-Karabakh; gentager sin opfordring til uafhængige undersøgelser af de overgreb, der er begået af aserbajdsjanske styrker i Nagorno-Karabakh, og opfordrer de aserbajdsjanske myndigheder til at tillade den armenske befolkning at vende sikkert tilbage til Nagorno-Karabakh, til reelt at indgå i en omfattende og transparent dialog med dem og til at give solide garantier for beskyttelsen af deres rettigheder; kræver respekt for Armeniens territoriale integritet og tilskynder til retsopgør og holdbare tilbagesendelsesprocesser; beklager den yderligere forværring af menneskerettighederne og de grundlæggende frihedsrettigheder i Aserbajdsjan;</w:t>
      </w:r>
    </w:p>
    <w:p w14:paraId="14EC477E" w14:textId="01977E5A" w:rsidR="00FD32D1" w:rsidRPr="0009368B" w:rsidRDefault="00D56CD6" w:rsidP="00FD32D1">
      <w:pPr>
        <w:pStyle w:val="NormalHanging12a"/>
      </w:pPr>
      <w:r>
        <w:t>5</w:t>
      </w:r>
      <w:r w:rsidR="00FD32D1" w:rsidRPr="0009368B">
        <w:t>8.</w:t>
      </w:r>
      <w:r w:rsidR="00FD32D1" w:rsidRPr="0009368B">
        <w:tab/>
        <w:t xml:space="preserve">glæder sig over det positive momentum i de bilaterale forbindelser mellem EU og Armenien, som i høj grad understøttes af myndighederne i Jerevan; opfordrer Kommissionen og medlemsstaterne til aktivt at støtte Armeniens ønske om øget </w:t>
      </w:r>
      <w:r w:rsidR="00FD32D1" w:rsidRPr="0009368B">
        <w:lastRenderedPageBreak/>
        <w:t>samarbejde med EU; giver udtryk for sin stærke støtte til aktiviteterne under Den Europæiske Unions mission i Armenien (EUMA) og understreger den vigtige rolle, missionen spiller; opfordrer EUMA til fortsat nøje at overvåge udviklingen i sikkerhedssituationen på stedet, sikre transparent rapportering til Parlamentet og bidrage aktivt til konfliktløsningsbestræbelserne; roser udvidelsen af EUMA's mandat og forøgelsen af dets størrelse;</w:t>
      </w:r>
      <w:r w:rsidR="00257ADA">
        <w:t xml:space="preserve"> </w:t>
      </w:r>
      <w:r w:rsidR="00257ADA" w:rsidRPr="00257ADA">
        <w:t>opfordrer Rådet, EU-Udenrigstjenesten og Kommissionen til at undersøge øvrige måder at støtte Armenien på, navnlig, men ikke udelukkende, hvad angår demokratisk modstandsdygtighed;</w:t>
      </w:r>
    </w:p>
    <w:p w14:paraId="477F584F" w14:textId="2BD6E457" w:rsidR="00FD32D1" w:rsidRPr="0009368B" w:rsidRDefault="00D56CD6" w:rsidP="00FD32D1">
      <w:pPr>
        <w:pStyle w:val="NormalHanging12a"/>
      </w:pPr>
      <w:r>
        <w:t>5</w:t>
      </w:r>
      <w:r w:rsidR="00FD32D1" w:rsidRPr="0009368B">
        <w:t>9.</w:t>
      </w:r>
      <w:r w:rsidR="00FD32D1" w:rsidRPr="0009368B">
        <w:tab/>
        <w:t xml:space="preserve">udtrykker bekymring over det russiske og kinesiske pres, der udøves i Centralasien, og understreger, at der er presserende behov for at øge EU's politiske og økonomiske tilstedeværelse i regionen; glæder sig over resultaterne af det første topmøde mellem EU og Centralasien i april 2025, også med henblik på at forbedre menneskerettighedssituationen i regionen; fremhæver de centralasiatiske staters tøven med at støtte Ruslands angrebskrig i betragtning af den indvirkning, som krigen har på regionen; opfordrer myndighederne i de centralasiatiske stater, navnlig Kasakhstan, Kirgisistan og Usbekistan, til at arbejde tæt sammen med EU, navnlig med EU's sanktionsudsending; fremhæver EU's interesse i at øge de økonomiske forbindelser, intensivere de politiske bånd og styrke samarbejdet om energiinfrastruktur med landene i Centralasien, til dels for at imødegå omgåelsen af sanktionerne mod Rusland og Belarus; opfordrer indtrængende Kommissionen og medlemsstaterne til fortsat at fremme politiske og økonomiske reformer, bæredygtig udvikling og styrkelse af retsstatsprincippet, demokrati, god regeringsførelse og respekt for menneskerettighederne; </w:t>
      </w:r>
    </w:p>
    <w:p w14:paraId="7B6B96A1" w14:textId="6E02A66F" w:rsidR="00FD32D1" w:rsidRPr="0009368B" w:rsidRDefault="00D56CD6" w:rsidP="00FD32D1">
      <w:pPr>
        <w:pStyle w:val="NormalHanging12a"/>
      </w:pPr>
      <w:r>
        <w:t>6</w:t>
      </w:r>
      <w:r w:rsidR="00FD32D1" w:rsidRPr="0009368B">
        <w:t>0.</w:t>
      </w:r>
      <w:r w:rsidR="00FD32D1" w:rsidRPr="0009368B">
        <w:tab/>
        <w:t>understreger, at der er behov for en effektiv gennemførelse af EU's strategi for Golfområdet ved hjælp af skræddersyede multilaterale partnerskaber med Golfstaternes Samarbejdsråd (GCC) og med hvert land i regionen; understreger, at et styrket samarbejde bør prioritere migration, digital omstilling, forskning og innovation, den grønne omstilling, energi, sikkerhed og terrorbekæmpelse; glæder sig over den vellykkede afslutning af det første topmøde mellem EU og GCC som et afgørende øjeblik med hensyn til at fremme et omfattende partnerskab for global og regional sikkerhed og velstand; glæder sig over Golfstaternes voksende diplomatiske rolle med hensyn til at bidrage til international stabilitet og konfliktmægling;</w:t>
      </w:r>
    </w:p>
    <w:p w14:paraId="697E86B6" w14:textId="76B7EAF1" w:rsidR="00FD32D1" w:rsidRPr="0009368B" w:rsidRDefault="00D56CD6" w:rsidP="00FD32D1">
      <w:pPr>
        <w:pStyle w:val="NormalHanging12a"/>
      </w:pPr>
      <w:r>
        <w:t>6</w:t>
      </w:r>
      <w:r w:rsidR="00FD32D1" w:rsidRPr="0009368B">
        <w:t>1.</w:t>
      </w:r>
      <w:r w:rsidR="00FD32D1" w:rsidRPr="0009368B">
        <w:tab/>
        <w:t>beklager, at det 30 år efter iværksættelsen af den såkaldte Barcelonaproces ikke er lykkedes at skabe et fælles område med velstand, stabilitet og frihed med Middelhavslandene; anerkender den strategiske betydning af en styrket dialog med landene i Middelhavsområdet med henblik på at forbedre menneskerettighederne og de demokratiske standarder, men også i betragtning af deres rolle med hensyn til at diversificere Unionens energiforsyning og forvalte migrationsstrømme fra oprindelses- eller transitlande; støtter den nye Middelhavspagt som en omfattende ramme for fremme af en mere sikker, stabil og velstående Middelhavsregion; tilskynder til vedvarende engagement, målrettede investeringer og teknisk bistand til at tackle fælles udfordringer såsom migration, klimaforandringer og sikkerhedstrusler; fremhæver endvidere den rolle, som Middelhavsunionen kan spille som et forum for intensivering af samarbejdsprogrammer mellem europæiske lande og landene ved Middelhavets kyster;</w:t>
      </w:r>
    </w:p>
    <w:p w14:paraId="3602E76F" w14:textId="5EAA8DD6" w:rsidR="00FD32D1" w:rsidRPr="0009368B" w:rsidRDefault="00D56CD6" w:rsidP="00FD32D1">
      <w:pPr>
        <w:pStyle w:val="NormalHanging12a"/>
      </w:pPr>
      <w:r>
        <w:t>6</w:t>
      </w:r>
      <w:r w:rsidR="00FD32D1" w:rsidRPr="0009368B">
        <w:t>2.</w:t>
      </w:r>
      <w:r w:rsidR="00FD32D1" w:rsidRPr="0009368B">
        <w:tab/>
        <w:t>fordømmer Irans destabiliserende rolle i Mellemøsten, navnlig dets militære støtte til forskellige ikkestatslige aktører såsom Hamas og Hizbollah samt til houthierne, hvilket undergraver stabiliteten i regionen; gentager sin opfordring til</w:t>
      </w:r>
      <w:r w:rsidR="00FA4DCA">
        <w:t xml:space="preserve"> </w:t>
      </w:r>
      <w:r w:rsidR="00FA4DCA" w:rsidRPr="00FA4DCA">
        <w:t>Rådet om at udpege</w:t>
      </w:r>
      <w:r w:rsidR="00FD32D1" w:rsidRPr="0009368B">
        <w:t xml:space="preserve"> Den </w:t>
      </w:r>
      <w:r w:rsidR="00FD32D1" w:rsidRPr="0009368B">
        <w:lastRenderedPageBreak/>
        <w:t xml:space="preserve">Islamiske Revolutionsgarde </w:t>
      </w:r>
      <w:r w:rsidR="00FA4DCA" w:rsidRPr="00FA4DCA">
        <w:t>som en terrororganisation og udvide EU's sanktioner til at omfatte samtlige medlemmer af denne Garde og alle personer, der er ansvarlige for menneskerettighedskrænkelser; udtrykker sin urokkelige solidaritet med det iranske folk i dets igangværende kamp for at opnå grundlæggende rettigheder og friheder; fordømmer de iranske sikkerhedsstyrkers systematiske og uforholdsmæssige magtanvendelse mod fredelige demonstranter, som har resulteret i tab af menneskeliv og alvorlige kvæstelser; fordømmer det iranske regimes forsøg på at censurere protesterne ved at afbryde internetadgangen og telefonnettet i hele landet; opfordrer de iranske myndigheder til øjeblikkeligt at indstille voldsanvendelsen mod fredelige forsamlinger og til fuldt ud at respektere retten til ytringsfrihed og til frit at deltage i fredelige forsamlinger</w:t>
      </w:r>
      <w:r w:rsidR="00FD32D1" w:rsidRPr="0009368B">
        <w:t xml:space="preserve">; modsætter sig på det kraftigste Irans gidseldiplomati og kræver, at alle europæiske statsborgere, der tilbageholdes i Iran, løslades og får lov til at forlade landet; udtrykker dyb bekymring over fremskridtene i Irans atomprogram, som rækker langt ud over, hvad der kan begrundes til civile formål; påpeger, at regimet i Teheran klart har afvist at genoplive den fælles omfattende handlingsplan (JCPOA) og har nægtet at samarbejde i den igangværende tvist med Den Internationale Atomenergiorganisation; beklager, at der i øjeblikket ikke findes nogen strategi til at overtale Iran til at afstå fra at opbygge militær nuklear kapacitet eller nogen handlingsplan i tilfælde af, at Iran overskrider den nukleare tærskel; opfordrer NF/HR til at fremlægge en revideret strategi over for Iran, der tager alle scenarier i betragtning; støtter genindførelsen af alle tidligere ophævede FN- og EU-sanktioner og </w:t>
      </w:r>
      <w:r w:rsidR="00FD32D1" w:rsidRPr="0009368B">
        <w:noBreakHyphen/>
        <w:t>restriktioner over for Iran på det nukleare område som følge af landets tilsidesættelse af sine forpligtelser i henhold til JCPOA</w:t>
      </w:r>
      <w:r w:rsidR="00FA4DCA">
        <w:t xml:space="preserve"> </w:t>
      </w:r>
      <w:r w:rsidR="00FA4DCA" w:rsidRPr="00FA4DCA">
        <w:t>og kræver en øjeblikkelig og beslutsom indsats over for regimets rodfæstede, systematiske og brutale undertrykkelse af det iranske folk, herunder vilkårlige massetilbageholdelser, tortur og henrettelse af politiske systemkritikere; fordømmer på det kraftigste regimets fornyede og eskalerende voldskampagne mod demonstranter, som har resulteret i drab på tusindvis af demonstranter, herunder gennem bevidst brug af skarp ammunition og statssanktionerede henrettelser og handlinger, der udgør forbrydelser mod menneskeheden i henhold til folkeretten, mens regimet fortsat nægter en befolkning, der vedvarende kræver værdighed, frihed og retten til at leve i et frit og demokratisk land, grundlæggende frihedsrettigheder</w:t>
      </w:r>
      <w:r w:rsidR="00FD32D1" w:rsidRPr="0009368B">
        <w:t>;</w:t>
      </w:r>
    </w:p>
    <w:p w14:paraId="287555B5" w14:textId="5010331E" w:rsidR="00FD32D1" w:rsidRPr="0009368B" w:rsidRDefault="00D56CD6" w:rsidP="00FD32D1">
      <w:pPr>
        <w:pStyle w:val="NormalHanging12a"/>
      </w:pPr>
      <w:r>
        <w:t>6</w:t>
      </w:r>
      <w:r w:rsidR="00FD32D1" w:rsidRPr="0009368B">
        <w:t>3.</w:t>
      </w:r>
      <w:r w:rsidR="00FD32D1" w:rsidRPr="0009368B">
        <w:tab/>
        <w:t>fordømmer på det kraftigste houthiernes destabiliserende angreb på kommercielle og militære fartøjer, der sejler gennem Det Røde Hav; understreger, at disse angreb har forårsaget betydelige forstyrrelser i den globale handel, da rederierne er tvunget til at omdirigere en stor del af trafikken i Det Røde Hav syd om Afrika; opfordrer til en kollektiv indsats og tilskynder til øget EU-engagement og internationalt samarbejde; opfordrer indtrængende til, at indsatsen for at sikre retten til fri sejlads på en af verdens vigtigste vandveje fortsættes; opfordrer til, at disse ulovlige angreb øjeblikkeligt bringes til ophør;</w:t>
      </w:r>
    </w:p>
    <w:p w14:paraId="3865C610" w14:textId="1885E0B7" w:rsidR="00FD32D1" w:rsidRPr="0009368B" w:rsidRDefault="00D56CD6" w:rsidP="00FD32D1">
      <w:pPr>
        <w:pStyle w:val="NormalHanging12a"/>
      </w:pPr>
      <w:r>
        <w:t>6</w:t>
      </w:r>
      <w:r w:rsidR="00FD32D1" w:rsidRPr="0009368B">
        <w:t>4.</w:t>
      </w:r>
      <w:r w:rsidR="00FD32D1" w:rsidRPr="0009368B">
        <w:tab/>
        <w:t>understreger betydningen af fortsat og øget EU-støtte til det afghanske folk, særlig kvinder og piger, og alle dem, hvis rettigheder vedvarende krænkes af Taliban; insisterer på at opretholde et strengt betinget samarbejde med Taliban på grundlag af de fem benchmarks, som Rådet har fastsat, og henstillingerne fra FN's særlige rapportør;</w:t>
      </w:r>
    </w:p>
    <w:p w14:paraId="336C2E54" w14:textId="630A85A6" w:rsidR="00FD32D1" w:rsidRPr="0009368B" w:rsidRDefault="00D56CD6" w:rsidP="00FD32D1">
      <w:pPr>
        <w:pStyle w:val="NormalHanging12a"/>
      </w:pPr>
      <w:r>
        <w:t>6</w:t>
      </w:r>
      <w:r w:rsidR="00FD32D1" w:rsidRPr="0009368B">
        <w:t>5.</w:t>
      </w:r>
      <w:r w:rsidR="00FD32D1" w:rsidRPr="0009368B">
        <w:tab/>
        <w:t xml:space="preserve">gentager, at en fredelig, stabil og regelbaseret indopacifisk region er af afgørende europæisk interesse, ikke kun af hensyn til den regionale sikkerhed, men også for at sikre globale handelsruter, beskytte retten til fri sejlads og sikre modstandsdygtighed over for økonomisk tvang; er bekymret over, at intensiveringen af stormagtskonkurrencen i regionen, navnlig mellem USA og Kina, i stigende grad </w:t>
      </w:r>
      <w:r w:rsidR="00FD32D1" w:rsidRPr="0009368B">
        <w:lastRenderedPageBreak/>
        <w:t>begrænser EU's evne til at forfølge sin egen dagsorden med at fremme multilateralisme og samarbejdsløsninger i regionen; påpeger i den forbindelse, at Asien-Europa-mødet stadig er handlingslammet på grund af de geopolitiske spændinger med Rusland; tilskynder med henblik herpå til tættere koordinering af udenrigs-, sikkerheds- og forsvarspolitik med ligesindede partnere, navnlig Australien, New Zealand, Sydkorea, Japan, Taiwan og medlemsstaterne i Sammenslutningen af Sydøstasiatiske Nationer (ASEAN); bekræfter på ny, at Taiwanstrædet er internationalt farvand, og støtter europæiske demokratiers og deres ligesindede partneres ret til fri sejlads, hvilket understreger, at fred og stabilitet i Taiwanstrædet er afgørende for global sikkerhed og velstand;</w:t>
      </w:r>
    </w:p>
    <w:p w14:paraId="583A102D" w14:textId="25B621D9" w:rsidR="00FD32D1" w:rsidRPr="0009368B" w:rsidRDefault="00D56CD6" w:rsidP="00FD32D1">
      <w:pPr>
        <w:pStyle w:val="NormalHanging12a"/>
      </w:pPr>
      <w:r>
        <w:t>6</w:t>
      </w:r>
      <w:r w:rsidR="00FD32D1" w:rsidRPr="0009368B">
        <w:t>6.</w:t>
      </w:r>
      <w:r w:rsidR="00FD32D1" w:rsidRPr="0009368B">
        <w:tab/>
        <w:t>minder i den forbindelse om EU's strategiske partnerskab med Japan, som bør tjene som rollemodel for frugtbare bilaterale forbindelser, der muliggør effektiv politikudformning i multilaterale fora; glæder sig over ikrafttrædelsen af den strategiske partnerskabsaftale mellem EU og Japan den 1. januar 2025 samt over den eksisterende økonomiske partnerskabsaftale og tilskynder til gennemførelse af den strategiske partnerskabsaftales bestemmelser om styrket samarbejde inden for sikkerhed og forsvar, herunder indledningen af en regelmæssig sikkerheds- og forsvarsdialog mellem Japan og EU, samarbejde om industrirelaterede forsvarsspørgsmål, undersøgelse af mulighederne for et gensidigt engagement i forsvarsinitiativer og det igangværende arbejde med en informationssikkerhedsaftale; glæder sig over intensiveringen af samarbejdet på områder som maritim sikkerhed, cybersikkerhed, rummet og ikkespredning samt konkrete fælles aktiviteter inden for rammerne af det digitale partnerskab og energidialogen;</w:t>
      </w:r>
    </w:p>
    <w:p w14:paraId="468B6903" w14:textId="573D54ED" w:rsidR="00FD32D1" w:rsidRPr="0009368B" w:rsidRDefault="00D56CD6" w:rsidP="00FD32D1">
      <w:pPr>
        <w:pStyle w:val="NormalHanging12a"/>
      </w:pPr>
      <w:r>
        <w:t>6</w:t>
      </w:r>
      <w:r w:rsidR="00FD32D1" w:rsidRPr="0009368B">
        <w:t>7.</w:t>
      </w:r>
      <w:r w:rsidR="00FD32D1" w:rsidRPr="0009368B">
        <w:tab/>
        <w:t>anerkender Sydkoreas strategiske betydning som en vigtig demokratisk partner i Østasien, med hvem EU har etableret et omfattende partnerskab, der omfatter politisk dialog, handel og sikkerhedssamarbejde; minder om, at frihandelsaftalen mellem EU og Sydkorea – den første aftale af sin art med en asiatisk partner – i væsentlig grad har forstærket den økonomiske integration, og at det løbende samarbejde omfatter ikkespredning, cybersikkerhed, terrorbekæmpelse og krisestyring; understreger Sydkoreas afgørende rolle i regionens stabilitet, navnlig med hensyn til håndtering af sikkerhedsudfordringer på Den Koreanske Halvø, og opfordrer til en styrket koordinering i multilaterale fora for at bevare freden, afskrække fra provokationer og fremme atomnedrustning; glæder sig i den forbindelse over etableringen af sikkerheds- og forsvarspartnerskabet; fremhæver, at partnerskabet udgør en struktureret ramme for dialog og samarbejde på tværs af hele spektret af sikkerheds- og forsvarsspørgsmål, herunder årlige strategiske dialoger på ministerplan; støtter ambitionen om at uddybe det praktiske samarbejde på områder såsom maritim sikkerhed på grundlag af fælles operationer, herunder Atalanta, og undersøge nye samarbejdsmuligheder inden for rammerne af EU's initiativ vedrørende koordineret maritim tilstedeværelse; understreger endelig, at institutionaliseringen af dette sikkerheds- og forsvarspartnerskab konsoliderer Sydkoreas position som en af EU's vigtigste partnere i den indopacifiske region og skaber et solidt grundlag for langsigtede fælles aktioner til imødegåelse af fælles geopolitiske udfordringer;</w:t>
      </w:r>
    </w:p>
    <w:p w14:paraId="6D4869AF" w14:textId="66EFF2CB" w:rsidR="00FD32D1" w:rsidRPr="0009368B" w:rsidRDefault="00D56CD6" w:rsidP="00FD32D1">
      <w:pPr>
        <w:pStyle w:val="NormalHanging12a"/>
      </w:pPr>
      <w:r>
        <w:t>6</w:t>
      </w:r>
      <w:r w:rsidR="00FD32D1" w:rsidRPr="0009368B">
        <w:t>8.</w:t>
      </w:r>
      <w:r w:rsidR="00FD32D1" w:rsidRPr="0009368B">
        <w:tab/>
        <w:t xml:space="preserve">understreger værdien af at styrke båndene med New Zealand, en mangeårig partner, som har stærke politiske, kulturelle og normmæssige ligheder med EU; påpeger, at New Zealand har udvist konsekvent lederskab inden for multilateralt diplomati, atomnedrustning og klimaindsats, hvilket gør landet til en uundværlig allieret med hensyn til at fremme fælles globale mål; glæder sig over indgåelsen af frihandelsaftalen mellem EU og New Zealand, som er en milepæl i styrkelsen af det økonomiske </w:t>
      </w:r>
      <w:r w:rsidR="00FD32D1" w:rsidRPr="0009368B">
        <w:lastRenderedPageBreak/>
        <w:t>samarbejde, og anerkender samtidig potentialet til at udvide samarbejdet på sikkerheds- og konnektivitetsområdet;</w:t>
      </w:r>
    </w:p>
    <w:p w14:paraId="0E0B575D" w14:textId="1E4248C3" w:rsidR="00FD32D1" w:rsidRPr="0009368B" w:rsidRDefault="00D56CD6" w:rsidP="00FD32D1">
      <w:pPr>
        <w:pStyle w:val="NormalHanging12a"/>
      </w:pPr>
      <w:r>
        <w:t>6</w:t>
      </w:r>
      <w:r w:rsidR="00FD32D1" w:rsidRPr="0009368B">
        <w:t>9.</w:t>
      </w:r>
      <w:r w:rsidR="00FD32D1" w:rsidRPr="0009368B">
        <w:tab/>
        <w:t>fremhæver vigtigheden af at styrke det strategiske samarbejde med Australien, som er en ligesindet partner, der deler EU's engagement i demokratiet, menneskerettighederne, folkeretten og den regelbaserede verdensorden; understreger, at Australiens geografiske beliggenhed og aktive rolle i regionens sikkerhed gør landet til en central aktør med hensyn til at sikre stabiliteten i den indopacifiske region; glæder sig i den forbindelse over erklæringen fra formanden for Det Europæiske Råd, António Costa, formanden for Kommissionen, Ursula von der Leyen, og Australiens premierminister, Anthony Albanese, under G7-ledernes topmøde i Alberta om at indlede forhandlinger om et sikkerheds- og forsvarspartnerskab; understreger, at dette initiativ afspejler den stigende anerkendelse af den indbyrdes forbundethed mellem den europæiske sikkerhed og sikkerheden i den indopacifiske region og skaber mulighed for at udvide den fælles indsats over for globale sikkerhedsudfordringer; fremhæver, at disse forhandlinger sammen med fornyede tilsagn om indgåelse af en frihandelsaftale mellem EU og Australien viser et stærkt momentum i de bilaterale forbindelser og styrker ikke blot de økonomiske og teknologiske bånd, men også den fælles modstandsdygtighed og den strategiske tillid;</w:t>
      </w:r>
    </w:p>
    <w:p w14:paraId="642336C4" w14:textId="6FEE33B5" w:rsidR="00FD32D1" w:rsidRPr="0009368B" w:rsidRDefault="00D56CD6" w:rsidP="00FD32D1">
      <w:pPr>
        <w:pStyle w:val="NormalHanging12a"/>
      </w:pPr>
      <w:r>
        <w:t>7</w:t>
      </w:r>
      <w:r w:rsidR="00FD32D1" w:rsidRPr="0009368B">
        <w:t>0.</w:t>
      </w:r>
      <w:r w:rsidR="00FD32D1" w:rsidRPr="0009368B">
        <w:tab/>
        <w:t>påpeger den øgede politiske og geostrategiske betydning af lande i Oceanien samt organisationer såsom Stillehavsøernes Forum; minder om, at landene i Stillehavsområdet, selv om de er blandt de lande, der er mest udsat for globale udfordringer og geopolitisk pres, spiller en ledende rolle med hensyn til at fremme multilateralisme og fortsat er centrale partnere i den regelbaserede internationale orden; opfordrer EU og dets medlemsstater til at øge deres diplomatiske engagement i regionen, om muligt i tæt samarbejde med Australien og New Zealand;</w:t>
      </w:r>
    </w:p>
    <w:p w14:paraId="35F8EEF2" w14:textId="2042A2EA" w:rsidR="00FD32D1" w:rsidRPr="0009368B" w:rsidRDefault="00D56CD6" w:rsidP="00FD32D1">
      <w:pPr>
        <w:pStyle w:val="NormalHanging12a"/>
      </w:pPr>
      <w:r>
        <w:t>7</w:t>
      </w:r>
      <w:r w:rsidR="00FD32D1" w:rsidRPr="0009368B">
        <w:t>1.</w:t>
      </w:r>
      <w:r w:rsidR="00FD32D1" w:rsidRPr="0009368B">
        <w:tab/>
        <w:t>er af den opfattelse, at forbindelserne mellem EU og Kina bliver en afgørende faktor for vores fremtidige økonomiske velstand og internationale sikkerhed; mener i den forbindelse, at den accelererende militarisering af Kina, landets stigende militære tilstedeværelse og aggressive adfærd i Det Sydkinesiske Hav og dets uberettigede militære provokationer mod dets naboer samt dets militære og politiske partnerskaber med Rusland, Nordkorea og Iran udgør en central geopolitisk udfordring i det 21. århundrede; giver udtryk for sin bekymring over det mulige skift i Kinas udenrigspolitik fra stærkt assertiv til åbenlyst aggressiv;</w:t>
      </w:r>
    </w:p>
    <w:p w14:paraId="29F3896A" w14:textId="37709DBC" w:rsidR="00FD32D1" w:rsidRPr="0009368B" w:rsidRDefault="00D56CD6" w:rsidP="00FD32D1">
      <w:pPr>
        <w:pStyle w:val="NormalHanging12a"/>
      </w:pPr>
      <w:r>
        <w:t>7</w:t>
      </w:r>
      <w:r w:rsidR="00FD32D1" w:rsidRPr="0009368B">
        <w:t>2.</w:t>
      </w:r>
      <w:r w:rsidR="00FD32D1" w:rsidRPr="0009368B">
        <w:tab/>
        <w:t>beklager dybt det "grænseløse" partnerskab mellem Rusland og Kina, navnlig det fornyede tilsagn om at styrke deres militære bånd og dermed fortsætte støtten til Ruslands krigsmaskine, herunder gennem eksport af materialer med dobbelt anvendelse;</w:t>
      </w:r>
    </w:p>
    <w:p w14:paraId="7EEB76A1" w14:textId="1E440C1E" w:rsidR="00FD32D1" w:rsidRPr="0009368B" w:rsidRDefault="00D56CD6" w:rsidP="00FD32D1">
      <w:pPr>
        <w:pStyle w:val="NormalHanging12a"/>
      </w:pPr>
      <w:r>
        <w:t>7</w:t>
      </w:r>
      <w:r w:rsidR="00FD32D1" w:rsidRPr="0009368B">
        <w:t>3.</w:t>
      </w:r>
      <w:r w:rsidR="00FD32D1" w:rsidRPr="0009368B">
        <w:tab/>
        <w:t xml:space="preserve">minder om EU's engagement i sin "ét-Kina-politik" som et af principperne i forbindelserne mellem EU og Kina; fordømmer Kinas intimidering af og trusler mod fred og stabilitet i Taiwanstrædet og de omkringliggende internationale farvande, herunder omfattende </w:t>
      </w:r>
      <w:r w:rsidR="005379E4" w:rsidRPr="005379E4">
        <w:t xml:space="preserve">manøvrer i luftrummet og til søs </w:t>
      </w:r>
      <w:r w:rsidR="00FD32D1" w:rsidRPr="0009368B">
        <w:t xml:space="preserve">såsom øvelserne  </w:t>
      </w:r>
      <w:r w:rsidR="005379E4" w:rsidRPr="005379E4">
        <w:t>"Retfærdighedsmission 2025" og "Torden over Strædet-2025A"</w:t>
      </w:r>
      <w:r w:rsidR="005379E4">
        <w:t xml:space="preserve"> </w:t>
      </w:r>
      <w:r w:rsidR="00FD32D1" w:rsidRPr="0009368B">
        <w:t>i april 2025</w:t>
      </w:r>
      <w:r w:rsidR="00BE1CE9">
        <w:t>, der sætter stabiliteten i regionen i fare”</w:t>
      </w:r>
      <w:r w:rsidR="00FD32D1" w:rsidRPr="0009368B">
        <w:t xml:space="preserve">; opfordrer EU og dets medlemsstater til gennem en klar og tydelig tilkendegivelse at sikre, at </w:t>
      </w:r>
      <w:r w:rsidR="005379E4" w:rsidRPr="005379E4">
        <w:t xml:space="preserve">de igangværende </w:t>
      </w:r>
      <w:r w:rsidR="00FD32D1" w:rsidRPr="0009368B">
        <w:t xml:space="preserve">forsøg på ensidigt at ændre status quo i Taiwanstrædet, navnlig ved brug af magt eller tvang, ikke kan accepteres og vil have høje omkostninger; understreger, at Taiwan er en vigtig demokratisk partner for EU i den indopacifiske region, og opfordrer indtrængende EU og dets medlemsstater til </w:t>
      </w:r>
      <w:r w:rsidR="00FD32D1" w:rsidRPr="0009368B">
        <w:lastRenderedPageBreak/>
        <w:t>at indgå i et tættere samarbejde med Taiwan med henblik på yderligere at styrke de økonomiske, handelsmæssige og investeringsmæssige bånd; opfordrer endvidere til regelmæssige udvekslinger mellem EU og dets taiwanske modparter om relevante sikkerhedsspørgsmål; opfordrer EU og dets medlemsstater til at støtte Taiwans meningsfulde deltagelse i multilaterale organisationer såsom Verdenssundhedsorganisationen, Organisationen for International Civil Luftfart og FN's rammekonvention om klimaændringer; minder om, at der i hvidbogen om europæisk forsvarsberedskab 2030 udtrykkes bekymring over Kinas brug af tvang over for Taiwan gennem intensivering af politiske, økonomiske, militære, cyberrelaterede og kognitive foranstaltninger; understreger, at der ikke er grundlag for Kinas territorialkrav på Taiwan i folkeretten, at ingen af parterne er underlagt den anden, og at kun Taiwans demokratisk valgte regering kan repræsentere den taiwanske befolkning; modsætter sig Folkerepublikken Kinas konstante fordrejning af FN-resolution 2758 og landets bestræbelser på at blokere Taiwans deltagelse i multilaterale organisationer;</w:t>
      </w:r>
    </w:p>
    <w:p w14:paraId="2A32F780" w14:textId="33918AA1" w:rsidR="00FD32D1" w:rsidRPr="0009368B" w:rsidRDefault="00D56CD6" w:rsidP="00FD32D1">
      <w:pPr>
        <w:pStyle w:val="NormalHanging12a"/>
      </w:pPr>
      <w:r>
        <w:t>7</w:t>
      </w:r>
      <w:r w:rsidR="00FD32D1" w:rsidRPr="0009368B">
        <w:t xml:space="preserve">4. </w:t>
      </w:r>
      <w:r w:rsidR="00FD32D1" w:rsidRPr="0009368B">
        <w:tab/>
        <w:t>fordømmer det regeringsledede system med tvangsarbejde og de vedvarende krænkelser af menneskerettighederne, navnlig den systematiske undertrykkelse af uighurerne i Xinjiang-provinsen; bemærker med bekymring den intense undertrykkelse af etniske mindretal i Tibet, Hongkong og Macao og den tværnationale undertrykkelse af kinesiske systemkritikere; opfordrer Kina til at overholde alle Den Internationale Arbejdsorganisations obligatoriske konventioner;</w:t>
      </w:r>
    </w:p>
    <w:p w14:paraId="004DAA78" w14:textId="71801103" w:rsidR="00FD32D1" w:rsidRPr="0009368B" w:rsidRDefault="00D56CD6" w:rsidP="00FD32D1">
      <w:pPr>
        <w:pStyle w:val="NormalHanging12a"/>
      </w:pPr>
      <w:r>
        <w:t>7</w:t>
      </w:r>
      <w:r w:rsidR="00FD32D1" w:rsidRPr="0009368B">
        <w:t xml:space="preserve">5. </w:t>
      </w:r>
      <w:r w:rsidR="00FD32D1" w:rsidRPr="0009368B">
        <w:tab/>
        <w:t>gentager sin stærke fordømmelse af Kinas overtrædelse af sine internationale forpligtelser og dets overtrædelser af de kinesisk-britiske og kinesisk-portugisiske fælleserklæringer, princippet om "ét land, to systemer" og Hongkongs forfatning; opfordrer Kina til at respektere og garantere Hongkongs autonomi og til at ratificere den internationale konvention om borgerlige og politiske rettigheder; opfordrer Kommissionen og Rådet til at revidere status for Hongkongs økonomi- og handelskontor i Bruxelles samt Hongkongs og Macaos autonome status i lyset af loven om national sikkerhed og Folkerepublikken Kinas overtrædelse af sine internationale forpligtelser; er bekymret over Hongkongs rolle med hensyn til at bistå Rusland med at omgå de gældende sanktioner og indkøbe kritiske komponenter til produktion af våben; beklager desuden undertrykkelsen af den særlige administrative regions autonomi og oppositionsledere, herunder medlemmer af civilsamfundet og deres familiemedlemmer; opfordrer EU-Udenrigstjenesten til nøje at følge retssagerne mod politiske fanger i Hongkong og opfordre til løsladelse af alle politiske fanger;</w:t>
      </w:r>
    </w:p>
    <w:p w14:paraId="3E915D37" w14:textId="591987B7" w:rsidR="00FD32D1" w:rsidRPr="0009368B" w:rsidRDefault="00D56CD6" w:rsidP="00FD32D1">
      <w:pPr>
        <w:pStyle w:val="NormalHanging12a"/>
      </w:pPr>
      <w:r>
        <w:t>7</w:t>
      </w:r>
      <w:r w:rsidR="00FD32D1" w:rsidRPr="0009368B">
        <w:t xml:space="preserve">6. </w:t>
      </w:r>
      <w:r w:rsidR="00FD32D1" w:rsidRPr="0009368B">
        <w:tab/>
        <w:t>er bekymret over kinesiske virksomheders stigende økonomiske indtrængen i EU, herunder i strategiske sektorer såsom batteriproduktion; fremhæver det presserende behov for at videreføre risikobegrænsningspolitikken ved fortsat at mindske den økonomiske afhængighed i kritiske sektorer i overensstemmelse med EU's strategi for økonomisk sikkerhed; understreger, at en sådan afhængighed begrænser EU's kapacitet på det udenrigspolitiske område og øger dets sårbarhed over for politisk og økonomisk tvang; opfordrer derfor til effektive risikobegrænsende foranstaltninger, diversificering af forsyningskæder og etablering af nye partnerskaber;</w:t>
      </w:r>
    </w:p>
    <w:p w14:paraId="69B1D37B" w14:textId="43785969" w:rsidR="00FD32D1" w:rsidRPr="0009368B" w:rsidRDefault="00D56CD6" w:rsidP="00FD32D1">
      <w:pPr>
        <w:pStyle w:val="NormalHanging12a"/>
      </w:pPr>
      <w:r>
        <w:t>7</w:t>
      </w:r>
      <w:r w:rsidR="00FD32D1" w:rsidRPr="0009368B">
        <w:t>7.</w:t>
      </w:r>
      <w:r w:rsidR="00FD32D1" w:rsidRPr="0009368B">
        <w:tab/>
        <w:t xml:space="preserve">understreger behovet for, at EU fremmer principbaseret dialog og gensidigt fordelagtigt samarbejde med Kina for at tackle en række globale udfordringer, lige fra multilateralisme og klimaforandringer til global sundhed og international udvikling; understreger i forbindelse med ovenstående, at EU skal anlægge en flerdimensionel strategi, der kombinerer principbaseret diplomati med henblik på at opretholde folkeretten med økonomisk engagement, der sikrer lige vilkår og dermed sikrer EU's </w:t>
      </w:r>
      <w:r w:rsidR="00FD32D1" w:rsidRPr="0009368B">
        <w:lastRenderedPageBreak/>
        <w:t>interesser, og som vil kræve risikobegrænsning i forhold til Kina; bekræfter, at det fortsat tjener som en nyttig analytisk ramme på én og samme tid at betragte Kina som en partner, en økonomisk konkurrent og en systemisk rival, men fremhæver, at en sådan ramme er utilstrækkelig som langsigtet strategisk kurs; opfordrer til en struktureret drøftelse mellem medlemsstaterne om fremtiden for EU's forbindelser med Kina med henblik på at fastlægge Unionens strategiske mål; understreger, at Unionen kun ved at fastlægge en langsigtet vision for forbindelserne mellem EU og Kina vil være i stand til at udforme en politik, der er konsekvent, troværdig og effektiv, og opfordrer Kommissionen og Rådet til at fremsætte forslag med henblik herpå;</w:t>
      </w:r>
    </w:p>
    <w:p w14:paraId="660B0F5D" w14:textId="7B0AFA7E" w:rsidR="00FD32D1" w:rsidRPr="0009368B" w:rsidRDefault="00D56CD6" w:rsidP="00FD32D1">
      <w:pPr>
        <w:pStyle w:val="NormalHanging12a"/>
      </w:pPr>
      <w:r>
        <w:t>7</w:t>
      </w:r>
      <w:r w:rsidR="00FD32D1" w:rsidRPr="0009368B">
        <w:t>8.</w:t>
      </w:r>
      <w:r w:rsidR="00FD32D1" w:rsidRPr="0009368B">
        <w:tab/>
        <w:t>bemærker, at geopolitiske udfordringer har styrket EU's og Indiens fælles interesser; støtter et topmøde mellem EU og Indien med henblik på at lancere en ny strategisk dagsorden; glæder sig over den strategiske dialog om udenrigs- og sikkerhedspolitik, der blev indledt i juni 2025, og tilskynder til oprettelse af et sikkerheds- og forsvarspartnerskab mellem EU og Indien, herunder regelmæssige fælles flådeøvelser i Det Indiske Ocean og et operationelt samarbejde mellem den indiske flåde og EU's flådemissioner; fremhæver målet om at indgå en aftale om informationssikkerhed med Indien senest i 2026; fremhæver den strategiske mulighed for at mindske Indiens afhængighed af import af russiske våben ved at støtte forsvarsindustriens samarbejde og teknologioverførsel med europæiske partnere og opfordrer Indien til at indtage en klar holdning mod den russiske angrebskrig mod Ukraine og til at øge effektive foranstaltninger til at forhindre omgåelse af EU's sanktioner; glæder sig over den økonomiske korridor mellem Indien, Mellemøsten og Europa og understreger, at dette projekt kan fremskynde handelen mellem Europa og Indien; opfordrer EU og Indien til at øge investeringerne inden for rammerne af Global Gateway på grundlag af den nuværende Team Europe-portefølje på 15 mia. EUR med prioriterede projekter inden for vedvarende energi, bæredygtig transport, digital infrastruktur og sundhedssikkerhed; opfordrer til, at der oprettes et erhvervsforum mellem EU og Indien for at styrke samarbejdet i den private sektor og sikre markedsudbredelsen af initiativer; støtter oprettelsen af innovationsknudepunkter mellem EU og Indien og partnerskaber for opstartsvirksomheder med henblik på at fremme samarbejdet inden for halvledere, kunstig intelligens og grøn brint, herunder fælles forskning inden for rammerne af Horisont Europa; gør på ny opmærksom på vigtigheden af regelmæssige ministerdialoger og parlamentarisk engagement for at sikre tilsyn og opfyldelse af fælles forpligtelser; opfordrer den indiske regering til at forbedre beskyttelsen af kvinders og mindretals rettigheder;</w:t>
      </w:r>
    </w:p>
    <w:p w14:paraId="51596263" w14:textId="6F389C72" w:rsidR="00FD32D1" w:rsidRPr="0009368B" w:rsidRDefault="00D56CD6" w:rsidP="00FD32D1">
      <w:pPr>
        <w:pStyle w:val="NormalHanging12a"/>
      </w:pPr>
      <w:r>
        <w:t>7</w:t>
      </w:r>
      <w:r w:rsidR="00FD32D1" w:rsidRPr="0009368B">
        <w:t>9.</w:t>
      </w:r>
      <w:r w:rsidR="00FD32D1" w:rsidRPr="0009368B">
        <w:tab/>
        <w:t>glæder sig over den 10. politiske dialog mellem EU og Pakistan, der blev afholdt i Bruxelles den 17. juli 2025, og understreger vigtigheden af en fuld gennemførelse af den strategiske engagementsplan som rammen for en styrkelse af samarbejdet om politiske, økonomiske, sikkerhedsmæssige og udviklingsmæssige spørgsmål; opfordrer Kommissionen og NF/HR til at bygge videre på de fremskridt, der er gjort inden for rammerne af den generelle toldpræferenceordning Plus (GSP+) og den omfattende migrations- og mobilitetsdialog; tilskynder til fortsat samarbejde om migration, terrorbekæmpelse og narkotikabekæmpelse;</w:t>
      </w:r>
    </w:p>
    <w:p w14:paraId="6D20569D" w14:textId="69D6B82C" w:rsidR="00FD32D1" w:rsidRDefault="00D56CD6" w:rsidP="00FD32D1">
      <w:pPr>
        <w:pStyle w:val="NormalHanging12a"/>
      </w:pPr>
      <w:r>
        <w:t>8</w:t>
      </w:r>
      <w:r w:rsidR="00FD32D1" w:rsidRPr="0009368B">
        <w:t>0.</w:t>
      </w:r>
      <w:r w:rsidR="00FD32D1" w:rsidRPr="0009368B">
        <w:tab/>
        <w:t xml:space="preserve">udtrykker sin støtte til og sympati for de prodemokratiske bevægelser i Sydasien, navnlig i Bangladesh, Sri Lanka og Nepal, og understreger, at disse demokratiske ambitioner hos befolkningen skal imødekommes af den politiske ledelse med konkrete reformer og fremskridt; minder om EU's mangeårige støtte til demokratiet og civilsamfundet i Sydasien og understreger, at EU bør søge et tættere partnerskab med alle lande i regionen for at tilvejebringe en alternativ samarbejdsmodel i forhold til </w:t>
      </w:r>
      <w:r w:rsidR="00FD32D1" w:rsidRPr="0009368B">
        <w:lastRenderedPageBreak/>
        <w:t>Kina, som øger sin tilstedeværelse i regionen;</w:t>
      </w:r>
    </w:p>
    <w:p w14:paraId="7A4B1827" w14:textId="716E1549" w:rsidR="00C30608" w:rsidRPr="0009368B" w:rsidRDefault="00D56CD6" w:rsidP="00FD32D1">
      <w:pPr>
        <w:pStyle w:val="NormalHanging12a"/>
      </w:pPr>
      <w:r>
        <w:t>81</w:t>
      </w:r>
      <w:r w:rsidR="00C30608" w:rsidRPr="00C30608">
        <w:t>.</w:t>
      </w:r>
      <w:r w:rsidR="00C30608" w:rsidRPr="00C30608">
        <w:tab/>
        <w:t>fordømmer på det kraftigste det proformaparlamentsvalg, som militærjuntaen i Myanmar afholdt den 28. december 2025, og som mangler enhver demokratisk legitimitet og blev afholdt i et miljø med systemisk intimidering, vold og tvang; fremhæver, at den tvungne opløsning af oppositionspartier og den fortsatte tilbageholdelse af politiske ledere i Myanmar gør valgprocessen ugyldig; afviser ethvert forsøg fra juntaens side på at bruge disse svigagtige meningsmålinger til at søge international anerkendelse; opfordrer NF/HR og medlemsstaterne til at øge presset på militærregimet gennem målrettede sanktioner og til fortsat at støtte Myanmars befolknings demokratiske forhåbninger og deres bestræbelser på at opnå en ægte, inklusiv overgang til civilt styre;</w:t>
      </w:r>
    </w:p>
    <w:p w14:paraId="0CA7BF66" w14:textId="6D646C70" w:rsidR="00FD32D1" w:rsidRPr="0009368B" w:rsidRDefault="00D56CD6" w:rsidP="00FD32D1">
      <w:pPr>
        <w:pStyle w:val="NormalHanging12a"/>
      </w:pPr>
      <w:r>
        <w:t>82</w:t>
      </w:r>
      <w:r w:rsidR="00FD32D1" w:rsidRPr="0009368B">
        <w:t xml:space="preserve">. </w:t>
      </w:r>
      <w:r w:rsidR="00FD32D1" w:rsidRPr="0009368B">
        <w:tab/>
        <w:t>opfordrer indtrængende NF/HR og medlemsstaterne til at fokusere på at udvikle stærkere bilaterale partnerskaber med ligesindede demokratier i Afrika baseret på lighed, respekt og gensidige fordele samt på "mere for mere"-princippet og samtidig værne om de universelle værdier menneskerettigheder og demokrati; understreger, at både EU og Afrika står over for de samme globale udfordringer; understreger behovet for at styrke forbindelserne mellem kontinenterne og glæder sig over den fælles erklæring fra det syvende topmøde mellem EU og Den Afrikanske Union (AU)</w:t>
      </w:r>
      <w:r w:rsidR="00FD32D1" w:rsidRPr="0009368B">
        <w:rPr>
          <w:rStyle w:val="FootnoteReference"/>
        </w:rPr>
        <w:footnoteReference w:id="16"/>
      </w:r>
      <w:r w:rsidR="00FD32D1" w:rsidRPr="0009368B">
        <w:t>; understreger vigtigheden af at institutionalisere den parlamentariske dimension af fremtidige topmøder mellem EU og AU som en integreret del af deres rammer for at sikre borgerrepræsentation, offentlighedens tilsyn og et demokratisk bidrag til forhandlingerne og resultaterne af partnerskabet; minder om den merværdi, som Organisationen af Stater i Afrika, Caribien og Stillehavet (OACSS) kan tilføre, og glæder sig over det øgede samarbejde med OACSS-lande gennem Samoaaftalen</w:t>
      </w:r>
      <w:r w:rsidR="00FD32D1" w:rsidRPr="0009368B">
        <w:rPr>
          <w:rStyle w:val="FootnoteReference"/>
        </w:rPr>
        <w:footnoteReference w:id="17"/>
      </w:r>
      <w:r w:rsidR="00FD32D1" w:rsidRPr="0009368B">
        <w:t>; opfordrer til, at der oprettes en særlig EU-Afrika-industrialiseringspagt under fælles ledelse af AU, EU og regionale udviklingsbanker for at mobilisere offentlig og privat kapital, hvilket vil sikre, at Afrika ikke blot er en kilde til råstoffer, men et knudepunkt for forarbejdning, fremstilling og innovation;</w:t>
      </w:r>
    </w:p>
    <w:p w14:paraId="1A6650FF" w14:textId="40A0F993" w:rsidR="00FD32D1" w:rsidRPr="0009368B" w:rsidRDefault="00D56CD6" w:rsidP="00FD32D1">
      <w:pPr>
        <w:pStyle w:val="NormalHanging12a"/>
      </w:pPr>
      <w:r>
        <w:t>83</w:t>
      </w:r>
      <w:r w:rsidR="00FD32D1" w:rsidRPr="0009368B">
        <w:t>.</w:t>
      </w:r>
      <w:r w:rsidR="00FD32D1" w:rsidRPr="0009368B">
        <w:tab/>
        <w:t>er stadig dybt bekymret over den fortsatte vold og de humanitære krise i flere dele af Afrika; er især foruroliget over den fortsatte vold og usikkerhed i den østlige del af Den Demokratiske Republik Congo, hovedsagelig i provinserne Nordkivu og Ituri; opfordrer EU til at spille en aktiv og koordineret rolle med hensyn til at støtte gennemførelsen af fredsprocessen med fokus på at øge inklusivitet og kvinders deltagelse, humanitær adgang og beskyttelse af civile; opfordrer indtrængende Kommissionen og Rådet til straks at suspendere aftalememorandummet mellem EU og Rwanda om værdikæder for bæredygtige råstoffer, indtil Rwanda standser sin indblanding;</w:t>
      </w:r>
    </w:p>
    <w:p w14:paraId="623E0F2A" w14:textId="7A936406" w:rsidR="00FD32D1" w:rsidRPr="0009368B" w:rsidRDefault="00D56CD6" w:rsidP="00FD32D1">
      <w:pPr>
        <w:pStyle w:val="NormalHanging12a"/>
      </w:pPr>
      <w:r>
        <w:t>84</w:t>
      </w:r>
      <w:r w:rsidR="00FD32D1" w:rsidRPr="0009368B">
        <w:t>.</w:t>
      </w:r>
      <w:r w:rsidR="00FD32D1" w:rsidRPr="0009368B">
        <w:tab/>
        <w:t xml:space="preserve">giver udtryk for alvorlig bekymring over den ødelæggende konflikt i Sudan, der har resulteret i et stort antal civile ofre, fordrivelse og udbredte krænkelser af menneskerettighederne; fordømmer på det kraftigste alle krigsforbrydelser og menneskerettighedskrænkelser og opfordrer til uhindret humanitær adgang, fuld ansvarliggørelse, håndhævelse af alle våbenembargoer og målrettede sanktioner mod </w:t>
      </w:r>
      <w:r w:rsidR="00FD32D1" w:rsidRPr="0009368B">
        <w:lastRenderedPageBreak/>
        <w:t>alle personer, der begår disse grusomheder;</w:t>
      </w:r>
    </w:p>
    <w:p w14:paraId="01D8B7DF" w14:textId="03714267" w:rsidR="00FD32D1" w:rsidRPr="0009368B" w:rsidRDefault="00D56CD6" w:rsidP="00FD32D1">
      <w:pPr>
        <w:pStyle w:val="NormalHanging12a"/>
      </w:pPr>
      <w:r>
        <w:t>85</w:t>
      </w:r>
      <w:r w:rsidR="00FD32D1" w:rsidRPr="0009368B">
        <w:t>.</w:t>
      </w:r>
      <w:r w:rsidR="00FD32D1" w:rsidRPr="0009368B">
        <w:tab/>
        <w:t>bemærker med bekymring den seneste tids udfordringer i forbindelse med valg på dele af det afrikanske kontinent, herunder i Tanzania, Cameroun og Elfenbenskysten, og anerkender befolkningens engagement og de efterfølgende demonstrationer; opfordrer til en transparent og grundig gennemgang af alle rapporterede problemer med valgene og opfordrer de respektive myndigheder til at sikre befolkningens udtrykte vilje og værne om alle politiske aktørers rettigheder; understreger i den forbindelse betydningen af at sikre, at politisk deltagelse og oppositionsaktiviteter kan finde sted frit og uden unødige begrænsninger;</w:t>
      </w:r>
    </w:p>
    <w:p w14:paraId="721291EB" w14:textId="2B0D2596" w:rsidR="00FD32D1" w:rsidRDefault="00D56CD6" w:rsidP="00FD32D1">
      <w:pPr>
        <w:pStyle w:val="NormalHanging12a"/>
      </w:pPr>
      <w:r>
        <w:t>86</w:t>
      </w:r>
      <w:r w:rsidR="00FD32D1" w:rsidRPr="0009368B">
        <w:t>.</w:t>
      </w:r>
      <w:r w:rsidR="00FD32D1" w:rsidRPr="0009368B">
        <w:tab/>
        <w:t>beklager de demokratiske tilbageskridt og stigningen i antallet af militærkup, navnlig i Sahel, såsom i Niger, Burkina Faso og Mali, som alle truer regionens stabilitet; fordømmer eksterne aktørers stigende forsøg på at undergrave staternes suverænitet og forstærke antieuropæiske narrativer ved brug af grupper af lejesoldater og målrettede desinformationskampagner, hvilket forværres af den rolle, som Rusland og Kina spiller i regionen; minder om, at dette har direkte konsekvenser for Europas sikkerhed og velstand, og understreger derfor, at der er presserende behov for at styrke EU's positive bidrag til fred, sikkerhed og udvikling; fremhæver behovet for at benytte Global Gateway-initiativet som et centralt redskab til at tilbyde positive partnerskaber på områder som infrastruktur, sundhed og digital omstilling og dermed hjælpe med at forbedre lokalbefolkningens liv og bekæmpe den stigende tilstedeværelse af autoritære magter på kontinentet; opfordrer til vedvarende EU-investeringer i god regeringsførelse, kapacitetsopbygning og partnerskab med sigte på at forhindre statskollaps, afsmittende virkninger af migration og ulovlig handel samt at bekæmpe terrorisme;</w:t>
      </w:r>
    </w:p>
    <w:p w14:paraId="238BFD8B" w14:textId="71743B52" w:rsidR="00C30608" w:rsidRPr="0009368B" w:rsidRDefault="00D56CD6" w:rsidP="00FD32D1">
      <w:pPr>
        <w:pStyle w:val="NormalHanging12a"/>
      </w:pPr>
      <w:r>
        <w:t>87</w:t>
      </w:r>
      <w:r w:rsidR="00C30608" w:rsidRPr="00C30608">
        <w:t>.</w:t>
      </w:r>
      <w:r w:rsidR="00C30608" w:rsidRPr="00C30608">
        <w:tab/>
        <w:t>minder om den trussel, som islamisk terrorisme i Afrika udgør, navnlig for religiøse samfund, herunder kristne, og noterer sig det styrkede samarbejde om terrorbekæmpelse mellem USA og Nigeria, herunder de seneste aktioner mod grupper, der er tilknyttet Islamisk Stat; advarer mod de utilsigtede konsekvenser af eksterne militære aktioner, herunder risikoen for at give næring til ekstremistiske narrativer, opfattelser af udenlandsk intervention og lokal utilfredshed, der kan underminere stabilitet og konfliktløsning; understreger, at EU og USA bør intensivere den fælles indsats for at støtte forvaltnings- og sikkerhedskapaciteter, forebygge radikalisering, bekæmpe terrorisme og beskytte religiøse samfund;</w:t>
      </w:r>
    </w:p>
    <w:p w14:paraId="4D74CF25" w14:textId="3267BFDD" w:rsidR="00FD32D1" w:rsidRPr="0009368B" w:rsidRDefault="00D56CD6" w:rsidP="00FD32D1">
      <w:pPr>
        <w:pStyle w:val="NormalHanging12a"/>
      </w:pPr>
      <w:r>
        <w:t>88</w:t>
      </w:r>
      <w:r w:rsidR="00FD32D1" w:rsidRPr="0009368B">
        <w:t>.</w:t>
      </w:r>
      <w:r w:rsidR="00FD32D1" w:rsidRPr="0009368B">
        <w:tab/>
        <w:t xml:space="preserve">understreger, at landene i EU, Latinamerika og Caribien er ligesindede og deler værdier, sprog, historie, kultur og religion, hvilket bør gøre dem til naturlige partnere i nutidens geopolitiske kontekst; bemærker, at EU's engagement i regionen er faldet i de seneste årtier, hvilket har skabt et tomrum og givet plads til Kinas og Ruslands stigende indflydelse; </w:t>
      </w:r>
      <w:bookmarkStart w:id="7" w:name="_Hlk216089053"/>
      <w:r w:rsidR="00FD32D1" w:rsidRPr="0009368B">
        <w:t>opfordrer indtrængende Kommissionen og NF/HR til at sikre, at partnerskabet med Latinamerika og Caribien bevæger sig fra ord til handling, ved at udarbejde en køreplan, der styrker begge regioners evne til at agere i en anfægtet verdensorden</w:t>
      </w:r>
      <w:bookmarkEnd w:id="7"/>
      <w:r w:rsidR="00FD32D1" w:rsidRPr="0009368B">
        <w:t>; glæder sig over den fælles erklæring</w:t>
      </w:r>
      <w:r w:rsidR="00FD32D1" w:rsidRPr="0009368B">
        <w:rPr>
          <w:rStyle w:val="FootnoteReference"/>
        </w:rPr>
        <w:footnoteReference w:id="18"/>
      </w:r>
      <w:r w:rsidR="00FD32D1" w:rsidRPr="0009368B">
        <w:t xml:space="preserve">, der blev vedtaget på topmødet i Santa Marta i november 2025; fremhæver, at denne nye dagsorden skal imødekomme borgernes forhåbninger ved at fremme inklusiv vækst, fjerne ulighed og støtte regional integration, f.eks. ved at sikre, at Global Gateway skaber konkrete fordele for lokalsamfundene gennem gennemsigtige investeringer; minder om, at EU's troværdighed som partner afhænger af, at der tilbydes en samarbejdsmodel i klar </w:t>
      </w:r>
      <w:r w:rsidR="00FD32D1" w:rsidRPr="0009368B">
        <w:lastRenderedPageBreak/>
        <w:t>kontrast til andre globale aktørers og multinationale selskabers udnyttelsesorienterede tilgange, der drives af ikkebæredygtige forretningsmetoder; opfordrer indtrængende Kommissionen og NF/HR til med henblik på at styrke EU's geopolitiske indflydelse i regionen at styrke forbindelserne og intensivere den internationale diplomatiske indsats som reaktion på fremkomsten af autoritære regimer; glæder sig i den forbindelse over det nylige topmøde mellem EU og CELAC; gentager sin opfordring til en betydelig forøgelse af det bilaterale samarbejde i kampen mod organiseret kriminalitet, navnlig narkotikahandel;</w:t>
      </w:r>
    </w:p>
    <w:p w14:paraId="153BA911" w14:textId="77550B97" w:rsidR="00FD32D1" w:rsidRDefault="00D56CD6" w:rsidP="00FD32D1">
      <w:pPr>
        <w:pStyle w:val="NormalHanging12a"/>
      </w:pPr>
      <w:r>
        <w:t>89</w:t>
      </w:r>
      <w:r w:rsidR="00FD32D1" w:rsidRPr="0009368B">
        <w:t>.</w:t>
      </w:r>
      <w:r w:rsidR="00FD32D1" w:rsidRPr="0009368B">
        <w:tab/>
        <w:t>er dybt bekymret over de taktikker, der anvendes af autoritære regimer i Cuba</w:t>
      </w:r>
      <w:r w:rsidR="009E53AC">
        <w:t xml:space="preserve"> </w:t>
      </w:r>
      <w:r w:rsidR="00FD32D1" w:rsidRPr="0009368B">
        <w:t>og Nicaragua, navnlig undertrykkelsen af oppositionsledere, restriktionerne på uafhængige medier og indskrænkningen af civilsamfundets råderum; fremhæver navnlig undertrykkelsen af den katolske kirke i Nicaragua; opfordrer alle latinamerikanske lande og det internationale samfund til at undgå konflikter og samarbejde om at lægge diplomatisk pres på disse regimer; opfordrer NF/HR og Kommissionen til at anvende alle nødvendige tilgængelige instrumenter – og ikke udelukke nogen – for at sikre overholdelse af klausulerne om demokrati og menneskerettigheder i samarbejdsaftalerne med disse lande, hvilket</w:t>
      </w:r>
      <w:r w:rsidR="00D21B4D" w:rsidRPr="0009368B">
        <w:t xml:space="preserve"> kan</w:t>
      </w:r>
      <w:r w:rsidR="00FD32D1" w:rsidRPr="0009368B">
        <w:t xml:space="preserve"> indebære en revidering af dem</w:t>
      </w:r>
      <w:r w:rsidR="00C30608" w:rsidRPr="00C30608">
        <w:t>, navnlig med hensyn til Cuba, som desuden er en tæt partner for regimerne i Moskva og Minsk, og give dem politisk støtte og bidrage negativt til den europæiske sikkerhed, bl.a. ved at lette inddragelsen af hundredvis af cubanske lejesoldater i Ruslands aggression mod Ukraine; understreger, at sådanne ordninger ikke fortsat kan drage fordel af et privilegeret samarbejde med EU, f.eks. i henhold til aftalen om politisk dialog og samarbejde</w:t>
      </w:r>
      <w:r w:rsidR="00FD32D1" w:rsidRPr="0009368B">
        <w:t>; giver udtryk for dyb bekymring over udhulingen af de demokratiske principper og den bevidste omgåelse af de forfatningsmæssige garantier i El Salvador, navnlig med hensyn til retsvæsenets manglende uafhængighed og den manglende gennemsigtighed i regeringens handlinger, den overdrevne magtanvendelse, utilbørlig militarisering og de voksende begrænsninger af forsamlings- og pressefriheden;</w:t>
      </w:r>
    </w:p>
    <w:p w14:paraId="214B1312" w14:textId="62CF41B6" w:rsidR="007D37CE" w:rsidRDefault="00D56CD6" w:rsidP="00FD32D1">
      <w:pPr>
        <w:pStyle w:val="NormalHanging12a"/>
      </w:pPr>
      <w:r>
        <w:t>90</w:t>
      </w:r>
      <w:r w:rsidR="007D37CE" w:rsidRPr="007D37CE">
        <w:t>.</w:t>
      </w:r>
      <w:r w:rsidR="007D37CE" w:rsidRPr="007D37CE">
        <w:tab/>
        <w:t xml:space="preserve">henleder opmærksomheden på Parlamentets og Rådets tidligere holdninger til den politiske krise i Venezuela; minder om, at EU konsekvent har erklæret, at Nicolás Maduro manglede legitimitet som demokratisk valgt præsident og derfor ikke blev anerkendt som sådan; forventer, at den seneste udvikling skaber muligheder for demokratiske fremskridt for det venezuelanske folk og civilsamfundet; understreger imidlertid, at måden, hvorpå politisk forandring finder sted, er af fundamental betydning, og bemærker med alvorlig bekymring, at USA's ensidige militære aktion, der blev gennemført uden for lovlige multilaterale rammer, giver anledning til betydelige spørgsmål i medfør af folkeretten og risikerer at undergrave legitimiteten og holdbarheden af en ægte, inklusiv og fredelig overgang til demokrati; understreger, at principperne i folkeretten og De Forenede Nationers pagt – herunder respekten for suverænitet, territorial integritet og forbuddet mod magtanvendelse – skal opretholdes under alle omstændigheder, og bemærker, at permanente medlemmer af FN's Sikkerhedsråd har et særligt ansvar i den henseende; støtter en hurtig, fredelig og venezuelanskledet overgang til demokrati for at stabilisere landet og gøre det muligt for eksilvenezuelanere at vende tilbage; bifalder, at løsladelsen af politiske fanger er begyndt, som et positivt signal; minder om, at de er blevet uretmæssigt tilbageholdt under umenneskelige og grusomme forhold; kræver, at alle politiske fanger og andre vilkårligt tilbageholdte personer løslades betingelsesløst; understreger, at EU deler prioriteten om at bekæmpe grænseoverskridende organiseret kriminalitet og narkotikahandel, som udgør betydelige sikkerhedsudfordringer, men understreger, at disse udfordringer skal tackles gennem et vedvarende samarbejde under fuld overholdelse af folkeretten; understreger, at Venezuelas olie- og naturressourcer på en </w:t>
      </w:r>
      <w:r w:rsidR="007D37CE" w:rsidRPr="007D37CE">
        <w:lastRenderedPageBreak/>
        <w:t>velforvaltet måde bør bruges af en ny demokratisk valgt venezuelansk regering på en måde, der gavner det venezuelanske folk og bringer dem ud af fattigdom og fremmer landets bæredygtige udvikling;</w:t>
      </w:r>
    </w:p>
    <w:p w14:paraId="55B05282" w14:textId="3AB7D3BD" w:rsidR="007D37CE" w:rsidRDefault="00D56CD6" w:rsidP="00FD32D1">
      <w:pPr>
        <w:pStyle w:val="NormalHanging12a"/>
      </w:pPr>
      <w:r>
        <w:t>91</w:t>
      </w:r>
      <w:r w:rsidR="007D37CE" w:rsidRPr="007D37CE">
        <w:t>.</w:t>
      </w:r>
      <w:r w:rsidR="007D37CE" w:rsidRPr="007D37CE">
        <w:tab/>
        <w:t>understreger, at det venezuelanske folk skal bestemme sin egen fremtid gennem frie og retfærdige valg;</w:t>
      </w:r>
    </w:p>
    <w:p w14:paraId="30F577A4" w14:textId="07E7DA22" w:rsidR="009B1F3C" w:rsidRPr="0009368B" w:rsidRDefault="00D56CD6" w:rsidP="00FD32D1">
      <w:pPr>
        <w:pStyle w:val="NormalHanging12a"/>
      </w:pPr>
      <w:r>
        <w:t>92</w:t>
      </w:r>
      <w:r w:rsidR="009B1F3C" w:rsidRPr="009B1F3C">
        <w:t>.</w:t>
      </w:r>
      <w:r w:rsidR="009B1F3C" w:rsidRPr="009B1F3C">
        <w:tab/>
        <w:t>beklager præsident Trumps retorik vedrørende det manglende samarbejde fra Colombias og Mexicos præsidenter og glæder sig over de positive telefonopkald mellem præsident Trump og præsident Petro og præsident Trump og præsident Sheinbaum som en vej til konstruktivt og diplomatisk samarbejde;</w:t>
      </w:r>
    </w:p>
    <w:p w14:paraId="2CD1B6DC" w14:textId="14AA9F76" w:rsidR="00FD32D1" w:rsidRPr="0009368B" w:rsidRDefault="00D56CD6" w:rsidP="00FD32D1">
      <w:pPr>
        <w:pStyle w:val="NormalHanging12a"/>
      </w:pPr>
      <w:r>
        <w:t>93</w:t>
      </w:r>
      <w:r w:rsidR="00FD32D1" w:rsidRPr="0009368B">
        <w:t>.</w:t>
      </w:r>
      <w:r w:rsidR="00FD32D1" w:rsidRPr="0009368B">
        <w:tab/>
        <w:t>fremhæver Arktis' øgede geostrategiske relevans og gentager, at der er behov for en sammenhængende og ajourført EU-politik for Arktis; udtrykker øget bekymring over Ruslands militære opbygning i Arktis og de ulovlige begrænsninger af retten til fri sejlads på Nordsøruten; bemærker med stigende bekymring den forøgede kinesiske interesse for Arktis og understreger, at EU skal tilstræbe en passende reaktion herpå; fremhæver, at Arktis fortsat skal være et område med fred, stabilitet og konstruktivt samarbejde; understreger, at der er behov for at styrke den regionale dialog og koordinering med vores arktiske partnere, herunder Norge, USA og Canada, for at garantere sikkerhed, bæredygtig økonomisk udvikling og modstandsdygtighed over for geopolitiske og klimarelaterede udfordringer; fremhæver vigtigheden af at integrere prognoser for klimaforandringer i Arktis i EU's udenrigs-, sikkerheds- og civilbeskyttelsesplanlægning; opfordrer til, at mandatet for og ressourcerne til EU's særlige udsending for arktiske anliggender styrkes for bedre at kunne koordinere politikken, overvåge udviklingen og samarbejde med arktiske partnere; opfordrer til, at EU's og medlemsstaternes aktiviteter i Arktis bidrager til og ikke skader oprindelige samfunds velfærd og rettigheder, jf. Ottawa-erklæringen fra 1996; glæder sig over ethvert potentielt initiativ fra Grønlands regering til at styrke dets politiske, institutionelle og økonomiske forbindelser med EU;</w:t>
      </w:r>
      <w:r w:rsidR="00036C0C">
        <w:t xml:space="preserve"> </w:t>
      </w:r>
      <w:r w:rsidR="00036C0C" w:rsidRPr="00036C0C">
        <w:t>opfordrer til gennemførelse af aftalememorandummet mellem EU og Grønland, der blev undertegnet i 2023, med henblik på yderligere at styrke et ligeværdigt og gensidigt fordelagtigt partnerskab; understreger, at dette samarbejde bør understøttes af betydelige EU-investeringer i bæredygtige infrastrukturprojekter inden for hele værdikæden for råstoffer samt på andre områder såsom uddannelse, der skaber langsigtet værdi for både EU og Grønland og samtidig støtter Grønlands egne prioriteter, økonomiske udvikling og befolkningens velfærd;</w:t>
      </w:r>
    </w:p>
    <w:p w14:paraId="0460ECEB" w14:textId="70B4323A" w:rsidR="00FD32D1" w:rsidRPr="0009368B" w:rsidRDefault="00D56CD6" w:rsidP="00FD32D1">
      <w:pPr>
        <w:pStyle w:val="NormalHanging12a"/>
      </w:pPr>
      <w:r>
        <w:t>94</w:t>
      </w:r>
      <w:r w:rsidR="00FD32D1" w:rsidRPr="0009368B">
        <w:t>.</w:t>
      </w:r>
      <w:r w:rsidR="00FD32D1" w:rsidRPr="0009368B">
        <w:tab/>
        <w:t>opfordrer Kommissionen og EU-Udenrigstjenesten til at intensivere det strukturerede samarbejde med regionale organisationer – herunder ASEAN, AU, CELAC og GCC – med henblik på at udvikle inkluderende regionale sikkerhedsstrukturer og koordinere multilaterale politiske reaktioner såsom:</w:t>
      </w:r>
    </w:p>
    <w:p w14:paraId="156DA26E" w14:textId="77777777" w:rsidR="00FD32D1" w:rsidRPr="0009368B" w:rsidRDefault="00FD32D1" w:rsidP="00130173">
      <w:pPr>
        <w:pStyle w:val="NormalHanging12a"/>
        <w:ind w:left="1134" w:hanging="568"/>
      </w:pPr>
      <w:r w:rsidRPr="0009368B">
        <w:t>a)</w:t>
      </w:r>
      <w:r w:rsidRPr="0009368B">
        <w:tab/>
        <w:t>tværgående partnerskaber om sundhedssikkerhed</w:t>
      </w:r>
    </w:p>
    <w:p w14:paraId="29FD0C23" w14:textId="77777777" w:rsidR="00FD32D1" w:rsidRPr="0009368B" w:rsidRDefault="00FD32D1" w:rsidP="00130173">
      <w:pPr>
        <w:pStyle w:val="NormalHanging12a"/>
        <w:ind w:left="1134" w:hanging="568"/>
      </w:pPr>
      <w:r w:rsidRPr="0009368B">
        <w:t>b)</w:t>
      </w:r>
      <w:r w:rsidRPr="0009368B">
        <w:tab/>
        <w:t>fælles diversificering og modstandsdygtige værdikæder med betroede partnere</w:t>
      </w:r>
    </w:p>
    <w:p w14:paraId="6BC75AB4" w14:textId="77777777" w:rsidR="00FD32D1" w:rsidRPr="0009368B" w:rsidRDefault="00FD32D1" w:rsidP="00130173">
      <w:pPr>
        <w:pStyle w:val="NormalHanging12a"/>
        <w:ind w:left="1134" w:hanging="568"/>
      </w:pPr>
      <w:r w:rsidRPr="0009368B">
        <w:t>c)</w:t>
      </w:r>
      <w:r w:rsidRPr="0009368B">
        <w:tab/>
        <w:t>styrket samarbejde om migrationsstyring, respekt for menneskerettigheder og værdighed og beskyttelse af asylretten</w:t>
      </w:r>
    </w:p>
    <w:p w14:paraId="59EF89E0" w14:textId="77777777" w:rsidR="00FD32D1" w:rsidRPr="0009368B" w:rsidRDefault="00FD32D1" w:rsidP="00130173">
      <w:pPr>
        <w:pStyle w:val="NormalHanging12a"/>
        <w:ind w:left="1134" w:hanging="568"/>
      </w:pPr>
      <w:r w:rsidRPr="0009368B">
        <w:t>d)</w:t>
      </w:r>
      <w:r w:rsidRPr="0009368B">
        <w:tab/>
        <w:t xml:space="preserve">øget samarbejde om håndtering af klimaforandringernes konsekvenser for fred og sikkerhed; fremhæver, at klimaforandringerne udgør en af de væsentlige </w:t>
      </w:r>
      <w:r w:rsidRPr="0009368B">
        <w:lastRenderedPageBreak/>
        <w:t>udfordringer for EU's FUSP; opfordrer EU til at behandle klimabeskyttelse og klimadiplomati som en væsentlig del af sin udenrigspolitik</w:t>
      </w:r>
    </w:p>
    <w:p w14:paraId="55893229" w14:textId="77777777" w:rsidR="00FD32D1" w:rsidRPr="0009368B" w:rsidRDefault="00FD32D1" w:rsidP="00130173">
      <w:pPr>
        <w:pStyle w:val="NormalHanging12a"/>
        <w:ind w:left="1134" w:hanging="568"/>
      </w:pPr>
      <w:r w:rsidRPr="0009368B">
        <w:t>e)</w:t>
      </w:r>
      <w:r w:rsidRPr="0009368B">
        <w:tab/>
        <w:t>en hurtig revitalisering af den globale indsats for at nå de 17 verdensmål for bæredygtig udvikling senest i 2030</w:t>
      </w:r>
    </w:p>
    <w:p w14:paraId="0B563C4B" w14:textId="77777777" w:rsidR="00FD32D1" w:rsidRPr="0009368B" w:rsidRDefault="00FD32D1" w:rsidP="00130173">
      <w:pPr>
        <w:pStyle w:val="NormalHanging12a"/>
        <w:ind w:left="1134" w:hanging="568"/>
      </w:pPr>
      <w:r w:rsidRPr="0009368B">
        <w:t>f)</w:t>
      </w:r>
      <w:r w:rsidRPr="0009368B">
        <w:tab/>
        <w:t xml:space="preserve">forsvar af kvinders rettigheder i hele verden, da vi ser et globalt tilbageslag mod ligestilling mellem kønnene </w:t>
      </w:r>
    </w:p>
    <w:p w14:paraId="0653C438" w14:textId="77777777" w:rsidR="00FD32D1" w:rsidRPr="0009368B" w:rsidRDefault="00FD32D1" w:rsidP="00130173">
      <w:pPr>
        <w:pStyle w:val="NormalHanging12a"/>
        <w:ind w:left="1134" w:hanging="568"/>
      </w:pPr>
      <w:r w:rsidRPr="0009368B">
        <w:t>g)</w:t>
      </w:r>
      <w:r w:rsidRPr="0009368B">
        <w:tab/>
        <w:t>kollektiv støtte til FN, navnlig Den Internationale Domstol og alle andre internationale organisationer, der er afgørende for at opretholde den internationale regelbaserede orden;</w:t>
      </w:r>
    </w:p>
    <w:p w14:paraId="569B49F2" w14:textId="77777777" w:rsidR="00FD32D1" w:rsidRPr="0009368B" w:rsidRDefault="00FD32D1" w:rsidP="00FD32D1">
      <w:pPr>
        <w:spacing w:after="240"/>
      </w:pPr>
      <w:r w:rsidRPr="0009368B">
        <w:rPr>
          <w:b/>
          <w:i/>
        </w:rPr>
        <w:t>Fastlæggelse af standpunkter, som ikke er til forhandling, og som vi anser for at være ukrænkelige</w:t>
      </w:r>
    </w:p>
    <w:p w14:paraId="1E70AC32" w14:textId="4BF7DC65" w:rsidR="00FD32D1" w:rsidRPr="0009368B" w:rsidRDefault="00D56CD6" w:rsidP="00FD32D1">
      <w:pPr>
        <w:pStyle w:val="NormalHanging12a"/>
      </w:pPr>
      <w:r>
        <w:t>95</w:t>
      </w:r>
      <w:r w:rsidR="00FD32D1" w:rsidRPr="0009368B">
        <w:t>.</w:t>
      </w:r>
      <w:r w:rsidR="00FD32D1" w:rsidRPr="0009368B">
        <w:tab/>
        <w:t>gentager, at EU i sin optræden udadtil er styret af de værdier og principper, der er nedfældet i artikel 2, artikel 3, stk. 5, og artikel 21 i TEU, og som har inspireret EU's egen skabelse, udvikling og udvidelse;</w:t>
      </w:r>
    </w:p>
    <w:p w14:paraId="638AC77D" w14:textId="7ECEFC4F" w:rsidR="00FD32D1" w:rsidRPr="0009368B" w:rsidRDefault="00D56CD6" w:rsidP="00FD32D1">
      <w:pPr>
        <w:pStyle w:val="NormalHanging12a"/>
      </w:pPr>
      <w:r>
        <w:t>96</w:t>
      </w:r>
      <w:r w:rsidR="00FD32D1" w:rsidRPr="0009368B">
        <w:t xml:space="preserve">. </w:t>
      </w:r>
      <w:r w:rsidR="00FD32D1" w:rsidRPr="0009368B">
        <w:tab/>
        <w:t>minder om, at EU's troværdighed afhænger af dets evne til at handle kohærent, navnlig hvad angår dets eksterne repræsentation, samt dets evne til at handle beslutsomt, når det beskytter sine borgere og sine interesser; understreger, at tærsklen for beslutsom indgriben konsekvent bør meldes ud og skal omfatte utvetydige reaktioner på alvorlige krænkelser af menneskerettighederne, systematisk undertrykkelse, herunder af parlamentarikere og politisk opposition, og alvorlig korruption samt kleptokrati; støtter en udvidelse af EU's globale ordning for menneskerettighedssanktioner (en Magnitskij-lignende ordning for menneskerettighedssanktioner) til at omfatte systemisk undertrykkelse og korruption; understreger, at korruption muliggør og forværrer menneskerettighedskrænkelser, overgreb og udhuling af de demokratiske principper og retsstatsprincippet; opfordrer EU til at udarbejde lovgivning svarende til den amerikanske Foreign Corrupt Practices Act;</w:t>
      </w:r>
    </w:p>
    <w:p w14:paraId="5E13F1A2" w14:textId="65B258EF" w:rsidR="00FD32D1" w:rsidRPr="0009368B" w:rsidRDefault="00D56CD6" w:rsidP="00FD32D1">
      <w:pPr>
        <w:pStyle w:val="NormalHanging12a"/>
      </w:pPr>
      <w:r>
        <w:t>97</w:t>
      </w:r>
      <w:r w:rsidR="00FD32D1" w:rsidRPr="0009368B">
        <w:t>.</w:t>
      </w:r>
      <w:r w:rsidR="00FD32D1" w:rsidRPr="0009368B">
        <w:tab/>
        <w:t>tilskynder til en mere dybtgående koordinering med G7 og andre demokratiske partnere, herunder inden for G20, for at tilpasse reaktionerne på tilsidesættelser af globale normer;</w:t>
      </w:r>
    </w:p>
    <w:p w14:paraId="3E29AAEB" w14:textId="060ABAF2" w:rsidR="00FD32D1" w:rsidRPr="0009368B" w:rsidRDefault="00D56CD6" w:rsidP="00FD32D1">
      <w:pPr>
        <w:pStyle w:val="NormalHanging12a"/>
      </w:pPr>
      <w:r>
        <w:t>98</w:t>
      </w:r>
      <w:r w:rsidR="00FD32D1" w:rsidRPr="0009368B">
        <w:t>.</w:t>
      </w:r>
      <w:r w:rsidR="00FD32D1" w:rsidRPr="0009368B">
        <w:tab/>
        <w:t>fremhæver betydningen af at sikre, at EU's FUSP styres af principper, der støtter ligestilling mellem kønnene og dagsordenen for kvinder, fred og sikkerhed; opfordrer indtrængende til, at disse bibeholdes som centrale principper i EU's FUSP; opfordrer indtrængende EU-Udenrigstjenesten og Kommissionen til at fastholde EU's førende rolle med hensyn til at fremme kvinders rettigheder i hele verden ved at gennemføre kønshandlingsplan III omhyggeligt og ambitiøst; giver udtryk for alvorlig bekymring over de tiltagende tilbageskridt med hensyn til LGBTIQ+-personers rettigheder i forskellige dele af verden;</w:t>
      </w:r>
    </w:p>
    <w:p w14:paraId="5F8ED5C2" w14:textId="64B27B87" w:rsidR="00FD32D1" w:rsidRPr="0009368B" w:rsidRDefault="00D56CD6" w:rsidP="00FD32D1">
      <w:pPr>
        <w:pStyle w:val="NormalHanging12a"/>
      </w:pPr>
      <w:r>
        <w:t>99</w:t>
      </w:r>
      <w:r w:rsidR="00FD32D1" w:rsidRPr="0009368B">
        <w:t>.</w:t>
      </w:r>
      <w:r w:rsidR="00FD32D1" w:rsidRPr="0009368B">
        <w:tab/>
        <w:t>opfordrer til en tilgang, der har fokus på børn, i EU's udenrigs- og sikkerhedspolitik og understreger, at der er behov for styrket koordinering mellem AU, EU og FN for at beskytte børn og unge, der er berørt af krig, fordrivelse og/eller humanitære kriser;</w:t>
      </w:r>
    </w:p>
    <w:p w14:paraId="05AB4BE5" w14:textId="2E39CAED" w:rsidR="00FD32D1" w:rsidRPr="0009368B" w:rsidRDefault="00D56CD6" w:rsidP="00FD32D1">
      <w:pPr>
        <w:pStyle w:val="NormalHanging12a"/>
      </w:pPr>
      <w:r>
        <w:t>100</w:t>
      </w:r>
      <w:r w:rsidR="00FD32D1" w:rsidRPr="0009368B">
        <w:t xml:space="preserve">. </w:t>
      </w:r>
      <w:r w:rsidR="00FD32D1" w:rsidRPr="0009368B">
        <w:tab/>
        <w:t xml:space="preserve">opfordrer indtrængende til, at der rettes større opmærksomhed mod forfølgelse af alle mindretal, herunder religiøse mindretal såsom kristne; fordømmer på det kraftigste al vold mod religiøse mindretal og udtrykker sin solidaritet med ofrene og deres familier; </w:t>
      </w:r>
      <w:r w:rsidR="00FD32D1" w:rsidRPr="0009368B">
        <w:lastRenderedPageBreak/>
        <w:t>gentager, at religions- og trosfrihed er uadskilleligt forbundet med andre grundlæggende rettigheder og bør fremmes på en gensidigt forstærkende måde; opfordrer til, at beskyttelsen af tanke-, samvittigheds- og religionsfrihed samt mangfoldighed integreres i EU's optræden udadtil; opfordrer derfor Kommissionen til igen at besætte stillingen som særlig udsending for fremme af religions- og trosfrihed uden for EU;</w:t>
      </w:r>
    </w:p>
    <w:p w14:paraId="178B508F" w14:textId="7A2ABA9D" w:rsidR="00FD32D1" w:rsidRPr="0009368B" w:rsidRDefault="00D56CD6" w:rsidP="00FD32D1">
      <w:pPr>
        <w:pStyle w:val="NormalHanging12a"/>
      </w:pPr>
      <w:r>
        <w:t>101</w:t>
      </w:r>
      <w:r w:rsidR="00FD32D1" w:rsidRPr="0009368B">
        <w:t>.</w:t>
      </w:r>
      <w:r w:rsidR="00FD32D1" w:rsidRPr="0009368B">
        <w:tab/>
        <w:t>understreger nødvendigheden af at støtte forsvaret af ytringsfriheden i hele verden, herunder online, samt mediepluralisme og værdibaseret journalistik, navnlig undersøgende journalistik;</w:t>
      </w:r>
    </w:p>
    <w:p w14:paraId="569E328C" w14:textId="5446150A" w:rsidR="00FD32D1" w:rsidRPr="0009368B" w:rsidRDefault="00D56CD6" w:rsidP="00FD32D1">
      <w:pPr>
        <w:pStyle w:val="NormalHanging12a"/>
      </w:pPr>
      <w:r>
        <w:t>102</w:t>
      </w:r>
      <w:r w:rsidR="00FD32D1" w:rsidRPr="0009368B">
        <w:t>.</w:t>
      </w:r>
      <w:r w:rsidR="00FD32D1" w:rsidRPr="0009368B">
        <w:tab/>
        <w:t>opfordrer EU-Udenrigstjenesten og Kommissionen til at udvikle klare og transparente benchmarks til vurdering af effektiviteten og den overordnede virkning af EU's sanktioner og til regelmæssigt at orientere Parlamentet herom; understreger nødvendigheden af at styrke håndhævelsen af sanktioner og gør på ny opmærksom på betydningen af at formidle formålet med og virkningerne af sanktioner til både EU's borgere og partnerlande for at bevare offentlighedens tillid og den internationale troværdighed; minder om, at en konsekvent og ensartet anvendelse af restriktive foranstaltninger i alle medlemsstater er nødvendig for effektiviteten og troværdigheden af EU's optræden udadtil;</w:t>
      </w:r>
    </w:p>
    <w:p w14:paraId="0E061255" w14:textId="1FA21227" w:rsidR="00FD32D1" w:rsidRPr="0009368B" w:rsidRDefault="00D56CD6" w:rsidP="00FD32D1">
      <w:pPr>
        <w:pStyle w:val="NormalHanging12a"/>
      </w:pPr>
      <w:r>
        <w:t>103</w:t>
      </w:r>
      <w:r w:rsidR="00FD32D1" w:rsidRPr="0009368B">
        <w:t>.</w:t>
      </w:r>
      <w:r w:rsidR="00FD32D1" w:rsidRPr="0009368B">
        <w:tab/>
        <w:t>fremhæver betydningen af rettidige og koordinerede reaktioner på kriser og understreger, at effektiv krisestyring afhænger af hurtig beslutningstagning, hurtig anvendelse af ressourcer og evnen til at tilpasse sig skiftende situationer snarere end af planlægning eller narrativer alene;</w:t>
      </w:r>
    </w:p>
    <w:p w14:paraId="19FA08D2" w14:textId="279F1CC4" w:rsidR="00FD32D1" w:rsidRPr="0009368B" w:rsidRDefault="00D56CD6" w:rsidP="00FD32D1">
      <w:pPr>
        <w:pStyle w:val="NormalHanging12a"/>
      </w:pPr>
      <w:r>
        <w:t>104</w:t>
      </w:r>
      <w:r w:rsidR="00FD32D1" w:rsidRPr="0009368B">
        <w:t>.</w:t>
      </w:r>
      <w:r w:rsidR="00FD32D1" w:rsidRPr="0009368B">
        <w:tab/>
        <w:t>anerkender, at kravet om enstemmighed tvinger medlemsstaterne til at arbejde hårdt for at opnå kompromis og enhed, og at dette er en vigtig kilde til EU's politiske indflydelse på den globale scene; påpeger imidlertid, at afvejningen mellem idealet om enhed og de betydelige omkostninger ved enstemmighed bør vurderes nøje;</w:t>
      </w:r>
    </w:p>
    <w:p w14:paraId="28310DC6" w14:textId="1E1F4054" w:rsidR="00FD32D1" w:rsidRPr="0009368B" w:rsidRDefault="00D56CD6" w:rsidP="00FD32D1">
      <w:pPr>
        <w:pStyle w:val="NormalHanging12a"/>
      </w:pPr>
      <w:r>
        <w:t>105</w:t>
      </w:r>
      <w:r w:rsidR="00FD32D1" w:rsidRPr="0009368B">
        <w:t>.</w:t>
      </w:r>
      <w:r w:rsidR="00FD32D1" w:rsidRPr="0009368B">
        <w:tab/>
        <w:t>beklager, at de enkelte medlemsstater i praksis til tider har brugt deres vetoret til at udvande aftaler, forsinke beslutningstagningen eller hindre fælles politikker; beklager, at potentialet til hurtig, effektiv og slagkraftig handling på udenrigs-, sikkerheds- og forsvarsområdet, som bl.a. er fastsat i passerellebestemmelserne i TEU, er forblevet uudnyttet;</w:t>
      </w:r>
    </w:p>
    <w:p w14:paraId="7CEA2238" w14:textId="2FF3A80A" w:rsidR="00FD32D1" w:rsidRPr="0009368B" w:rsidRDefault="00D56CD6" w:rsidP="00FD32D1">
      <w:pPr>
        <w:pStyle w:val="NormalHanging12a"/>
      </w:pPr>
      <w:r>
        <w:t>106</w:t>
      </w:r>
      <w:r w:rsidR="00FD32D1" w:rsidRPr="0009368B">
        <w:t>.</w:t>
      </w:r>
      <w:r w:rsidR="00FD32D1" w:rsidRPr="0009368B">
        <w:tab/>
        <w:t xml:space="preserve">gentager sin opfordring til Rådet om gradvist at gå over til afstemninger med kvalificeret flertal for beslutninger inden for FUSP, der ikke har indvirkning på militær- eller forsvarsområdet, navnlig i forbindelse med vores sanktionsordning; anerkender visse medlemsstaters bekymringer med hensyn til en opfattet formindskelse af deres indflydelse på udenrigs- og sikkerhedspolitikken på EU-plan; minder om, at NF/HR, som fastsat i hendes opgavebeskrivelse, har til opgave at udløse anvendelsen af traktatbestemmelser, der muliggør afstemning med kvalificeret flertal i FUSP, og forventer derfor, at NF/HR indgår i en konstruktiv dialog med medlemsstaterne med henblik herpå; tilskynder til fuld udnyttelse af alle de muligheder, der i øjeblikket findes, for at øge beslutsomheden i denne henseende, og opfordrer medlemsstaterne til at gøre større og mere transparent brug af konstruktiv stemmeundladelse i overensstemmelse med artikel 31, stk. 1, i TEU i tilfælde, hvor de ikke kan tilslutte sig en afgørelse, men ikke ønsker at blokere for Unionens kollektive indsats; understreger, at denne tilgang styrker EU's evne til at reagere hurtigt og kohærent på internationale kriser, samtidig med at den nationale suverænitet respekteres, og viser, at større effektivitet inden for FUSP allerede er mulig uden en traktatændring; anerkender, at </w:t>
      </w:r>
      <w:r w:rsidR="00FD32D1" w:rsidRPr="0009368B">
        <w:lastRenderedPageBreak/>
        <w:t>fremskridt hen imod anvendelsen af kvalificeret flertal kun kan ske gradvist og skal bygge på skabelsen af en europæisk strategisk kultur;</w:t>
      </w:r>
    </w:p>
    <w:p w14:paraId="3D2FAE83" w14:textId="77777777" w:rsidR="00FD32D1" w:rsidRPr="0009368B" w:rsidRDefault="00FD32D1" w:rsidP="00FD32D1">
      <w:pPr>
        <w:spacing w:after="240"/>
      </w:pPr>
      <w:r w:rsidRPr="0009368B">
        <w:rPr>
          <w:b/>
          <w:i/>
        </w:rPr>
        <w:t>Forøgelse af virkningen af de eksterne EU-foranstaltninger, som vi leverer</w:t>
      </w:r>
    </w:p>
    <w:p w14:paraId="6946AE48" w14:textId="31825316" w:rsidR="00FD32D1" w:rsidRPr="0009368B" w:rsidRDefault="00D56CD6" w:rsidP="00FD32D1">
      <w:pPr>
        <w:pStyle w:val="NormalHanging12a"/>
      </w:pPr>
      <w:r>
        <w:t>107</w:t>
      </w:r>
      <w:r w:rsidR="00FD32D1" w:rsidRPr="0009368B">
        <w:t>.</w:t>
      </w:r>
      <w:r w:rsidR="00FD32D1" w:rsidRPr="0009368B">
        <w:tab/>
        <w:t>beklager, at EU's synlighed og politiske indflydelse på globalt plan ofte ikke står mål med dets økonomiske, finansielle og diplomatiske fodaftryk; beklager, at denne manglende synlighed til tider er et resultat af manglende klarhed i EU's eksterne repræsentation; understreger behovet for klart at definere kompetencerne for NF/HR, formanden for Kommissionen og formanden for Det Europæiske Råd med hensyn til EU's optræden udadtil og eksterne repræsentation, således at EU's stemme er klar og opfattes som sådan af dets partnere; opfordrer Kommissionen til at styrke sin koordinering med EU-Udenrigstjenesten i forbindelse med foranstaltninger udadtil, herunder ved at sikre fuld overholdelse af artikel 3, stk. 2, og artikel 9, i afgørelsen om EU-Udenrigstjenesten</w:t>
      </w:r>
      <w:r w:rsidR="00FD32D1" w:rsidRPr="0009368B">
        <w:rPr>
          <w:rStyle w:val="FootnoteReference"/>
        </w:rPr>
        <w:footnoteReference w:id="19"/>
      </w:r>
      <w:r w:rsidR="00FD32D1" w:rsidRPr="0009368B">
        <w:t>, som muligvis skal ajourføres;</w:t>
      </w:r>
    </w:p>
    <w:p w14:paraId="5798E010" w14:textId="6FBA4975" w:rsidR="00FD32D1" w:rsidRPr="0009368B" w:rsidRDefault="00D56CD6" w:rsidP="00FD32D1">
      <w:pPr>
        <w:pStyle w:val="NormalHanging12a"/>
      </w:pPr>
      <w:r>
        <w:t>108</w:t>
      </w:r>
      <w:r w:rsidR="00FD32D1" w:rsidRPr="0009368B">
        <w:t>.</w:t>
      </w:r>
      <w:r w:rsidR="00FD32D1" w:rsidRPr="0009368B">
        <w:tab/>
        <w:t>opfordrer Rådet og Kommissionen til at tale med én stemme; bemærker, at der kan gøres visse fremskridt med hensyn til FUSP ved at anvende bestemmelserne i de eksisterende traktater såsom "passerellebestemmelsen"; understreger, at traktaterne specifikt bør give mulighed for at oprette en europæisk forsvarsunion, og at NF/HR bør støttes i sine bestræbelser på at blive EU's vigtigste repræsentant udadtil i internationale fora;</w:t>
      </w:r>
    </w:p>
    <w:p w14:paraId="1ED8B2D6" w14:textId="58A0FEDF" w:rsidR="00FD32D1" w:rsidRPr="0009368B" w:rsidRDefault="0020489C" w:rsidP="00FD32D1">
      <w:pPr>
        <w:pStyle w:val="NormalHanging12a"/>
      </w:pPr>
      <w:r>
        <w:t>109</w:t>
      </w:r>
      <w:r w:rsidR="00FD32D1" w:rsidRPr="0009368B">
        <w:t>.</w:t>
      </w:r>
      <w:r w:rsidR="00FD32D1" w:rsidRPr="0009368B">
        <w:tab/>
        <w:t>roser Den Europæiske Unions diplomatakademis bestræbelser på at bidrage til EU's diplomatiske korps og kultur; opfordrer til, at akademiet omfatter europæiske borgere, som ikke kun er diplomater fra medlemsstaterne; understreger vigtigheden af at sikre, at akademiet tildeles tilstrækkelige ressourcer, herunder tilstrækkeligt personale;</w:t>
      </w:r>
    </w:p>
    <w:p w14:paraId="7A517A3B" w14:textId="335E841C" w:rsidR="00FD32D1" w:rsidRPr="0009368B" w:rsidRDefault="0020489C" w:rsidP="00FD32D1">
      <w:pPr>
        <w:pStyle w:val="NormalHanging12a"/>
      </w:pPr>
      <w:r>
        <w:t>110</w:t>
      </w:r>
      <w:r w:rsidR="00FD32D1" w:rsidRPr="0009368B">
        <w:t>.</w:t>
      </w:r>
      <w:r w:rsidR="00FD32D1" w:rsidRPr="0009368B">
        <w:tab/>
        <w:t>opfordrer NF/HR til hurtigt at fremsætte forslag til den fremtidige operationelle struktur for EU's optræden udadtil og til med henblik herpå fuldt ud at tage hensyn til Parlamentets henstilling af 15. marts 2023 om status over EU-Udenrigstjenestens funktionsmåde og om et stærkere EU i verden</w:t>
      </w:r>
      <w:r w:rsidR="00FD32D1" w:rsidRPr="0009368B">
        <w:rPr>
          <w:rStyle w:val="FootnoteReference"/>
        </w:rPr>
        <w:footnoteReference w:id="20"/>
      </w:r>
      <w:r w:rsidR="00FD32D1" w:rsidRPr="0009368B">
        <w:t>;</w:t>
      </w:r>
    </w:p>
    <w:p w14:paraId="22CB1602" w14:textId="4BFEEA82" w:rsidR="00FD32D1" w:rsidRPr="0009368B" w:rsidRDefault="0020489C" w:rsidP="00FD32D1">
      <w:pPr>
        <w:pStyle w:val="NormalHanging12a"/>
      </w:pPr>
      <w:r>
        <w:t>111</w:t>
      </w:r>
      <w:r w:rsidR="00FD32D1" w:rsidRPr="0009368B">
        <w:t xml:space="preserve">. </w:t>
      </w:r>
      <w:r w:rsidR="00FD32D1" w:rsidRPr="0009368B">
        <w:tab/>
        <w:t xml:space="preserve">opfordrer NF/HR til at foreslå en sammenhængende og strategisk kommunikationsstrategi, der fremhæver fordelene ved EU's optræden udadtil og understøtter EU's mål, samtidig med at desinformationskampagner, der organiseres af lande uden for EU, bekæmpes; tilskynder EU-Udenrigstjenesten til at styrke EU's politiske tilstedeværelse i vores partnerlande og til at gøre vores eksterne foranstaltninger mere tilgængelige for publikum i disse lande, herunder gennem flersprogede kampagner, kulturelt diplomati og samarbejde med lokale interessenter og medier; støtter medtagelsen af kommunikation som et præstationskriterium i EU-Udenrigstjenestens programmering; understreger, at denne strategi også bør styrke synligheden af EU-finansierede projekter med en klar mærkning, herunder ordene "Den Europæiske Union" og EU's flag, navnlig i kandidatlandene, med henblik på at imødegå </w:t>
      </w:r>
      <w:r w:rsidR="00FD32D1" w:rsidRPr="0009368B">
        <w:lastRenderedPageBreak/>
        <w:t>ethvert forsøg på at undergrave EU-initiativer;</w:t>
      </w:r>
    </w:p>
    <w:p w14:paraId="641805D8" w14:textId="0D7749E2" w:rsidR="00FD32D1" w:rsidRPr="0009368B" w:rsidRDefault="0020489C" w:rsidP="00FD32D1">
      <w:pPr>
        <w:pStyle w:val="NormalHanging12a"/>
      </w:pPr>
      <w:r>
        <w:t>112</w:t>
      </w:r>
      <w:r w:rsidR="00FD32D1" w:rsidRPr="0009368B">
        <w:t>.</w:t>
      </w:r>
      <w:r w:rsidR="00FD32D1" w:rsidRPr="0009368B">
        <w:tab/>
        <w:t>slår til lyd for en mere fremtrædende EU-tilstedeværelse på globale topmøder, regionale fora og konfliktmæglingsplatforme, ikke kun gennem medlemsstaterne, men også under et synligt EU-flag;</w:t>
      </w:r>
    </w:p>
    <w:p w14:paraId="08A51560" w14:textId="345A0F9C" w:rsidR="00FD32D1" w:rsidRPr="0009368B" w:rsidRDefault="0020489C" w:rsidP="00FD32D1">
      <w:pPr>
        <w:pStyle w:val="NormalHanging12a"/>
      </w:pPr>
      <w:r>
        <w:t>113</w:t>
      </w:r>
      <w:r w:rsidR="00FD32D1" w:rsidRPr="0009368B">
        <w:t>.</w:t>
      </w:r>
      <w:r w:rsidR="00FD32D1" w:rsidRPr="0009368B">
        <w:tab/>
        <w:t>opfordrer til øget konvergens mellem EU's og medlemsstaternes diplomatiske tjenester for at forbedre synergierne mellem national branding og EU's budskaber i overensstemmelse med Team Europe-tilgangen;</w:t>
      </w:r>
    </w:p>
    <w:p w14:paraId="4031B88D" w14:textId="7E15A976" w:rsidR="00FD32D1" w:rsidRPr="0009368B" w:rsidRDefault="0020489C" w:rsidP="00FD32D1">
      <w:pPr>
        <w:pStyle w:val="NormalHanging12a"/>
      </w:pPr>
      <w:r>
        <w:t>114</w:t>
      </w:r>
      <w:r w:rsidR="00FD32D1" w:rsidRPr="0009368B">
        <w:t>.</w:t>
      </w:r>
      <w:r w:rsidR="00FD32D1" w:rsidRPr="0009368B">
        <w:tab/>
        <w:t>understreger, at budgetbegrænsninger udgør en stor hindring for at øge synligheden og virkningen af EU's optræden udadtil; understreger, at begrænsede ressourcer uden en klar geografisk og tematisk prioritering risikerer at blive spredt for tyndt til at have en strategisk virkning; opfordrer Kommissionen og EU-Udenrigstjenesten til at foretage en reel prioritering med henblik på at klarlægge, hvor EU's eksterne foranstaltninger kan give det største politiske og strategiske afkast; minder i den forbindelse om, at Kommissionen skal være i stand til at sikre, at midlerne reelt kommer den tiltænkte modtager til gode og ikke misbruges;</w:t>
      </w:r>
    </w:p>
    <w:p w14:paraId="4E81C74C" w14:textId="2013133F" w:rsidR="00FD32D1" w:rsidRPr="0009368B" w:rsidRDefault="0020489C" w:rsidP="00FD32D1">
      <w:pPr>
        <w:pStyle w:val="NormalHanging12a"/>
      </w:pPr>
      <w:r>
        <w:t>115</w:t>
      </w:r>
      <w:r w:rsidR="00FD32D1" w:rsidRPr="0009368B">
        <w:t>.</w:t>
      </w:r>
      <w:r w:rsidR="00FD32D1" w:rsidRPr="0009368B">
        <w:tab/>
        <w:t xml:space="preserve">opfordrer til, at EU-Udenrigstjenesten – både dens hovedkvarter og EU-delegationerne – styrkes gennem tilvejebringelse af passende finansielle og menneskelige ressourcer, således at EU kan være bedre forberedt på nuværende og nye globale udfordringer; opfordrer til, at EU-Udenrigstjenesten skal være i stand til at udvælge og rekruttere sit faste diplomatiske EU-personale, herunder dem, der er uddannet fra Den Europæiske Unions diplomatakademi, og til at sikre en mere retfærdig kønsmæssig og geografisk balance mellem medlemsstaterne på alle niveauer i EU-Udenrigstjenesten; </w:t>
      </w:r>
    </w:p>
    <w:p w14:paraId="63C792C9" w14:textId="16D629A3" w:rsidR="00FD32D1" w:rsidRPr="0009368B" w:rsidRDefault="0020489C" w:rsidP="00FD32D1">
      <w:pPr>
        <w:pStyle w:val="NormalHanging12a"/>
      </w:pPr>
      <w:r>
        <w:t>116</w:t>
      </w:r>
      <w:r w:rsidR="00FD32D1" w:rsidRPr="0009368B">
        <w:t xml:space="preserve">. </w:t>
      </w:r>
      <w:r w:rsidR="00FD32D1" w:rsidRPr="0009368B">
        <w:tab/>
        <w:t xml:space="preserve">fremhæver Global Gateway-initiativets strategiske potentiale til ikke blot at fungere som en investeringsplatform, men også som et redskab til at styrke EU's tilstedeværelse og synlighed på verdensplan; glæder sig over, at Kommissionen har prioriteret gennemførelsen af Global Gateway-projekter; er bekymret over rapporter om, at en række Global Gateway-projekter gennemføres af kinesiske virksomheder i direkte strid med initiativets mål om at præsentere et alternativ til Kinas "ét bælte, én vej"-initiativ og om at skabe reel national værdi i partnerlandene; opfordrer derfor til en øjeblikkelig undersøgelse af alle kinesiske virksomheder, der er involveret i Global Gateway; gentager, at Global Gateway bør bidrage til global stabilitet og sikkerhed og samtidig styrke Europas modstandsdygtighed; understreger endvidere, at der for at tilpasse det politiske engagement og de geopolitiske ambitioner er behov for et fornyet tilsagn om rettidig levering, stærkere lokalt ejerskab i forbindelse med identifikationen af projekter og et veldefineret engagement fra den private sektors side; opfordrer Kommissionen til at fremskynde gennemførelsen af projekter og strømline antallet af flagskibsprojekter med henblik på at maksimere initiativets virkning; mener desuden, at Global Gateway-projekter kræver bedre offentlig kommunikation, navnlig i tilfælde af indirekte forvaltning med gennemførelsespartnere, såsom blandede finansieringstransaktioner under Den Europæiske Fond for Bæredygtig Udvikling Plus, der involverer flere interessenter; opfordrer derfor Kommissionen og EU-Udenrigstjenesten til systematisk at styrke kommunikationen omkring EU-finansierede foranstaltninger og sikre sammenhængende budskaber, klar tilskrivning og effektiv synlighed af Unionens lederskab og merværdi; påpeger, at det budget på 300 mia. EUR, der er afsat til dette initiativ, er mindre end en tredjedel af omfanget af de projekter, der allerede er i gang under Kinas sammenlignelige "ét bælte, én vej"-initiativ med fokus på konnektivitet og infrastruktur; anbefaler at styrke Parlamentets tilsynsrolle for at sikre større </w:t>
      </w:r>
      <w:r w:rsidR="00FD32D1" w:rsidRPr="0009368B">
        <w:lastRenderedPageBreak/>
        <w:t xml:space="preserve">ansvarlighed og gennemsigtighed i finansieringsprocessen for Global Gateway-projekter, herunder regelmæssig rapportering fra Kommissionen og EU-Udenrigstjenesten, øget parlamentarisk kontrol med projektudvælgelse og </w:t>
      </w:r>
      <w:r w:rsidR="00FD32D1" w:rsidRPr="0009368B">
        <w:noBreakHyphen/>
        <w:t>gennemførelse og systematisk evaluering af resultater og virkninger;</w:t>
      </w:r>
    </w:p>
    <w:p w14:paraId="7A572399" w14:textId="31080C36" w:rsidR="00FD32D1" w:rsidRPr="0009368B" w:rsidRDefault="0020489C" w:rsidP="00FD32D1">
      <w:pPr>
        <w:pStyle w:val="NormalHanging12a"/>
      </w:pPr>
      <w:r>
        <w:t>117</w:t>
      </w:r>
      <w:r w:rsidR="00FD32D1" w:rsidRPr="0009368B">
        <w:t>.</w:t>
      </w:r>
      <w:r w:rsidR="00FD32D1" w:rsidRPr="0009368B">
        <w:tab/>
        <w:t>bekræfter på ny den rolle, som EU's særlige repræsentanter (EUSR'er) spiller, idet de fremmer EU's politikker og interesser i specifikke regioner og lande og spiller en vigtig rolle i udviklingen af en stærkere og mere effektiv FUSP ved at give EU en aktiv politisk tilstedeværelse i vigtige lande og regioner og fungere som en "stemme" og et "ansigt" for EU; understreger betydningen af, at EUSR'er har et bredt og fleksibelt mandat, der er i stand til at tilpasse sig skiftende geopolitiske omstændigheder med henblik på at fremme EU's politikker og interesser i specifikke regioner og lande; fastholder, at udnævnelsen af nye EUSR'er først bør ske efter en høring i Parlamentet;</w:t>
      </w:r>
    </w:p>
    <w:p w14:paraId="7BFDAB13" w14:textId="1CC93DB9" w:rsidR="00FD32D1" w:rsidRPr="0009368B" w:rsidRDefault="0020489C" w:rsidP="00FD32D1">
      <w:pPr>
        <w:pStyle w:val="NormalHanging12a"/>
      </w:pPr>
      <w:r>
        <w:t>118</w:t>
      </w:r>
      <w:r w:rsidR="00FD32D1" w:rsidRPr="0009368B">
        <w:t>.</w:t>
      </w:r>
      <w:r w:rsidR="00FD32D1" w:rsidRPr="0009368B">
        <w:tab/>
        <w:t xml:space="preserve">opfordrer til en fornyet tilgang til forebyggende diplomati som et proaktivt udenrigspolitisk redskab til at foregribe, mægle i og finde en fredelig løsning på konflikter mellem parterne; opfordrer EU-Udenrigstjenesten til at integrere EU's forebyggende diplomatiske redskaber i strukturelle forebyggelsesmekanismer og </w:t>
      </w:r>
      <w:r w:rsidR="00FD32D1" w:rsidRPr="0009368B">
        <w:noBreakHyphen/>
        <w:t>foranstaltninger såsom politiske aftaler mellem forskellige aktører, der er involveret i konflikter, nationale dialoger om forsoning, fredsopbygning og retsopgør samt sandheds- og forsoningskommissioner;</w:t>
      </w:r>
    </w:p>
    <w:p w14:paraId="4D98F9E7" w14:textId="6F51AE55" w:rsidR="00FD32D1" w:rsidRPr="0009368B" w:rsidRDefault="0020489C" w:rsidP="00FD32D1">
      <w:pPr>
        <w:pStyle w:val="NormalHanging12a"/>
      </w:pPr>
      <w:r>
        <w:t>119</w:t>
      </w:r>
      <w:r w:rsidR="00FD32D1" w:rsidRPr="0009368B">
        <w:t>.</w:t>
      </w:r>
      <w:r w:rsidR="00FD32D1" w:rsidRPr="0009368B">
        <w:tab/>
        <w:t>minder om, at Parlamentets udøvelse af sin budgetfunktion er uløseligt forbundet med dets funktion med hensyn til demokratisk kontrol og høring; understreger, at Parlamentet inden for FUSP, som indbefatter FSFP, udøver sin budgetfunktion sammen med Rådet; minder om, at Parlamentet også udøver politisk kontrol med og foretager høringer om disse politikker som omhandlet i artikel 36 i TEU;</w:t>
      </w:r>
    </w:p>
    <w:p w14:paraId="00B7F275" w14:textId="2B99E1B3" w:rsidR="00FD32D1" w:rsidRPr="0009368B" w:rsidRDefault="0020489C" w:rsidP="00FD32D1">
      <w:pPr>
        <w:pStyle w:val="NormalHanging12a"/>
      </w:pPr>
      <w:r>
        <w:t>120</w:t>
      </w:r>
      <w:r w:rsidR="00FD32D1" w:rsidRPr="0009368B">
        <w:t>.</w:t>
      </w:r>
      <w:r w:rsidR="00FD32D1" w:rsidRPr="0009368B">
        <w:tab/>
        <w:t>understreger behovet for en mere detaljeret budgetkontoplan i FUSP-budgettet samt for instrumentet for naboskab, udviklingssamarbejde og internationalt samarbejde og instrumentet til førtiltrædelsesbistand, som gør det muligt for budgetmyndigheden at fastsætte politiske og geografiske prioriteter inden for rammerne af den årlige budgetprocedure;</w:t>
      </w:r>
    </w:p>
    <w:p w14:paraId="2BDD1652" w14:textId="49745C61" w:rsidR="00FD32D1" w:rsidRPr="0009368B" w:rsidRDefault="0020489C" w:rsidP="00FD32D1">
      <w:pPr>
        <w:pStyle w:val="NormalHanging12a"/>
      </w:pPr>
      <w:r>
        <w:t>121</w:t>
      </w:r>
      <w:r w:rsidR="00FD32D1" w:rsidRPr="0009368B">
        <w:t>.</w:t>
      </w:r>
      <w:r w:rsidR="00FD32D1" w:rsidRPr="0009368B">
        <w:tab/>
        <w:t>gentager sin opfordring til at fremme etableringen af et system med automatisk og kontinuerlig udveksling af efterretninger fra medlemsstaterne til EU-Udenrigstjenesten om udenrigs- og sikkerhedsmæssige problemer, der opstår uden for Unionen; opfordrer i den forbindelse til, at EU's Efterretnings- og Situationscenter, EU-Udenrigstjenestens kriseberedskabscenter og EU-Satellitcentret styrkes ved at øge deres personalemæssige og finansielle ressourcer samt deres kapabiliteter; opfordrer indtrængende til en forbedring af sikkerhedsprotokollerne for de tjenester, der arbejder med efterretninger og/eller med følsomme oplysninger;</w:t>
      </w:r>
    </w:p>
    <w:p w14:paraId="5BAE1AE2" w14:textId="1008D29A" w:rsidR="00FD32D1" w:rsidRPr="0009368B" w:rsidRDefault="0020489C" w:rsidP="00FD32D1">
      <w:pPr>
        <w:pStyle w:val="NormalHanging12a"/>
      </w:pPr>
      <w:r>
        <w:t>122</w:t>
      </w:r>
      <w:r w:rsidR="00FD32D1" w:rsidRPr="0009368B">
        <w:t>.</w:t>
      </w:r>
      <w:r w:rsidR="00FD32D1" w:rsidRPr="0009368B">
        <w:tab/>
        <w:t>minder om, at Parlamentet har en særlig rolle at spille med hensyn til at supplere synligheden og virkningen af EU's optræden udadtil og dermed supplere den indsats, der gøres af EU's og medlemsstaternes diplomatiske tjenester;</w:t>
      </w:r>
    </w:p>
    <w:p w14:paraId="414A464D" w14:textId="3D841DDC" w:rsidR="00FD32D1" w:rsidRPr="0009368B" w:rsidRDefault="0020489C" w:rsidP="00FD32D1">
      <w:pPr>
        <w:pStyle w:val="NormalHanging12a"/>
      </w:pPr>
      <w:r>
        <w:t>123</w:t>
      </w:r>
      <w:r w:rsidR="00FD32D1" w:rsidRPr="0009368B">
        <w:t>.</w:t>
      </w:r>
      <w:r w:rsidR="00FD32D1" w:rsidRPr="0009368B">
        <w:tab/>
        <w:t xml:space="preserve">mener, at der er behov for stærkere parlamentarisk tilsyn med EU's optræden udadtil, herunder regelmæssig og rettidig, men samtidig sikker adgang til fortrolige oplysninger og strukturerede dialoger i overensstemmelse med artikel 36 i TEU; fremhæver behovet for mere feedback fra NF/HR og EU-Udenrigstjenesten om de trufne foranstaltninger og de opnåede virkninger med hensyn til at efterkomme Parlamentets henstillinger i </w:t>
      </w:r>
      <w:r w:rsidR="00FD32D1" w:rsidRPr="0009368B">
        <w:lastRenderedPageBreak/>
        <w:t>beslutningerne om udenrigspolitiske spørgsmål; understreger, at demokratisk tilsyn ikke kan være effektivt uden reel adgang til klassificerede informationer og vurderinger, og opfordrer indtrængende til forbedringer af den interinstitutionelle aftale fra 2002 for at tilpasse den til de nuværende sikkerhedsforhold;</w:t>
      </w:r>
    </w:p>
    <w:p w14:paraId="5977D33C" w14:textId="107A5871" w:rsidR="00FD32D1" w:rsidRPr="0009368B" w:rsidRDefault="0020489C" w:rsidP="00FD32D1">
      <w:pPr>
        <w:pStyle w:val="NormalHanging12a"/>
      </w:pPr>
      <w:r>
        <w:t>124</w:t>
      </w:r>
      <w:r w:rsidR="00FD32D1" w:rsidRPr="0009368B">
        <w:t>.</w:t>
      </w:r>
      <w:r w:rsidR="00FD32D1" w:rsidRPr="0009368B">
        <w:tab/>
        <w:t>understreger, at enhver anmodning, der er taget op ovenfor, kræver et passende skriftligt svar fra NF/HR; opfordrer NF/HR til at reagere hurtigt og skriftligt på Parlamentets opfordringer, anmodninger og bekymringer; mener, at mundtlige redegørelser i udvalget eller på plenarmødet kun kan være en tilstrækkelig reaktion i ekstraordinære eller hastende tilfælde; understreger, at et tæt samarbejde og partnerskab mellem Parlamentet og NF/HR er af strategisk betydning i den nuværende udfordrende geopolitiske kontekst; understreger, at FUSP- eller FSFP-afgørelser, der medfører udgifter, altid udgør grundlæggende valg for så vidt angår disse politikker og skal være underlagt parlamentarisk kontrol; forventer mere systematiske udvekslinger forud for vedtagelsen af mandater og FSFP-strategier og en forbedret informationsstrøm om forhandlinger og gennemførelse af internationale aftaler samt aftalememoranda;</w:t>
      </w:r>
    </w:p>
    <w:p w14:paraId="64EF87C6" w14:textId="77777777" w:rsidR="00FD32D1" w:rsidRPr="0009368B" w:rsidRDefault="00FD32D1" w:rsidP="00FD32D1">
      <w:pPr>
        <w:pStyle w:val="NormalCenter12a"/>
      </w:pPr>
      <w:r w:rsidRPr="0009368B">
        <w:t>°</w:t>
      </w:r>
    </w:p>
    <w:p w14:paraId="5438B51C" w14:textId="77777777" w:rsidR="00FD32D1" w:rsidRPr="0009368B" w:rsidRDefault="00FD32D1" w:rsidP="00FD32D1">
      <w:pPr>
        <w:pStyle w:val="NormalCenter12a"/>
      </w:pPr>
      <w:r w:rsidRPr="0009368B">
        <w:t>°</w:t>
      </w:r>
      <w:r w:rsidRPr="0009368B">
        <w:tab/>
        <w:t>°</w:t>
      </w:r>
    </w:p>
    <w:p w14:paraId="1E88C884" w14:textId="409FA085" w:rsidR="0052418A" w:rsidRPr="0009368B" w:rsidRDefault="0020489C" w:rsidP="0052418A">
      <w:pPr>
        <w:pStyle w:val="NormalHanging12a"/>
      </w:pPr>
      <w:r>
        <w:t>125</w:t>
      </w:r>
      <w:r w:rsidR="00FD32D1" w:rsidRPr="0009368B">
        <w:t>.</w:t>
      </w:r>
      <w:r w:rsidR="00FD32D1" w:rsidRPr="0009368B">
        <w:tab/>
        <w:t>pålægger sin formand at sende denne beslutning til Det Europæiske Råd, Rådet, Kommissionen, næstformanden for Kommissionen/Unionens højtstående repræsentant for udenrigsanliggender og sikkerhedspolitik samt medlemsstaternes regeringer og parlamenter.</w:t>
      </w:r>
    </w:p>
    <w:p w14:paraId="43559D07" w14:textId="4BB81571" w:rsidR="00E365E1" w:rsidRPr="0009368B" w:rsidRDefault="00E365E1" w:rsidP="00375373"/>
    <w:sectPr w:rsidR="00E365E1" w:rsidRPr="0009368B" w:rsidSect="005241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B79E0" w14:textId="77777777" w:rsidR="00375373" w:rsidRPr="0052418A" w:rsidRDefault="00375373">
      <w:r w:rsidRPr="0052418A">
        <w:separator/>
      </w:r>
    </w:p>
  </w:endnote>
  <w:endnote w:type="continuationSeparator" w:id="0">
    <w:p w14:paraId="57FA41B0" w14:textId="77777777" w:rsidR="00375373" w:rsidRPr="0052418A" w:rsidRDefault="00375373">
      <w:r w:rsidRPr="005241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181E7" w14:textId="77777777" w:rsidR="00375373" w:rsidRPr="0052418A" w:rsidRDefault="00375373">
      <w:r w:rsidRPr="0052418A">
        <w:separator/>
      </w:r>
    </w:p>
  </w:footnote>
  <w:footnote w:type="continuationSeparator" w:id="0">
    <w:p w14:paraId="3AF96403" w14:textId="77777777" w:rsidR="00375373" w:rsidRPr="0052418A" w:rsidRDefault="00375373">
      <w:r w:rsidRPr="0052418A">
        <w:continuationSeparator/>
      </w:r>
    </w:p>
  </w:footnote>
  <w:footnote w:id="1">
    <w:p w14:paraId="7A54E9C9" w14:textId="43750827"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Vedtagne tekster, P10_TA(2025)0096.</w:t>
      </w:r>
    </w:p>
  </w:footnote>
  <w:footnote w:id="2">
    <w:p w14:paraId="2699C87F" w14:textId="0AE1697E"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Vedtagne tekster, P10_TA(2025)0160.</w:t>
      </w:r>
    </w:p>
  </w:footnote>
  <w:footnote w:id="3">
    <w:p w14:paraId="74AD748B" w14:textId="7131064D"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EUT C 167 af 11.5.2023, s. 18.</w:t>
      </w:r>
    </w:p>
  </w:footnote>
  <w:footnote w:id="4">
    <w:p w14:paraId="3D5CF27B" w14:textId="1F2F4D15"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Vedtagne tekster, P10_TA(2025)0221.</w:t>
      </w:r>
    </w:p>
  </w:footnote>
  <w:footnote w:id="5">
    <w:p w14:paraId="31CF276F" w14:textId="2A26D7E2"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EUT C, C/2025/2147, 23.4.2025, ELI: </w:t>
      </w:r>
      <w:hyperlink r:id="rId1" w:history="1">
        <w:r w:rsidRPr="0052418A">
          <w:rPr>
            <w:rStyle w:val="Hyperlink"/>
            <w:sz w:val="24"/>
            <w:lang w:val="da-DK"/>
          </w:rPr>
          <w:t>http://data.europa.eu/eli/C/2025/2147/oj</w:t>
        </w:r>
      </w:hyperlink>
      <w:r w:rsidRPr="0052418A">
        <w:rPr>
          <w:sz w:val="24"/>
          <w:lang w:val="da-DK"/>
        </w:rPr>
        <w:t xml:space="preserve">. </w:t>
      </w:r>
    </w:p>
  </w:footnote>
  <w:footnote w:id="6">
    <w:p w14:paraId="7328A37D" w14:textId="305AECF7"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E</w:t>
      </w:r>
      <w:r w:rsidR="00E1288D">
        <w:rPr>
          <w:sz w:val="24"/>
          <w:lang w:val="da-DK"/>
        </w:rPr>
        <w:t>F</w:t>
      </w:r>
      <w:r w:rsidRPr="0052418A">
        <w:rPr>
          <w:sz w:val="24"/>
          <w:lang w:val="da-DK"/>
        </w:rPr>
        <w:t>T C 298 af 30.11.2002, s. 1.</w:t>
      </w:r>
    </w:p>
  </w:footnote>
  <w:footnote w:id="7">
    <w:p w14:paraId="7914EE43" w14:textId="71F157B0"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EUT C, C/2024/5719, 17.10.2024, ELI: </w:t>
      </w:r>
      <w:hyperlink r:id="rId2" w:history="1">
        <w:r w:rsidRPr="0052418A">
          <w:rPr>
            <w:rStyle w:val="Hyperlink"/>
            <w:sz w:val="24"/>
            <w:lang w:val="da-DK"/>
          </w:rPr>
          <w:t>http://data.europa.eu/eli/C/2024/5719/oj</w:t>
        </w:r>
      </w:hyperlink>
      <w:r w:rsidRPr="0052418A">
        <w:rPr>
          <w:sz w:val="24"/>
          <w:lang w:val="da-DK"/>
        </w:rPr>
        <w:t xml:space="preserve">. </w:t>
      </w:r>
    </w:p>
  </w:footnote>
  <w:footnote w:id="8">
    <w:p w14:paraId="33058A49" w14:textId="59FA0C9F" w:rsidR="00FD32D1" w:rsidRPr="00381091" w:rsidRDefault="00FD32D1" w:rsidP="0052418A">
      <w:pPr>
        <w:pStyle w:val="FootnoteText"/>
        <w:ind w:left="567" w:hanging="567"/>
        <w:rPr>
          <w:sz w:val="24"/>
          <w:lang w:val="fi-FI"/>
        </w:rPr>
      </w:pPr>
      <w:r w:rsidRPr="0052418A">
        <w:rPr>
          <w:rStyle w:val="FootnoteReference"/>
          <w:sz w:val="24"/>
          <w:lang w:val="da-DK"/>
        </w:rPr>
        <w:footnoteRef/>
      </w:r>
      <w:r w:rsidR="0052418A" w:rsidRPr="00381091">
        <w:rPr>
          <w:sz w:val="24"/>
          <w:lang w:val="fi-FI"/>
        </w:rPr>
        <w:t xml:space="preserve"> </w:t>
      </w:r>
      <w:r w:rsidR="0052418A" w:rsidRPr="00381091">
        <w:rPr>
          <w:sz w:val="24"/>
          <w:lang w:val="fi-FI"/>
        </w:rPr>
        <w:tab/>
      </w:r>
      <w:r w:rsidRPr="00381091">
        <w:rPr>
          <w:sz w:val="24"/>
          <w:lang w:val="fi-FI"/>
        </w:rPr>
        <w:t xml:space="preserve">EUT C, C/2025/487, 29.1.2025, ELI: </w:t>
      </w:r>
      <w:hyperlink r:id="rId3" w:history="1">
        <w:r w:rsidRPr="00381091">
          <w:rPr>
            <w:rStyle w:val="Hyperlink"/>
            <w:sz w:val="24"/>
            <w:lang w:val="fi-FI"/>
          </w:rPr>
          <w:t>http://data.europa.eu/eli/C/2025/487/oj</w:t>
        </w:r>
      </w:hyperlink>
      <w:r w:rsidRPr="00381091">
        <w:rPr>
          <w:sz w:val="24"/>
          <w:lang w:val="fi-FI"/>
        </w:rPr>
        <w:t xml:space="preserve">. </w:t>
      </w:r>
    </w:p>
  </w:footnote>
  <w:footnote w:id="9">
    <w:p w14:paraId="7696D56D" w14:textId="1F9BB05E"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Vedtagne tekster, P10_TA(2025)0170.</w:t>
      </w:r>
    </w:p>
  </w:footnote>
  <w:footnote w:id="10">
    <w:p w14:paraId="1386BEAC" w14:textId="00EE54C6"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EUT C, C/2024/6739, 26.11.2024, ELI: </w:t>
      </w:r>
      <w:hyperlink r:id="rId4" w:history="1">
        <w:r w:rsidRPr="0052418A">
          <w:rPr>
            <w:rStyle w:val="Hyperlink"/>
            <w:sz w:val="24"/>
            <w:lang w:val="da-DK"/>
          </w:rPr>
          <w:t>http://data.europa.eu/eli/C/2024/6739/oj</w:t>
        </w:r>
      </w:hyperlink>
      <w:r w:rsidRPr="0052418A">
        <w:rPr>
          <w:sz w:val="24"/>
          <w:lang w:val="da-DK"/>
        </w:rPr>
        <w:t>.</w:t>
      </w:r>
    </w:p>
  </w:footnote>
  <w:footnote w:id="11">
    <w:p w14:paraId="2918ED11" w14:textId="7B03D1A9" w:rsidR="008205DE" w:rsidRPr="00381091" w:rsidRDefault="008205DE" w:rsidP="00381091">
      <w:pPr>
        <w:pStyle w:val="FootnoteText"/>
        <w:ind w:left="567" w:hanging="567"/>
        <w:rPr>
          <w:sz w:val="24"/>
          <w:szCs w:val="22"/>
          <w:lang w:val="fi-FI"/>
        </w:rPr>
      </w:pPr>
      <w:r w:rsidRPr="00381091">
        <w:rPr>
          <w:rStyle w:val="FootnoteReference"/>
          <w:sz w:val="24"/>
          <w:szCs w:val="22"/>
        </w:rPr>
        <w:footnoteRef/>
      </w:r>
      <w:r w:rsidRPr="00381091">
        <w:rPr>
          <w:sz w:val="24"/>
          <w:szCs w:val="22"/>
          <w:lang w:val="fi-FI"/>
        </w:rPr>
        <w:t xml:space="preserve"> </w:t>
      </w:r>
      <w:r w:rsidRPr="00381091">
        <w:rPr>
          <w:sz w:val="24"/>
          <w:szCs w:val="22"/>
          <w:lang w:val="fi-FI"/>
        </w:rPr>
        <w:tab/>
        <w:t xml:space="preserve">EUT L, 2025/2600, 13.12.2025, ELI: </w:t>
      </w:r>
      <w:hyperlink r:id="rId5" w:history="1">
        <w:r w:rsidRPr="00381091">
          <w:rPr>
            <w:rStyle w:val="Hyperlink"/>
            <w:sz w:val="24"/>
            <w:szCs w:val="22"/>
            <w:lang w:val="fi-FI"/>
          </w:rPr>
          <w:t>http://data.europa.eu/eli/reg/2025/2600/oj</w:t>
        </w:r>
      </w:hyperlink>
      <w:r w:rsidRPr="00381091">
        <w:rPr>
          <w:sz w:val="24"/>
          <w:szCs w:val="22"/>
          <w:lang w:val="fi-FI"/>
        </w:rPr>
        <w:t>.</w:t>
      </w:r>
    </w:p>
  </w:footnote>
  <w:footnote w:id="12">
    <w:p w14:paraId="334D7A91" w14:textId="1EBBFE96"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Vedtagne tekster, P10_TA(2025)0312.</w:t>
      </w:r>
    </w:p>
  </w:footnote>
  <w:footnote w:id="13">
    <w:p w14:paraId="3E63DB5A" w14:textId="200C68A5"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Vedtagne tekster, P10_TA(2025)0199.</w:t>
      </w:r>
    </w:p>
  </w:footnote>
  <w:footnote w:id="14">
    <w:p w14:paraId="17E2DAE6" w14:textId="72128866"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Euro-Middelhavsaftalen om oprettelse af en associering mellem De Europæiske Fællesskaber og deres medlemsstater på den ene side og staten Israel på den anden side (EFT L 147 af 21.6.2000, s. 3, ELI: </w:t>
      </w:r>
      <w:hyperlink r:id="rId6" w:history="1">
        <w:r w:rsidRPr="0052418A">
          <w:rPr>
            <w:rStyle w:val="Hyperlink"/>
            <w:sz w:val="24"/>
            <w:lang w:val="da-DK"/>
          </w:rPr>
          <w:t>http://data.europa.eu/eli/agree_internation/2000/384/oj</w:t>
        </w:r>
      </w:hyperlink>
      <w:r w:rsidRPr="0052418A">
        <w:rPr>
          <w:sz w:val="24"/>
          <w:lang w:val="da-DK"/>
        </w:rPr>
        <w:t xml:space="preserve">). </w:t>
      </w:r>
    </w:p>
  </w:footnote>
  <w:footnote w:id="15">
    <w:p w14:paraId="3CB1E517" w14:textId="0E70D595" w:rsidR="00567162" w:rsidRPr="00381091" w:rsidRDefault="00567162" w:rsidP="00381091">
      <w:pPr>
        <w:pStyle w:val="FootnoteText"/>
        <w:ind w:left="567" w:hanging="567"/>
        <w:rPr>
          <w:sz w:val="24"/>
          <w:szCs w:val="22"/>
          <w:lang w:val="da-DK"/>
        </w:rPr>
      </w:pPr>
      <w:r w:rsidRPr="00381091">
        <w:rPr>
          <w:rStyle w:val="FootnoteReference"/>
          <w:sz w:val="24"/>
          <w:szCs w:val="22"/>
        </w:rPr>
        <w:footnoteRef/>
      </w:r>
      <w:r w:rsidRPr="00381091">
        <w:rPr>
          <w:sz w:val="24"/>
          <w:szCs w:val="22"/>
          <w:lang w:val="da-DK"/>
        </w:rPr>
        <w:t xml:space="preserve"> </w:t>
      </w:r>
      <w:r w:rsidRPr="00381091">
        <w:rPr>
          <w:sz w:val="24"/>
          <w:szCs w:val="22"/>
          <w:lang w:val="da-DK"/>
        </w:rPr>
        <w:tab/>
        <w:t xml:space="preserve">Europa-Parlamentets og Rådets forordning (EU) 2022/2065 af 19. oktober 2022 om et indre marked for digitale tjenester og om ændring af direktiv 2000/31/EF (forordning om digitale tjenester) (EUT L 277 af 27.10.2022, s. 1, ELI: </w:t>
      </w:r>
      <w:hyperlink r:id="rId7" w:history="1">
        <w:r w:rsidRPr="00381091">
          <w:rPr>
            <w:rStyle w:val="Hyperlink"/>
            <w:sz w:val="24"/>
            <w:szCs w:val="22"/>
            <w:lang w:val="da-DK"/>
          </w:rPr>
          <w:t>http://data.europa.eu/eli/reg/2022/2065/oj</w:t>
        </w:r>
      </w:hyperlink>
      <w:r w:rsidRPr="00381091">
        <w:rPr>
          <w:sz w:val="24"/>
          <w:szCs w:val="22"/>
          <w:lang w:val="da-DK"/>
        </w:rPr>
        <w:t xml:space="preserve">). </w:t>
      </w:r>
    </w:p>
  </w:footnote>
  <w:footnote w:id="16">
    <w:p w14:paraId="74F45CCE" w14:textId="5EAC3CC6"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Fælles erklæring – </w:t>
      </w:r>
      <w:hyperlink r:id="rId8" w:history="1">
        <w:r w:rsidRPr="0052418A">
          <w:rPr>
            <w:rStyle w:val="Hyperlink"/>
            <w:sz w:val="24"/>
            <w:lang w:val="da-DK"/>
          </w:rPr>
          <w:t>7. topmøde mellem Den Afrikanske Union (AU) og Den Europæiske Union (EU)</w:t>
        </w:r>
      </w:hyperlink>
      <w:r w:rsidRPr="0052418A">
        <w:rPr>
          <w:sz w:val="24"/>
          <w:lang w:val="da-DK"/>
        </w:rPr>
        <w:t xml:space="preserve">, 25. november 2025. </w:t>
      </w:r>
    </w:p>
  </w:footnote>
  <w:footnote w:id="17">
    <w:p w14:paraId="5D992DF7" w14:textId="0C32151C"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Partnerskabsaftale mellem Den Europæiske Union og dens medlemsstater på den ene side og medlemmerne af Organisationen af Stater i Afrika, Caribien og Stillehavet på den anden side (EUT L, 2023/2862, 28.12.2023, ELI: </w:t>
      </w:r>
      <w:hyperlink r:id="rId9" w:history="1">
        <w:r w:rsidRPr="0052418A">
          <w:rPr>
            <w:rStyle w:val="Hyperlink"/>
            <w:sz w:val="24"/>
            <w:lang w:val="da-DK"/>
          </w:rPr>
          <w:t>http://data.europa.eu/eli/agree_internation/2023/2862/oj</w:t>
        </w:r>
      </w:hyperlink>
      <w:r w:rsidRPr="0052418A">
        <w:rPr>
          <w:sz w:val="24"/>
          <w:lang w:val="da-DK"/>
        </w:rPr>
        <w:t>).</w:t>
      </w:r>
    </w:p>
  </w:footnote>
  <w:footnote w:id="18">
    <w:p w14:paraId="5885428F" w14:textId="2C84642C"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hyperlink r:id="rId10" w:history="1">
        <w:r w:rsidRPr="0052418A">
          <w:rPr>
            <w:rStyle w:val="Hyperlink"/>
            <w:sz w:val="24"/>
            <w:lang w:val="da-DK"/>
          </w:rPr>
          <w:t>Fælles erklæring fra topmødet mellem CELAC og EU i 2025</w:t>
        </w:r>
      </w:hyperlink>
      <w:r w:rsidRPr="0052418A">
        <w:rPr>
          <w:sz w:val="24"/>
          <w:lang w:val="da-DK"/>
        </w:rPr>
        <w:t>, Santa Marta, Colombia, 9. november 2025.</w:t>
      </w:r>
    </w:p>
  </w:footnote>
  <w:footnote w:id="19">
    <w:p w14:paraId="0B573C06" w14:textId="212DC84F"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Rådets afgørelse 2010/427/EU af 26. juli 2010 om, hvordan Tjenesten for EU's Optræden Udadtil skal tilrettelægges og fungere (EUT L 201 af 3.8.2010, s. 30, ELI: </w:t>
      </w:r>
      <w:hyperlink r:id="rId11" w:history="1">
        <w:r w:rsidRPr="0052418A">
          <w:rPr>
            <w:rStyle w:val="Hyperlink"/>
            <w:sz w:val="24"/>
            <w:lang w:val="da-DK"/>
          </w:rPr>
          <w:t>http://data.europa.eu/eli/dec/2010/427/oj</w:t>
        </w:r>
      </w:hyperlink>
      <w:r w:rsidRPr="0052418A">
        <w:rPr>
          <w:sz w:val="24"/>
          <w:lang w:val="da-DK"/>
        </w:rPr>
        <w:t>).</w:t>
      </w:r>
    </w:p>
  </w:footnote>
  <w:footnote w:id="20">
    <w:p w14:paraId="2CA65E04" w14:textId="2D9D05C6" w:rsidR="00FD32D1" w:rsidRPr="0052418A" w:rsidRDefault="00FD32D1" w:rsidP="0052418A">
      <w:pPr>
        <w:pStyle w:val="FootnoteText"/>
        <w:ind w:left="567" w:hanging="567"/>
        <w:rPr>
          <w:sz w:val="24"/>
          <w:lang w:val="da-DK"/>
        </w:rPr>
      </w:pPr>
      <w:r w:rsidRPr="0052418A">
        <w:rPr>
          <w:rStyle w:val="FootnoteReference"/>
          <w:sz w:val="24"/>
          <w:lang w:val="da-DK"/>
        </w:rPr>
        <w:footnoteRef/>
      </w:r>
      <w:r w:rsidR="0052418A" w:rsidRPr="0052418A">
        <w:rPr>
          <w:sz w:val="24"/>
          <w:lang w:val="da-DK"/>
        </w:rPr>
        <w:t xml:space="preserve"> </w:t>
      </w:r>
      <w:r w:rsidR="0052418A" w:rsidRPr="0052418A">
        <w:rPr>
          <w:sz w:val="24"/>
          <w:lang w:val="da-DK"/>
        </w:rPr>
        <w:tab/>
      </w:r>
      <w:r w:rsidRPr="0052418A">
        <w:rPr>
          <w:sz w:val="24"/>
          <w:lang w:val="da-DK"/>
        </w:rPr>
        <w:t xml:space="preserve">Europa-Parlamentets henstilling af 15. marts 2023 til Rådet og næstformanden for Kommissionen/Unionens højtstående repræsentant for udenrigsanliggender og sikkerhedspolitik om status over EU-Udenrigstjenestens funktionsmåde og om et stærkere EU i verden (EUT C, C/2023/410, 23.11.2023, ELI: </w:t>
      </w:r>
      <w:hyperlink r:id="rId12" w:history="1">
        <w:r w:rsidRPr="0052418A">
          <w:rPr>
            <w:rStyle w:val="Hyperlink"/>
            <w:sz w:val="24"/>
            <w:lang w:val="da-DK"/>
          </w:rPr>
          <w:t>http://data.europa.eu/eli/C/2023/410/oj</w:t>
        </w:r>
      </w:hyperlink>
      <w:r w:rsidRPr="0052418A">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8946119">
    <w:abstractNumId w:val="9"/>
  </w:num>
  <w:num w:numId="2" w16cid:durableId="1569419849">
    <w:abstractNumId w:val="9"/>
  </w:num>
  <w:num w:numId="3" w16cid:durableId="1550848127">
    <w:abstractNumId w:val="7"/>
  </w:num>
  <w:num w:numId="4" w16cid:durableId="677585140">
    <w:abstractNumId w:val="7"/>
  </w:num>
  <w:num w:numId="5" w16cid:durableId="1291670535">
    <w:abstractNumId w:val="6"/>
  </w:num>
  <w:num w:numId="6" w16cid:durableId="356203475">
    <w:abstractNumId w:val="6"/>
  </w:num>
  <w:num w:numId="7" w16cid:durableId="1307509776">
    <w:abstractNumId w:val="5"/>
  </w:num>
  <w:num w:numId="8" w16cid:durableId="1771005922">
    <w:abstractNumId w:val="5"/>
  </w:num>
  <w:num w:numId="9" w16cid:durableId="246037159">
    <w:abstractNumId w:val="4"/>
  </w:num>
  <w:num w:numId="10" w16cid:durableId="862133670">
    <w:abstractNumId w:val="4"/>
  </w:num>
  <w:num w:numId="11" w16cid:durableId="1259096577">
    <w:abstractNumId w:val="8"/>
  </w:num>
  <w:num w:numId="12" w16cid:durableId="1654488508">
    <w:abstractNumId w:val="8"/>
  </w:num>
  <w:num w:numId="13" w16cid:durableId="438839466">
    <w:abstractNumId w:val="3"/>
  </w:num>
  <w:num w:numId="14" w16cid:durableId="906066196">
    <w:abstractNumId w:val="3"/>
  </w:num>
  <w:num w:numId="15" w16cid:durableId="1496073840">
    <w:abstractNumId w:val="2"/>
  </w:num>
  <w:num w:numId="16" w16cid:durableId="222103135">
    <w:abstractNumId w:val="2"/>
  </w:num>
  <w:num w:numId="17" w16cid:durableId="1573348813">
    <w:abstractNumId w:val="1"/>
  </w:num>
  <w:num w:numId="18" w16cid:durableId="1746872772">
    <w:abstractNumId w:val="1"/>
  </w:num>
  <w:num w:numId="19" w16cid:durableId="1419017240">
    <w:abstractNumId w:val="0"/>
  </w:num>
  <w:num w:numId="20" w16cid:durableId="1916815948">
    <w:abstractNumId w:val="0"/>
  </w:num>
  <w:num w:numId="21" w16cid:durableId="1235041848">
    <w:abstractNumId w:val="9"/>
  </w:num>
  <w:num w:numId="22" w16cid:durableId="1708749488">
    <w:abstractNumId w:val="7"/>
  </w:num>
  <w:num w:numId="23" w16cid:durableId="139927664">
    <w:abstractNumId w:val="6"/>
  </w:num>
  <w:num w:numId="24" w16cid:durableId="620113185">
    <w:abstractNumId w:val="5"/>
  </w:num>
  <w:num w:numId="25" w16cid:durableId="1115556752">
    <w:abstractNumId w:val="4"/>
  </w:num>
  <w:num w:numId="26" w16cid:durableId="2025521344">
    <w:abstractNumId w:val="8"/>
  </w:num>
  <w:num w:numId="27" w16cid:durableId="2057926302">
    <w:abstractNumId w:val="3"/>
  </w:num>
  <w:num w:numId="28" w16cid:durableId="223609207">
    <w:abstractNumId w:val="2"/>
  </w:num>
  <w:num w:numId="29" w16cid:durableId="2129425953">
    <w:abstractNumId w:val="1"/>
  </w:num>
  <w:num w:numId="30" w16cid:durableId="8795193">
    <w:abstractNumId w:val="0"/>
  </w:num>
  <w:num w:numId="31" w16cid:durableId="36663587">
    <w:abstractNumId w:val="9"/>
  </w:num>
  <w:num w:numId="32" w16cid:durableId="563680786">
    <w:abstractNumId w:val="7"/>
  </w:num>
  <w:num w:numId="33" w16cid:durableId="1645692703">
    <w:abstractNumId w:val="6"/>
  </w:num>
  <w:num w:numId="34" w16cid:durableId="730662965">
    <w:abstractNumId w:val="5"/>
  </w:num>
  <w:num w:numId="35" w16cid:durableId="1611356652">
    <w:abstractNumId w:val="4"/>
  </w:num>
  <w:num w:numId="36" w16cid:durableId="2047024596">
    <w:abstractNumId w:val="8"/>
  </w:num>
  <w:num w:numId="37" w16cid:durableId="1781602687">
    <w:abstractNumId w:val="3"/>
  </w:num>
  <w:num w:numId="38" w16cid:durableId="905919914">
    <w:abstractNumId w:val="2"/>
  </w:num>
  <w:num w:numId="39" w16cid:durableId="1560675298">
    <w:abstractNumId w:val="1"/>
  </w:num>
  <w:num w:numId="40" w16cid:durableId="1058670490">
    <w:abstractNumId w:val="0"/>
  </w:num>
  <w:num w:numId="41" w16cid:durableId="1518035701">
    <w:abstractNumId w:val="10"/>
  </w:num>
  <w:num w:numId="42" w16cid:durableId="1674575980">
    <w:abstractNumId w:val="10"/>
  </w:num>
  <w:num w:numId="43" w16cid:durableId="404842994">
    <w:abstractNumId w:val="10"/>
  </w:num>
  <w:num w:numId="44" w16cid:durableId="451897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DA"/>
    <w:docVar w:name="dvnumam" w:val="0"/>
    <w:docVar w:name="dvpe" w:val="776.921"/>
    <w:docVar w:name="dvrapporteur" w:val="Ordfører: "/>
    <w:docVar w:name="dvtitre" w:val="Europa-Parlamentets beslutning af xx. januar 2026 om gennemførelsen af den fælles udenrigs- og sikkerhedspolitik – årlig betænkning 2025(2025/2164(INI))"/>
  </w:docVars>
  <w:rsids>
    <w:rsidRoot w:val="00375373"/>
    <w:rsid w:val="00002272"/>
    <w:rsid w:val="00036C0C"/>
    <w:rsid w:val="00064002"/>
    <w:rsid w:val="000677B9"/>
    <w:rsid w:val="00076481"/>
    <w:rsid w:val="000831BA"/>
    <w:rsid w:val="00086C13"/>
    <w:rsid w:val="0009368B"/>
    <w:rsid w:val="000A42CC"/>
    <w:rsid w:val="000E7DD9"/>
    <w:rsid w:val="0010095E"/>
    <w:rsid w:val="00125B37"/>
    <w:rsid w:val="00130173"/>
    <w:rsid w:val="00141703"/>
    <w:rsid w:val="00187494"/>
    <w:rsid w:val="00197366"/>
    <w:rsid w:val="001B5C48"/>
    <w:rsid w:val="001F2C3D"/>
    <w:rsid w:val="001F32AE"/>
    <w:rsid w:val="0020489C"/>
    <w:rsid w:val="00210F52"/>
    <w:rsid w:val="0021107B"/>
    <w:rsid w:val="00257ADA"/>
    <w:rsid w:val="002767FF"/>
    <w:rsid w:val="002B18FE"/>
    <w:rsid w:val="002B5493"/>
    <w:rsid w:val="00327BD7"/>
    <w:rsid w:val="00343214"/>
    <w:rsid w:val="00361C00"/>
    <w:rsid w:val="00375373"/>
    <w:rsid w:val="00381091"/>
    <w:rsid w:val="00395FA1"/>
    <w:rsid w:val="003A65A7"/>
    <w:rsid w:val="003E15D4"/>
    <w:rsid w:val="00411CCE"/>
    <w:rsid w:val="0041666E"/>
    <w:rsid w:val="00421060"/>
    <w:rsid w:val="0045733A"/>
    <w:rsid w:val="00471C19"/>
    <w:rsid w:val="004754BD"/>
    <w:rsid w:val="004867E3"/>
    <w:rsid w:val="00494A28"/>
    <w:rsid w:val="004C0004"/>
    <w:rsid w:val="004C5D52"/>
    <w:rsid w:val="004D6EAC"/>
    <w:rsid w:val="0050519A"/>
    <w:rsid w:val="005072A1"/>
    <w:rsid w:val="00514517"/>
    <w:rsid w:val="0052418A"/>
    <w:rsid w:val="005379E4"/>
    <w:rsid w:val="00545827"/>
    <w:rsid w:val="00550E0E"/>
    <w:rsid w:val="00560270"/>
    <w:rsid w:val="00567162"/>
    <w:rsid w:val="005900FE"/>
    <w:rsid w:val="005C2568"/>
    <w:rsid w:val="005F1B17"/>
    <w:rsid w:val="006037C0"/>
    <w:rsid w:val="006631B6"/>
    <w:rsid w:val="00680577"/>
    <w:rsid w:val="006F74FA"/>
    <w:rsid w:val="00731ADD"/>
    <w:rsid w:val="00734777"/>
    <w:rsid w:val="00747932"/>
    <w:rsid w:val="00751A4A"/>
    <w:rsid w:val="00756632"/>
    <w:rsid w:val="00762C74"/>
    <w:rsid w:val="00783590"/>
    <w:rsid w:val="00786EC0"/>
    <w:rsid w:val="007D1690"/>
    <w:rsid w:val="007D37CE"/>
    <w:rsid w:val="007E22AD"/>
    <w:rsid w:val="00817416"/>
    <w:rsid w:val="008205DE"/>
    <w:rsid w:val="00842779"/>
    <w:rsid w:val="00865F67"/>
    <w:rsid w:val="00881A7B"/>
    <w:rsid w:val="008840E5"/>
    <w:rsid w:val="00887B3E"/>
    <w:rsid w:val="008A6E73"/>
    <w:rsid w:val="008C2AC6"/>
    <w:rsid w:val="00913DC6"/>
    <w:rsid w:val="00917C8E"/>
    <w:rsid w:val="00930C23"/>
    <w:rsid w:val="0093193B"/>
    <w:rsid w:val="009509D8"/>
    <w:rsid w:val="00950B64"/>
    <w:rsid w:val="00966211"/>
    <w:rsid w:val="00981893"/>
    <w:rsid w:val="00991A65"/>
    <w:rsid w:val="009A428F"/>
    <w:rsid w:val="009B1F3C"/>
    <w:rsid w:val="009D6866"/>
    <w:rsid w:val="009E53AC"/>
    <w:rsid w:val="00A1687D"/>
    <w:rsid w:val="00A43E52"/>
    <w:rsid w:val="00A4678D"/>
    <w:rsid w:val="00A778C7"/>
    <w:rsid w:val="00A950BB"/>
    <w:rsid w:val="00AB441E"/>
    <w:rsid w:val="00AB6293"/>
    <w:rsid w:val="00AE0928"/>
    <w:rsid w:val="00AF3B82"/>
    <w:rsid w:val="00B12E95"/>
    <w:rsid w:val="00B22876"/>
    <w:rsid w:val="00B558F0"/>
    <w:rsid w:val="00B9307C"/>
    <w:rsid w:val="00BD48FE"/>
    <w:rsid w:val="00BD7BD8"/>
    <w:rsid w:val="00BE1CE9"/>
    <w:rsid w:val="00BE6ADC"/>
    <w:rsid w:val="00C05BFE"/>
    <w:rsid w:val="00C12147"/>
    <w:rsid w:val="00C154D5"/>
    <w:rsid w:val="00C23CD4"/>
    <w:rsid w:val="00C30608"/>
    <w:rsid w:val="00C61C0C"/>
    <w:rsid w:val="00C941CB"/>
    <w:rsid w:val="00CA01CD"/>
    <w:rsid w:val="00CC2357"/>
    <w:rsid w:val="00CF071A"/>
    <w:rsid w:val="00D058B8"/>
    <w:rsid w:val="00D21B4D"/>
    <w:rsid w:val="00D56C11"/>
    <w:rsid w:val="00D56CD6"/>
    <w:rsid w:val="00D74638"/>
    <w:rsid w:val="00D834A0"/>
    <w:rsid w:val="00D872DF"/>
    <w:rsid w:val="00D911F6"/>
    <w:rsid w:val="00D91E21"/>
    <w:rsid w:val="00DA7FCD"/>
    <w:rsid w:val="00E1288D"/>
    <w:rsid w:val="00E365E1"/>
    <w:rsid w:val="00E820A4"/>
    <w:rsid w:val="00EA74B1"/>
    <w:rsid w:val="00EB006A"/>
    <w:rsid w:val="00EB4772"/>
    <w:rsid w:val="00ED169E"/>
    <w:rsid w:val="00ED4235"/>
    <w:rsid w:val="00EE04A7"/>
    <w:rsid w:val="00F04346"/>
    <w:rsid w:val="00F075DC"/>
    <w:rsid w:val="00F149E9"/>
    <w:rsid w:val="00F44BB0"/>
    <w:rsid w:val="00F5134D"/>
    <w:rsid w:val="00F74202"/>
    <w:rsid w:val="00F87713"/>
    <w:rsid w:val="00FA4DCA"/>
    <w:rsid w:val="00FB4360"/>
    <w:rsid w:val="00FD0C70"/>
    <w:rsid w:val="00FD32D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F8AD3"/>
  <w15:chartTrackingRefBased/>
  <w15:docId w15:val="{73F3E51E-FB3D-4F6E-9D3A-740A00C6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32D1"/>
    <w:pPr>
      <w:spacing w:after="240"/>
      <w:ind w:left="566" w:hanging="566"/>
    </w:pPr>
    <w:rPr>
      <w:szCs w:val="24"/>
      <w:lang w:eastAsia="en-US"/>
    </w:rPr>
  </w:style>
  <w:style w:type="paragraph" w:customStyle="1" w:styleId="Normal12">
    <w:name w:val="Normal12"/>
    <w:basedOn w:val="Normal"/>
    <w:rsid w:val="00FD32D1"/>
    <w:pPr>
      <w:spacing w:after="240"/>
    </w:pPr>
    <w:rPr>
      <w:szCs w:val="24"/>
      <w:lang w:eastAsia="en-US"/>
    </w:rPr>
  </w:style>
  <w:style w:type="paragraph" w:customStyle="1" w:styleId="NormalHanging">
    <w:name w:val="NormalHanging"/>
    <w:basedOn w:val="Normal"/>
    <w:rsid w:val="00FD32D1"/>
    <w:pPr>
      <w:spacing w:after="240"/>
      <w:ind w:left="566" w:hanging="566"/>
    </w:pPr>
    <w:rPr>
      <w:szCs w:val="24"/>
      <w:lang w:eastAsia="en-US"/>
    </w:rPr>
  </w:style>
  <w:style w:type="paragraph" w:customStyle="1" w:styleId="NormalCenter12a">
    <w:name w:val="NormalCenter12a"/>
    <w:basedOn w:val="Normal"/>
    <w:rsid w:val="00FD32D1"/>
    <w:pPr>
      <w:spacing w:after="240"/>
      <w:jc w:val="center"/>
    </w:pPr>
    <w:rPr>
      <w:szCs w:val="24"/>
      <w:lang w:eastAsia="en-US"/>
    </w:rPr>
  </w:style>
  <w:style w:type="character" w:styleId="Hyperlink">
    <w:name w:val="Hyperlink"/>
    <w:basedOn w:val="DefaultParagraphFont"/>
    <w:rsid w:val="00FD32D1"/>
    <w:rPr>
      <w:color w:val="0563C1" w:themeColor="hyperlink"/>
      <w:u w:val="single"/>
    </w:rPr>
  </w:style>
  <w:style w:type="character" w:customStyle="1" w:styleId="NormalHanging12aChar">
    <w:name w:val="NormalHanging12a Char"/>
    <w:basedOn w:val="DefaultParagraphFont"/>
    <w:link w:val="NormalHanging12a"/>
    <w:rsid w:val="00FD32D1"/>
    <w:rPr>
      <w:sz w:val="24"/>
      <w:szCs w:val="24"/>
      <w:lang w:val="da-DK" w:eastAsia="en-US"/>
    </w:rPr>
  </w:style>
  <w:style w:type="paragraph" w:styleId="Revision">
    <w:name w:val="Revision"/>
    <w:hidden/>
    <w:uiPriority w:val="99"/>
    <w:semiHidden/>
    <w:rsid w:val="00C154D5"/>
    <w:rPr>
      <w:sz w:val="24"/>
      <w:lang w:val="da-DK"/>
    </w:rPr>
  </w:style>
  <w:style w:type="character" w:styleId="CommentReference">
    <w:name w:val="annotation reference"/>
    <w:basedOn w:val="DefaultParagraphFont"/>
    <w:rsid w:val="001F2C3D"/>
    <w:rPr>
      <w:sz w:val="16"/>
      <w:szCs w:val="16"/>
    </w:rPr>
  </w:style>
  <w:style w:type="paragraph" w:styleId="CommentText">
    <w:name w:val="annotation text"/>
    <w:basedOn w:val="Normal"/>
    <w:link w:val="CommentTextChar"/>
    <w:rsid w:val="001F2C3D"/>
    <w:rPr>
      <w:sz w:val="20"/>
    </w:rPr>
  </w:style>
  <w:style w:type="character" w:customStyle="1" w:styleId="CommentTextChar">
    <w:name w:val="Comment Text Char"/>
    <w:basedOn w:val="DefaultParagraphFont"/>
    <w:link w:val="CommentText"/>
    <w:rsid w:val="001F2C3D"/>
    <w:rPr>
      <w:lang w:val="da-DK"/>
    </w:rPr>
  </w:style>
  <w:style w:type="paragraph" w:styleId="CommentSubject">
    <w:name w:val="annotation subject"/>
    <w:basedOn w:val="CommentText"/>
    <w:next w:val="CommentText"/>
    <w:link w:val="CommentSubjectChar"/>
    <w:rsid w:val="001F2C3D"/>
    <w:rPr>
      <w:b/>
      <w:bCs/>
    </w:rPr>
  </w:style>
  <w:style w:type="character" w:customStyle="1" w:styleId="CommentSubjectChar">
    <w:name w:val="Comment Subject Char"/>
    <w:basedOn w:val="CommentTextChar"/>
    <w:link w:val="CommentSubject"/>
    <w:rsid w:val="001F2C3D"/>
    <w:rPr>
      <w:b/>
      <w:bCs/>
      <w:lang w:val="da-DK"/>
    </w:rPr>
  </w:style>
  <w:style w:type="character" w:styleId="UnresolvedMention">
    <w:name w:val="Unresolved Mention"/>
    <w:basedOn w:val="DefaultParagraphFont"/>
    <w:uiPriority w:val="99"/>
    <w:semiHidden/>
    <w:unhideWhenUsed/>
    <w:rsid w:val="00567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457862">
      <w:bodyDiv w:val="1"/>
      <w:marLeft w:val="0"/>
      <w:marRight w:val="0"/>
      <w:marTop w:val="0"/>
      <w:marBottom w:val="0"/>
      <w:divBdr>
        <w:top w:val="none" w:sz="0" w:space="0" w:color="auto"/>
        <w:left w:val="none" w:sz="0" w:space="0" w:color="auto"/>
        <w:bottom w:val="none" w:sz="0" w:space="0" w:color="auto"/>
        <w:right w:val="none" w:sz="0" w:space="0" w:color="auto"/>
      </w:divBdr>
    </w:div>
    <w:div w:id="160394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19833</Words>
  <Characters>123695</Characters>
  <Application>Microsoft Office Word</Application>
  <DocSecurity>0</DocSecurity>
  <Lines>1030</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SEMEDO Teresa</cp:lastModifiedBy>
  <cp:revision>3</cp:revision>
  <cp:lastPrinted>2004-11-19T15:42:00Z</cp:lastPrinted>
  <dcterms:created xsi:type="dcterms:W3CDTF">2026-01-21T17:00:00Z</dcterms:created>
  <dcterms:modified xsi:type="dcterms:W3CDTF">2026-05-26T13:44:00Z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P10_TA-PROV(2026)0012_A10-0253_2025_</vt:lpwstr>
  </property>
  <property fmtid="{D5CDD505-2E9C-101B-9397-08002B2CF9AE}" pid="4" name="&lt;Type&gt;">
    <vt:lpwstr>RR</vt:lpwstr>
  </property>
</Properties>
</file>