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08B8" w14:paraId="14FAD2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BB4104" w14:textId="2A902D2E" w:rsidR="00751A4A" w:rsidRPr="00F708B8" w:rsidRDefault="00436597" w:rsidP="0010095E">
            <w:pPr>
              <w:pStyle w:val="EPName"/>
            </w:pPr>
            <w:r w:rsidRPr="00F708B8">
              <w:t>Европейски</w:t>
            </w:r>
            <w:r w:rsidR="0070553E" w:rsidRPr="00F708B8">
              <w:t xml:space="preserve"> парламент</w:t>
            </w:r>
          </w:p>
          <w:p w14:paraId="63B9ECA0" w14:textId="6AFF5BAD" w:rsidR="00751A4A" w:rsidRPr="00F708B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08B8">
              <w:t>2024</w:t>
            </w:r>
            <w:r w:rsidR="00436597">
              <w:t> – </w:t>
            </w:r>
            <w:r w:rsidR="00817416" w:rsidRPr="00F708B8">
              <w:t>202</w:t>
            </w:r>
            <w:r w:rsidRPr="00F708B8">
              <w:t>9</w:t>
            </w:r>
          </w:p>
        </w:tc>
        <w:tc>
          <w:tcPr>
            <w:tcW w:w="2268" w:type="dxa"/>
            <w:shd w:val="clear" w:color="auto" w:fill="auto"/>
          </w:tcPr>
          <w:p w14:paraId="6EB79C79" w14:textId="77777777" w:rsidR="00751A4A" w:rsidRPr="00F708B8" w:rsidRDefault="00187494" w:rsidP="0010095E">
            <w:pPr>
              <w:pStyle w:val="EPLogo"/>
            </w:pPr>
            <w:r w:rsidRPr="00F708B8">
              <w:rPr>
                <w:noProof/>
                <w:lang w:eastAsia="ja-JP"/>
              </w:rPr>
              <w:drawing>
                <wp:inline distT="0" distB="0" distL="0" distR="0" wp14:anchorId="1B29C6AF" wp14:editId="2CB7F6B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76049F" w14:textId="77777777" w:rsidR="00D058B8" w:rsidRPr="00F708B8" w:rsidRDefault="00D058B8" w:rsidP="004C5D52">
      <w:pPr>
        <w:pStyle w:val="LineTop"/>
      </w:pPr>
    </w:p>
    <w:p w14:paraId="4B9C3528" w14:textId="77777777" w:rsidR="00680577" w:rsidRPr="00F708B8" w:rsidRDefault="0070553E" w:rsidP="00680577">
      <w:pPr>
        <w:pStyle w:val="EPBodyTA1"/>
      </w:pPr>
      <w:r w:rsidRPr="00F708B8">
        <w:t>ПРИЕТИ ТЕКСТОВЕ</w:t>
      </w:r>
    </w:p>
    <w:p w14:paraId="42B020DD" w14:textId="77777777" w:rsidR="00D058B8" w:rsidRPr="00F708B8" w:rsidRDefault="00D058B8" w:rsidP="00D058B8">
      <w:pPr>
        <w:pStyle w:val="LineBottom"/>
      </w:pPr>
    </w:p>
    <w:p w14:paraId="79E9963F" w14:textId="4EA0D761" w:rsidR="0070553E" w:rsidRPr="00F708B8" w:rsidRDefault="0070553E" w:rsidP="0070553E">
      <w:pPr>
        <w:pStyle w:val="ATHeading1"/>
      </w:pPr>
      <w:bookmarkStart w:id="0" w:name="TANumber"/>
      <w:r w:rsidRPr="00F708B8">
        <w:t>P10_TA(2026)00</w:t>
      </w:r>
      <w:r w:rsidR="00B65210">
        <w:t>15</w:t>
      </w:r>
      <w:bookmarkEnd w:id="0"/>
    </w:p>
    <w:p w14:paraId="1135F888" w14:textId="7F5FE108" w:rsidR="0070553E" w:rsidRPr="00F708B8" w:rsidRDefault="0070553E" w:rsidP="0070553E">
      <w:pPr>
        <w:pStyle w:val="ATHeading2"/>
      </w:pPr>
      <w:bookmarkStart w:id="1" w:name="title"/>
      <w:r w:rsidRPr="00F708B8">
        <w:t xml:space="preserve">Борба </w:t>
      </w:r>
      <w:r w:rsidRPr="00B65210">
        <w:t>с безнаказаността чрез санкции на ЕС, включително глобалния режим на санкции на ЕС за нарушения на правата на човека (т.нар. закон „</w:t>
      </w:r>
      <w:proofErr w:type="spellStart"/>
      <w:r w:rsidRPr="00B65210">
        <w:t>Магнитски</w:t>
      </w:r>
      <w:proofErr w:type="spellEnd"/>
      <w:r w:rsidRPr="00B65210">
        <w:t>“ на ЕС</w:t>
      </w:r>
      <w:r w:rsidRPr="00F708B8">
        <w:t>)</w:t>
      </w:r>
      <w:bookmarkEnd w:id="1"/>
    </w:p>
    <w:p w14:paraId="5E8C46CE" w14:textId="77777777" w:rsidR="0070553E" w:rsidRPr="00F708B8" w:rsidRDefault="0070553E" w:rsidP="0070553E">
      <w:pPr>
        <w:rPr>
          <w:i/>
          <w:vanish/>
        </w:rPr>
      </w:pPr>
      <w:r w:rsidRPr="00F708B8">
        <w:rPr>
          <w:i/>
        </w:rPr>
        <w:fldChar w:fldCharType="begin"/>
      </w:r>
      <w:r w:rsidRPr="00F708B8">
        <w:rPr>
          <w:i/>
        </w:rPr>
        <w:instrText xml:space="preserve"> TC"(</w:instrText>
      </w:r>
      <w:bookmarkStart w:id="2" w:name="DocNumber"/>
      <w:r w:rsidRPr="00F708B8">
        <w:rPr>
          <w:i/>
        </w:rPr>
        <w:instrText>A10-0266/2025</w:instrText>
      </w:r>
      <w:bookmarkEnd w:id="2"/>
      <w:r w:rsidRPr="00F708B8">
        <w:rPr>
          <w:i/>
        </w:rPr>
        <w:instrText xml:space="preserve"> - Докладчик: Антонио Лопес‑Истурис Уайт)"\l3 \n&gt; \* MERGEFORMAT </w:instrText>
      </w:r>
      <w:r w:rsidRPr="00F708B8">
        <w:rPr>
          <w:i/>
        </w:rPr>
        <w:fldChar w:fldCharType="end"/>
      </w:r>
    </w:p>
    <w:p w14:paraId="46853F07" w14:textId="77777777" w:rsidR="0070553E" w:rsidRPr="00F708B8" w:rsidRDefault="0070553E" w:rsidP="0070553E">
      <w:pPr>
        <w:rPr>
          <w:vanish/>
        </w:rPr>
      </w:pPr>
      <w:bookmarkStart w:id="3" w:name="Commission"/>
      <w:r w:rsidRPr="00F708B8">
        <w:rPr>
          <w:vanish/>
        </w:rPr>
        <w:t>Комисия по външни работи</w:t>
      </w:r>
      <w:bookmarkEnd w:id="3"/>
    </w:p>
    <w:p w14:paraId="00CFC27E" w14:textId="77777777" w:rsidR="0070553E" w:rsidRPr="00F708B8" w:rsidRDefault="0070553E" w:rsidP="0070553E">
      <w:pPr>
        <w:rPr>
          <w:vanish/>
        </w:rPr>
      </w:pPr>
      <w:bookmarkStart w:id="4" w:name="PE"/>
      <w:r w:rsidRPr="00F708B8">
        <w:rPr>
          <w:vanish/>
        </w:rPr>
        <w:t>PE775.385</w:t>
      </w:r>
      <w:bookmarkEnd w:id="4"/>
    </w:p>
    <w:p w14:paraId="3D65122C" w14:textId="09F4253F" w:rsidR="0070553E" w:rsidRPr="00F708B8" w:rsidRDefault="0070553E" w:rsidP="0070553E">
      <w:pPr>
        <w:pStyle w:val="ATHeading3"/>
      </w:pPr>
      <w:bookmarkStart w:id="5" w:name="Sujet"/>
      <w:r w:rsidRPr="00F708B8">
        <w:t xml:space="preserve">Резолюция на Европейския парламент от </w:t>
      </w:r>
      <w:r w:rsidR="00436597">
        <w:t>21 януари</w:t>
      </w:r>
      <w:r w:rsidRPr="00F708B8">
        <w:t xml:space="preserve"> 2026 г. относно борбата с безнаказаността чрез санкции на ЕС, включително глобалния режим на санкции на ЕС за нарушения на правата на човека (т.нар. закон „</w:t>
      </w:r>
      <w:proofErr w:type="spellStart"/>
      <w:r w:rsidRPr="00F708B8">
        <w:t>Магнитски</w:t>
      </w:r>
      <w:proofErr w:type="spellEnd"/>
      <w:r w:rsidRPr="00F708B8">
        <w:t>“ на ЕС)</w:t>
      </w:r>
      <w:bookmarkEnd w:id="5"/>
      <w:r w:rsidRPr="00F708B8">
        <w:t xml:space="preserve"> </w:t>
      </w:r>
      <w:bookmarkStart w:id="6" w:name="References"/>
      <w:r w:rsidRPr="00F708B8">
        <w:t>(2025/2049(INI))</w:t>
      </w:r>
      <w:bookmarkEnd w:id="6"/>
    </w:p>
    <w:p w14:paraId="582EE092" w14:textId="77777777" w:rsidR="003B3C7F" w:rsidRPr="00F708B8" w:rsidRDefault="003B3C7F" w:rsidP="003B3C7F">
      <w:pPr>
        <w:pStyle w:val="EPComma"/>
      </w:pPr>
      <w:r w:rsidRPr="00F708B8">
        <w:rPr>
          <w:i/>
        </w:rPr>
        <w:t>Европейският парламент</w:t>
      </w:r>
      <w:r w:rsidRPr="00F708B8">
        <w:t>,</w:t>
      </w:r>
    </w:p>
    <w:p w14:paraId="196A3029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 xml:space="preserve">като взе предвид Всеобщата декларация за правата на човека от 10 декември 1948 г., </w:t>
      </w:r>
    </w:p>
    <w:p w14:paraId="19C656AF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 xml:space="preserve">като взе предвид Европейската конвенция за защита на правата на човека и основните свободи от 4 ноември 1950 г., </w:t>
      </w:r>
    </w:p>
    <w:p w14:paraId="68F83D7B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 xml:space="preserve">като взе предвид Международния пакт за граждански и политически права от 16 декември 1966 г.,  </w:t>
      </w:r>
    </w:p>
    <w:p w14:paraId="165B8395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 xml:space="preserve">като взе предвид Конвенцията на ООН против изтезанията и други форми на жестоко, нечовешко или унизително отнасяне или наказание от 10 декември 1984 г., </w:t>
      </w:r>
    </w:p>
    <w:p w14:paraId="4FD3B42F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Договора за Европейския съюз (ДЕС) и по-специално член 2, член 3, параграф 5, членове 21, 23, 29 и член 31, параграф 2 от него,</w:t>
      </w:r>
    </w:p>
    <w:p w14:paraId="07B44CBD" w14:textId="06F5F450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член 215 от Договора за функционирането на Европейския съюз, който се отнася до приемането на ограничителни мерки срещу физически или юридически лица и групи или недържавни образувания,</w:t>
      </w:r>
    </w:p>
    <w:p w14:paraId="2AF0A416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Хартата на основните права на Европейския съюз,</w:t>
      </w:r>
    </w:p>
    <w:p w14:paraId="6CD3A706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Декларация № 25, приложена към Договора от Лисабон, която се отнася до необходимостта от защита и зачитане на правото на справедлив процес за лицата или субектите, засегнати от ограничителни мерки на ЕС или от мерките на ЕС в борбата с тероризма,</w:t>
      </w:r>
    </w:p>
    <w:p w14:paraId="0EBB7284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 xml:space="preserve">като взе предвид своите резолюции относно нарушаването на правата на човека, демокрацията и принципа на правовата държава (известни като „резолюции по </w:t>
      </w:r>
      <w:r w:rsidRPr="00F708B8">
        <w:lastRenderedPageBreak/>
        <w:t>неотложни въпроси“), приети в съответствие с член 150 от своя Правилник за дейността,</w:t>
      </w:r>
    </w:p>
    <w:p w14:paraId="4824E3A1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Решение (ОВППС) 2020/1999 на Съвета</w:t>
      </w:r>
      <w:r w:rsidRPr="00F708B8">
        <w:rPr>
          <w:rStyle w:val="FootnoteReference"/>
        </w:rPr>
        <w:footnoteReference w:id="1"/>
      </w:r>
      <w:r w:rsidRPr="00F708B8">
        <w:t xml:space="preserve"> и Регламент (ЕС) 2020/1998 на Съвета</w:t>
      </w:r>
      <w:r w:rsidRPr="00F708B8">
        <w:rPr>
          <w:rStyle w:val="FootnoteReference"/>
        </w:rPr>
        <w:footnoteReference w:id="2"/>
      </w:r>
      <w:r w:rsidRPr="00F708B8">
        <w:t xml:space="preserve"> от 7 декември 2020 г. относно ограничителни мерки срещу тежки нарушения на правата на човека,</w:t>
      </w:r>
    </w:p>
    <w:p w14:paraId="4A3D81BC" w14:textId="15C2ED16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Регламент за изпълнение (ЕС) 2021/371 на Съвета от 2 март 2021</w:t>
      </w:r>
      <w:r w:rsidR="00F37068">
        <w:t> </w:t>
      </w:r>
      <w:r w:rsidRPr="00F708B8">
        <w:t>г.</w:t>
      </w:r>
      <w:r w:rsidRPr="00F708B8">
        <w:rPr>
          <w:rStyle w:val="FootnoteReference"/>
        </w:rPr>
        <w:footnoteReference w:id="3"/>
      </w:r>
      <w:r w:rsidRPr="00F708B8">
        <w:t>, Регламент за изпълнение (ЕС) 2021/478 на Съвета от 22 март 2021 г.</w:t>
      </w:r>
      <w:r w:rsidRPr="00F708B8">
        <w:rPr>
          <w:rStyle w:val="FootnoteReference"/>
        </w:rPr>
        <w:footnoteReference w:id="4"/>
      </w:r>
      <w:r w:rsidRPr="00F708B8">
        <w:t xml:space="preserve"> и Регламент за изпълнение (ЕС) 2025/1111 на Съвета от 28 май 2025 г.</w:t>
      </w:r>
      <w:r w:rsidRPr="00F708B8">
        <w:rPr>
          <w:rStyle w:val="FootnoteReference"/>
        </w:rPr>
        <w:footnoteReference w:id="5"/>
      </w:r>
      <w:r w:rsidRPr="00F708B8">
        <w:t xml:space="preserve"> за прилагане на Регламент (ЕС) 2020/1998 относно ограничителни мерки срещу тежките нарушения на правата на човека,</w:t>
      </w:r>
    </w:p>
    <w:p w14:paraId="34A6F8DE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решенията на Съвета за изменение на Решение (ОВППС) 2020/1999 на Съвета, включително решения (ОВППС) 2021/372 от 2 март 2021 г.</w:t>
      </w:r>
      <w:r w:rsidRPr="00F708B8">
        <w:rPr>
          <w:rStyle w:val="FootnoteReference"/>
        </w:rPr>
        <w:footnoteReference w:id="6"/>
      </w:r>
      <w:r w:rsidRPr="00F708B8">
        <w:t>, (ОВППС) 2021/481 от 22 март 2021 г.</w:t>
      </w:r>
      <w:r w:rsidRPr="00F708B8">
        <w:rPr>
          <w:rStyle w:val="FootnoteReference"/>
        </w:rPr>
        <w:footnoteReference w:id="7"/>
      </w:r>
      <w:r w:rsidRPr="00F708B8">
        <w:t>, (ОВППС) 2021/2197 от 13 декември 2021 г.</w:t>
      </w:r>
      <w:r w:rsidRPr="00F708B8">
        <w:rPr>
          <w:rStyle w:val="FootnoteReference"/>
        </w:rPr>
        <w:footnoteReference w:id="8"/>
      </w:r>
      <w:r w:rsidRPr="00F708B8">
        <w:t>, (ОВППС) 2023/1504 от 20 юли 2023 г.</w:t>
      </w:r>
      <w:r w:rsidRPr="00F708B8">
        <w:rPr>
          <w:rStyle w:val="FootnoteReference"/>
        </w:rPr>
        <w:footnoteReference w:id="9"/>
      </w:r>
      <w:r w:rsidRPr="00F708B8">
        <w:t>, (ОВППС) 2023/1716 от 8 септември 2023 г.</w:t>
      </w:r>
      <w:r w:rsidRPr="00F708B8">
        <w:rPr>
          <w:rStyle w:val="FootnoteReference"/>
        </w:rPr>
        <w:footnoteReference w:id="10"/>
      </w:r>
      <w:r w:rsidRPr="00F708B8">
        <w:t>, (ОВППС) 2024/1025 от 4 април 2024 г.</w:t>
      </w:r>
      <w:r w:rsidRPr="00F708B8">
        <w:rPr>
          <w:rStyle w:val="FootnoteReference"/>
        </w:rPr>
        <w:footnoteReference w:id="11"/>
      </w:r>
      <w:r w:rsidRPr="00F708B8">
        <w:t>, (ОВППС) 2024/1074 от 4 април 2024 г.</w:t>
      </w:r>
      <w:r w:rsidRPr="00F708B8">
        <w:rPr>
          <w:rStyle w:val="FootnoteReference"/>
        </w:rPr>
        <w:footnoteReference w:id="12"/>
      </w:r>
      <w:r w:rsidRPr="00F708B8">
        <w:t>, (ОВППС) 2024/1175 от 19 април 2024 г.</w:t>
      </w:r>
      <w:r w:rsidRPr="00F708B8">
        <w:rPr>
          <w:rStyle w:val="FootnoteReference"/>
        </w:rPr>
        <w:footnoteReference w:id="13"/>
      </w:r>
      <w:r w:rsidRPr="00F708B8">
        <w:t>, (ОВППС) 2024/1967 от 15 юли 2024 г.</w:t>
      </w:r>
      <w:r w:rsidRPr="00F708B8">
        <w:rPr>
          <w:rStyle w:val="FootnoteReference"/>
        </w:rPr>
        <w:footnoteReference w:id="14"/>
      </w:r>
      <w:r w:rsidRPr="00F708B8">
        <w:t>, (ОВППС) 2024/3004 от 2 декември 2024 г.</w:t>
      </w:r>
      <w:r w:rsidRPr="00F708B8">
        <w:rPr>
          <w:rStyle w:val="FootnoteReference"/>
        </w:rPr>
        <w:footnoteReference w:id="15"/>
      </w:r>
      <w:r w:rsidRPr="00F708B8">
        <w:t>, (ОВППС) 2025/346 от 18 февруари 2025 г.</w:t>
      </w:r>
      <w:r w:rsidRPr="00F708B8">
        <w:rPr>
          <w:rStyle w:val="FootnoteReference"/>
        </w:rPr>
        <w:footnoteReference w:id="16"/>
      </w:r>
      <w:r w:rsidRPr="00F708B8">
        <w:t xml:space="preserve"> и (ОВППС) 2025/1110 от 27 май 2025 г.</w:t>
      </w:r>
      <w:r w:rsidRPr="00F708B8">
        <w:rPr>
          <w:rStyle w:val="FootnoteReference"/>
        </w:rPr>
        <w:footnoteReference w:id="17"/>
      </w:r>
      <w:r w:rsidRPr="00F708B8">
        <w:t>,</w:t>
      </w:r>
    </w:p>
    <w:p w14:paraId="04A621E3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своята резолюция от 8 юли 2021 г. относно глобалния режим на ЕС на санкции за нарушения на правата на човека (закон „</w:t>
      </w:r>
      <w:proofErr w:type="spellStart"/>
      <w:r w:rsidRPr="00F708B8">
        <w:t>Магнитски</w:t>
      </w:r>
      <w:proofErr w:type="spellEnd"/>
      <w:r w:rsidRPr="00F708B8">
        <w:t>“ на ЕС)</w:t>
      </w:r>
      <w:r w:rsidRPr="00F708B8">
        <w:rPr>
          <w:rStyle w:val="FootnoteReference"/>
        </w:rPr>
        <w:footnoteReference w:id="18"/>
      </w:r>
      <w:r w:rsidRPr="00F708B8">
        <w:t xml:space="preserve"> и своята резолюция от 2 април 2025 г. относно правата на човека и демокрацията по света и политиката на Европейския съюз в тази област – годишен доклад за 2024 г.</w:t>
      </w:r>
      <w:r w:rsidRPr="00F708B8">
        <w:rPr>
          <w:rStyle w:val="FootnoteReference"/>
        </w:rPr>
        <w:footnoteReference w:id="19"/>
      </w:r>
      <w:r w:rsidRPr="00F708B8">
        <w:t>,</w:t>
      </w:r>
    </w:p>
    <w:p w14:paraId="746EAEA5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 xml:space="preserve">като взе предвид заключенията на Съвета от 18 ноември 2020 г. относно Плана за действие на ЕС относно правата на човека и демокрацията за периода 2020 – </w:t>
      </w:r>
      <w:r w:rsidRPr="00F708B8">
        <w:lastRenderedPageBreak/>
        <w:t>2024 г., който беше подновен до 2027 г.,</w:t>
      </w:r>
    </w:p>
    <w:p w14:paraId="552EDE16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Решение (ОВППС) 2023/2721 на Съвета от 4 декември 2023 година за изменение на Решение (ОВППС) 2020/1999 относно ограничителни мерки срещу тежки нарушения на правата на човека</w:t>
      </w:r>
      <w:r w:rsidRPr="00F708B8">
        <w:rPr>
          <w:rStyle w:val="FootnoteReference"/>
        </w:rPr>
        <w:footnoteReference w:id="20"/>
      </w:r>
      <w:r w:rsidRPr="00F708B8">
        <w:t>, с което срокът на действие на глобалния режим на санкции на ЕС за нарушения на правата на човека (ГРСЕСНПЧ – закон „</w:t>
      </w:r>
      <w:proofErr w:type="spellStart"/>
      <w:r w:rsidRPr="00F708B8">
        <w:t>Магнитски</w:t>
      </w:r>
      <w:proofErr w:type="spellEnd"/>
      <w:r w:rsidRPr="00F708B8">
        <w:t>“ на ЕС) беше удължен с три години – до 8 декември 2026 г.,</w:t>
      </w:r>
    </w:p>
    <w:p w14:paraId="020ACC6F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член 55 от своя Правилник за дейността,</w:t>
      </w:r>
    </w:p>
    <w:p w14:paraId="73517B03" w14:textId="77777777" w:rsidR="003B3C7F" w:rsidRPr="00F708B8" w:rsidRDefault="003B3C7F" w:rsidP="003B3C7F">
      <w:pPr>
        <w:pStyle w:val="NormalHanging12a"/>
      </w:pPr>
      <w:r w:rsidRPr="00F708B8">
        <w:t>–</w:t>
      </w:r>
      <w:r w:rsidRPr="00F708B8">
        <w:tab/>
        <w:t>като взе предвид доклада на комисията по външни работи (A10-0266/2025),</w:t>
      </w:r>
    </w:p>
    <w:p w14:paraId="17E9273E" w14:textId="77777777" w:rsidR="003B3C7F" w:rsidRPr="00F708B8" w:rsidRDefault="003B3C7F" w:rsidP="003B3C7F">
      <w:pPr>
        <w:pStyle w:val="NormalHanging12a"/>
      </w:pPr>
      <w:r w:rsidRPr="00F708B8">
        <w:t>А.</w:t>
      </w:r>
      <w:r w:rsidRPr="00F708B8">
        <w:tab/>
        <w:t>като има предвид, че съгласно член 21 от ДЕС дейността на Съюза „се ръководи от [...] демокрацията, правовата държава, универсалността и неделимостта на правата на човека и на основните свободи, зачитането на човешкото достойнство, принципите на равенство и солидарност и зачитането на принципите на Устава на Организацията на обединените нации и на международното право“;</w:t>
      </w:r>
    </w:p>
    <w:p w14:paraId="66933762" w14:textId="77777777" w:rsidR="003B3C7F" w:rsidRPr="00F708B8" w:rsidRDefault="003B3C7F" w:rsidP="003B3C7F">
      <w:pPr>
        <w:pStyle w:val="NormalHanging12a"/>
      </w:pPr>
      <w:r w:rsidRPr="00F708B8">
        <w:t>Б.</w:t>
      </w:r>
      <w:r w:rsidRPr="00F708B8">
        <w:tab/>
        <w:t>като има предвид, че приетият през декември 2020 г. ГРСЕСНПЧ – закон „</w:t>
      </w:r>
      <w:proofErr w:type="spellStart"/>
      <w:r w:rsidRPr="00F708B8">
        <w:t>Магнитски</w:t>
      </w:r>
      <w:proofErr w:type="spellEnd"/>
      <w:r w:rsidRPr="00F708B8">
        <w:t>“ на ЕС, дава възможност на ЕС да налага ограничителни мерки на лица и образувания, отговорни за тежки нарушения на правата на човека по света; като има предвид, че някои държави – членки на ЕС, са приели свое собствено национално законодателство от типа „</w:t>
      </w:r>
      <w:proofErr w:type="spellStart"/>
      <w:r w:rsidRPr="00F708B8">
        <w:t>Магнитски</w:t>
      </w:r>
      <w:proofErr w:type="spellEnd"/>
      <w:r w:rsidRPr="00F708B8">
        <w:t>“ и че това са важни инструменти за допълване на санкциите на ЕС; като има предвид, че Съединените щати, Канада, Обединеното кралство, Австралия и други държави със сходни възгледи са приели подобни режими на санкции; като има предвид, че сътрудничеството и координацията между държави със сходни възгледи в областта на санкциите увеличават тяхната ефективност;</w:t>
      </w:r>
    </w:p>
    <w:p w14:paraId="38C09DD8" w14:textId="77777777" w:rsidR="003B3C7F" w:rsidRPr="00F708B8" w:rsidRDefault="003B3C7F" w:rsidP="003B3C7F">
      <w:pPr>
        <w:pStyle w:val="NormalHanging12a"/>
      </w:pPr>
      <w:r w:rsidRPr="00F708B8">
        <w:t xml:space="preserve">В. </w:t>
      </w:r>
      <w:r w:rsidRPr="00F708B8">
        <w:tab/>
        <w:t xml:space="preserve">като има предвид, че Европейският съд по правата на човека, в единодушно решение от 27 август 2019 г. от седем съдии по делото </w:t>
      </w:r>
      <w:proofErr w:type="spellStart"/>
      <w:r w:rsidRPr="00F708B8">
        <w:t>Магнитски</w:t>
      </w:r>
      <w:proofErr w:type="spellEnd"/>
      <w:r w:rsidRPr="00F708B8">
        <w:t xml:space="preserve"> и други срещу Русия (жалби № 32631/09 и № 53799/12), постанови, че Русия е отговорна за смъртта на Сергей </w:t>
      </w:r>
      <w:proofErr w:type="spellStart"/>
      <w:r w:rsidRPr="00F708B8">
        <w:t>Магнитски</w:t>
      </w:r>
      <w:proofErr w:type="spellEnd"/>
      <w:r w:rsidRPr="00F708B8">
        <w:t xml:space="preserve"> в затвора и че той е бил подложен на умишлени актове на насилие, равносилни на нечовешко и унизително отношение; като има предвид, че въпреки разследванията на неговото задържане, изтезания, незаконно посмъртно наказателно преследване и смърт, никой не е подведен под наказателна отговорност;</w:t>
      </w:r>
    </w:p>
    <w:p w14:paraId="507428E1" w14:textId="77777777" w:rsidR="003B3C7F" w:rsidRPr="00F708B8" w:rsidRDefault="003B3C7F" w:rsidP="003B3C7F">
      <w:pPr>
        <w:pStyle w:val="NormalHanging12a"/>
      </w:pPr>
      <w:r w:rsidRPr="00F708B8">
        <w:t>Г.</w:t>
      </w:r>
      <w:r w:rsidRPr="00F708B8">
        <w:tab/>
        <w:t>като има предвид, че в своята резолюция от 8 юли 2021 г. относно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Парламентът приветства приемането на режима на санкции като съществено допълнение към инструментариума на ЕС в областта на правата на човека и външната политика;</w:t>
      </w:r>
    </w:p>
    <w:p w14:paraId="13512F89" w14:textId="77777777" w:rsidR="003B3C7F" w:rsidRPr="00F708B8" w:rsidRDefault="003B3C7F" w:rsidP="003B3C7F">
      <w:pPr>
        <w:pStyle w:val="NormalHanging12a"/>
      </w:pPr>
      <w:r w:rsidRPr="00F708B8">
        <w:t>Д.</w:t>
      </w:r>
      <w:r w:rsidRPr="00F708B8">
        <w:tab/>
        <w:t>като има предвид, че ГРСЕСНПЧ – законът „</w:t>
      </w:r>
      <w:proofErr w:type="spellStart"/>
      <w:r w:rsidRPr="00F708B8">
        <w:t>Магнитски</w:t>
      </w:r>
      <w:proofErr w:type="spellEnd"/>
      <w:r w:rsidRPr="00F708B8">
        <w:t>“ на ЕС, се прилага за широк спектър от нарушения на правата на човека, а включените в списъка лица и образувания могат да включват извършители, способстващи фактори и трети страни, предоставящи материали или техническа помощ за репресии;</w:t>
      </w:r>
    </w:p>
    <w:p w14:paraId="2C994E8C" w14:textId="77777777" w:rsidR="003B3C7F" w:rsidRPr="00F708B8" w:rsidRDefault="003B3C7F" w:rsidP="003B3C7F">
      <w:pPr>
        <w:pStyle w:val="NormalHanging12a"/>
      </w:pPr>
      <w:r w:rsidRPr="00F708B8">
        <w:lastRenderedPageBreak/>
        <w:t xml:space="preserve">Е. </w:t>
      </w:r>
      <w:r w:rsidRPr="00F708B8">
        <w:tab/>
        <w:t xml:space="preserve">като има предвид, че ГРСЕСНПЧ е насочен към отделни извършители и образувания, вместо към широки икономически сектори, което намалява съпътстващите вреди за населението като цяло и избягва нанасянето на вреда на достъпа до храна, лекарства или обществени услуги; </w:t>
      </w:r>
    </w:p>
    <w:p w14:paraId="1067180B" w14:textId="77777777" w:rsidR="003B3C7F" w:rsidRPr="00F708B8" w:rsidRDefault="003B3C7F" w:rsidP="003B3C7F">
      <w:pPr>
        <w:pStyle w:val="NormalHanging12a"/>
      </w:pPr>
      <w:r w:rsidRPr="00F708B8">
        <w:t>Ж.</w:t>
      </w:r>
      <w:r w:rsidRPr="00F708B8">
        <w:tab/>
        <w:t xml:space="preserve">като има предвид, че ГРСЕСНПЧ обхваща също така широко разпространени нарушения или злоупотреби и системни или сериозни опасения по отношение на целите на общата външна политика и политика на сигурност, определени в член 21 от ДЕС, като изтезания и други форми на жестоко, нечовешко или унизително отнасяне или наказание, робство, извънсъдебни екзекуции, екзекуции по бързата процедура или произволни екзекуции и убийства, насилствено изчезване на хора, произволни арести или задържания, трафик на хора, сексуално и основано на пола насилие, нарушения или злоупотреби със свободата на мирни събрания и на сдружаване, нарушения или злоупотреби със свободата на мнение и изразяване, както и нарушения или злоупотреби със свободата на религията или убежденията;  </w:t>
      </w:r>
    </w:p>
    <w:p w14:paraId="5E1226E6" w14:textId="77777777" w:rsidR="003B3C7F" w:rsidRPr="00F708B8" w:rsidRDefault="003B3C7F" w:rsidP="003B3C7F">
      <w:pPr>
        <w:pStyle w:val="NormalHanging12a"/>
      </w:pPr>
      <w:r w:rsidRPr="00F708B8">
        <w:t>З.</w:t>
      </w:r>
      <w:r w:rsidRPr="00F708B8">
        <w:tab/>
        <w:t>като има предвид, че списъците по ГРСЕСНПЧ са форма на международно признание за жертвите на нарушения на правата на човека;</w:t>
      </w:r>
    </w:p>
    <w:p w14:paraId="796B3BA3" w14:textId="77777777" w:rsidR="003B3C7F" w:rsidRPr="00F708B8" w:rsidRDefault="003B3C7F" w:rsidP="003B3C7F">
      <w:pPr>
        <w:pStyle w:val="NormalHanging12a"/>
      </w:pPr>
      <w:r w:rsidRPr="00F708B8">
        <w:t>И.</w:t>
      </w:r>
      <w:r w:rsidRPr="00F708B8">
        <w:tab/>
        <w:t>като има предвид, че транснационалните репресии все още не са включени в списъка на тежките нарушения на правата на човека, които са основание за санкции по ГРСЕСНПЧ – закона „</w:t>
      </w:r>
      <w:proofErr w:type="spellStart"/>
      <w:r w:rsidRPr="00F708B8">
        <w:t>Магнитски</w:t>
      </w:r>
      <w:proofErr w:type="spellEnd"/>
      <w:r w:rsidRPr="00F708B8">
        <w:t xml:space="preserve">“ на ЕС; </w:t>
      </w:r>
    </w:p>
    <w:p w14:paraId="21DBE69C" w14:textId="77777777" w:rsidR="003B3C7F" w:rsidRPr="00F708B8" w:rsidRDefault="003B3C7F" w:rsidP="003B3C7F">
      <w:pPr>
        <w:pStyle w:val="NormalHanging12a"/>
      </w:pPr>
      <w:r w:rsidRPr="00F708B8">
        <w:t>Й.</w:t>
      </w:r>
      <w:r w:rsidRPr="00F708B8">
        <w:tab/>
        <w:t>като има предвид, че в множество резолюции на Парламента се призовава инструментите за налагане на санкции да се използват по по-гъвкав начин и по-често в случаи на основни международни престъпления или тежки нарушения на правата на човека;</w:t>
      </w:r>
    </w:p>
    <w:p w14:paraId="0C2AB508" w14:textId="77777777" w:rsidR="003B3C7F" w:rsidRPr="00F708B8" w:rsidRDefault="003B3C7F" w:rsidP="003B3C7F">
      <w:pPr>
        <w:pStyle w:val="NormalHanging12a"/>
      </w:pPr>
      <w:r w:rsidRPr="00F708B8">
        <w:t>К.</w:t>
      </w:r>
      <w:r w:rsidRPr="00F708B8">
        <w:tab/>
        <w:t>като има предвид, че към 4 ноември 2025 г. в списъка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е имало168 вписвания (131 лица и 37 образувания); като има предвид, че списъкът на включените по този режим се е увеличил, а за неговото въздействие и ефективност не се знае много;</w:t>
      </w:r>
    </w:p>
    <w:p w14:paraId="5D6FBCE3" w14:textId="77777777" w:rsidR="003B3C7F" w:rsidRPr="00F708B8" w:rsidRDefault="003B3C7F" w:rsidP="003B3C7F">
      <w:pPr>
        <w:pStyle w:val="NormalHanging12a"/>
      </w:pPr>
      <w:r w:rsidRPr="00F708B8">
        <w:t>Л.</w:t>
      </w:r>
      <w:r w:rsidRPr="00F708B8">
        <w:tab/>
        <w:t>като има предвид, че въпреки напредъка продължават да съществуват значителни пропуски в географския и тематичния обхват на транснационалните списъци и в установяването на критерии, съобразени с целите на санкциите; като има предвид, че въпреки няколкократните призиви на Парламента корупцията все още не се счита за престъпление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ЕС;</w:t>
      </w:r>
    </w:p>
    <w:p w14:paraId="22AE2729" w14:textId="77777777" w:rsidR="003B3C7F" w:rsidRPr="00F708B8" w:rsidRDefault="003B3C7F" w:rsidP="003B3C7F">
      <w:pPr>
        <w:pStyle w:val="NormalHanging12a"/>
      </w:pPr>
      <w:r w:rsidRPr="00F708B8">
        <w:t>М.</w:t>
      </w:r>
      <w:r w:rsidRPr="00F708B8">
        <w:tab/>
        <w:t>като има предвид, че списъците са съсредоточени предимно върху нарушенията на физическата неприкосновеност и гражданските и политическите права, особено тези, които са насочени срещу политически опоненти и активисти, предимно от мъжки пол, в авторитарни режими, а не върху основни международни престъпления, като например геноцид и престъпления срещу човечеството и системни нарушения на социално-икономическите права;</w:t>
      </w:r>
    </w:p>
    <w:p w14:paraId="0E210971" w14:textId="77777777" w:rsidR="003B3C7F" w:rsidRPr="00F708B8" w:rsidRDefault="003B3C7F" w:rsidP="003B3C7F">
      <w:pPr>
        <w:pStyle w:val="NormalHanging12a"/>
      </w:pPr>
      <w:r w:rsidRPr="00F708B8">
        <w:t>Н.</w:t>
      </w:r>
      <w:r w:rsidRPr="00F708B8">
        <w:tab/>
        <w:t>като има предвид, че в съответствие със стратегическите връзки и геополитическите интереси на ЕС списъците са концентрирани до голяма степен върху географски райони, а други области и аспекти не са разгледани в достатъчна степен;</w:t>
      </w:r>
    </w:p>
    <w:p w14:paraId="2473FAB6" w14:textId="77777777" w:rsidR="003B3C7F" w:rsidRPr="00F708B8" w:rsidRDefault="003B3C7F" w:rsidP="003B3C7F">
      <w:pPr>
        <w:pStyle w:val="NormalHanging12a"/>
      </w:pPr>
      <w:r w:rsidRPr="00F708B8">
        <w:lastRenderedPageBreak/>
        <w:t>О.</w:t>
      </w:r>
      <w:r w:rsidRPr="00F708B8">
        <w:tab/>
        <w:t>като има предвид, че поверителността във връзка с евентуално включване в списъците или заличаване от тях е от ключово значение за гарантиране на ефективността на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ЕС; като има предвид, че Парламентът следва да играе роля в този процес;</w:t>
      </w:r>
    </w:p>
    <w:p w14:paraId="1065D69C" w14:textId="77777777" w:rsidR="003B3C7F" w:rsidRPr="00F708B8" w:rsidRDefault="003B3C7F" w:rsidP="003B3C7F">
      <w:pPr>
        <w:pStyle w:val="NormalHanging12a"/>
      </w:pPr>
      <w:r w:rsidRPr="00F708B8">
        <w:t xml:space="preserve">П. </w:t>
      </w:r>
      <w:r w:rsidRPr="00F708B8">
        <w:tab/>
        <w:t>като има предвид, че е необходим парламентарен контрол на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за да се засили неговата легитимност; като има предвид, че резолюциите на Парламента, съдържащи препоръки за допълнителни вписвания, продължават да не се вземат предвид в достатъчна степен от Съвета;</w:t>
      </w:r>
    </w:p>
    <w:p w14:paraId="2DE6E4E2" w14:textId="77777777" w:rsidR="003B3C7F" w:rsidRPr="00F708B8" w:rsidRDefault="003B3C7F" w:rsidP="003B3C7F">
      <w:pPr>
        <w:pStyle w:val="NormalHanging12a"/>
      </w:pPr>
      <w:r w:rsidRPr="00F708B8">
        <w:t>Р.</w:t>
      </w:r>
      <w:r w:rsidRPr="00F708B8">
        <w:tab/>
        <w:t>като има предвид, че понастоящем в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се предвижда само замразяване на активи и забрана за издаване на визи;</w:t>
      </w:r>
    </w:p>
    <w:p w14:paraId="0DE76D26" w14:textId="77777777" w:rsidR="003B3C7F" w:rsidRPr="00F708B8" w:rsidRDefault="003B3C7F" w:rsidP="003B3C7F">
      <w:pPr>
        <w:pStyle w:val="NormalHanging12a"/>
      </w:pPr>
      <w:r w:rsidRPr="00F708B8">
        <w:t xml:space="preserve">С. </w:t>
      </w:r>
      <w:r w:rsidRPr="00F708B8">
        <w:tab/>
        <w:t>като има предвид, че сегашният режим на замразяване на активи и забрана за издаване на визи би могъл да бъде допълнен от по-нататъшни мерки, като например ограничения върху финансовите услуги, обществените поръчки и участието във финансирани от ЕС проекти, и че неговият обхват следва да бъде разширен, така че да обхване най-близкия семеен кръг на нарушителите на правата на човека;</w:t>
      </w:r>
    </w:p>
    <w:p w14:paraId="02530361" w14:textId="77777777" w:rsidR="003B3C7F" w:rsidRPr="00F708B8" w:rsidRDefault="003B3C7F" w:rsidP="003B3C7F">
      <w:pPr>
        <w:pStyle w:val="NormalHanging12a"/>
      </w:pPr>
      <w:r w:rsidRPr="00F708B8">
        <w:t>Т.</w:t>
      </w:r>
      <w:r w:rsidRPr="00F708B8">
        <w:tab/>
        <w:t>като има предвид, че насоките на Комисията продължават да бъдат недостатъчни за изясняване на обхвата на забраните за предоставяне на всякакъв вид подкрепа, включително техническа и материална подкрепа, на санкционираните лица и образувания;</w:t>
      </w:r>
    </w:p>
    <w:p w14:paraId="45B55909" w14:textId="77777777" w:rsidR="003B3C7F" w:rsidRPr="00F708B8" w:rsidRDefault="003B3C7F" w:rsidP="003B3C7F">
      <w:pPr>
        <w:pStyle w:val="NormalHanging12a"/>
      </w:pPr>
      <w:r w:rsidRPr="00F708B8">
        <w:t>У.</w:t>
      </w:r>
      <w:r w:rsidRPr="00F708B8">
        <w:tab/>
        <w:t>като има предвид, че някои пропуски в прилагането, като например клаузи за дерогация, позволяващи да се изпълняват договори, сключени преди включването на физическо лице или образувание в списъка, създават възможности за заобикаляне и намаляване на ефективността на санкциите;</w:t>
      </w:r>
    </w:p>
    <w:p w14:paraId="59257BF9" w14:textId="77777777" w:rsidR="003B3C7F" w:rsidRPr="00F708B8" w:rsidRDefault="003B3C7F" w:rsidP="003B3C7F">
      <w:pPr>
        <w:pStyle w:val="NormalHanging12a"/>
      </w:pPr>
      <w:r w:rsidRPr="00F708B8">
        <w:t>Ф.</w:t>
      </w:r>
      <w:r w:rsidRPr="00F708B8">
        <w:tab/>
        <w:t>като има предвид, че съществуващите режими на ЕС на санкции на географски принцип включват по-широки ограничения, които биха могли да допълнят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чрез кръстосани списъци;</w:t>
      </w:r>
    </w:p>
    <w:p w14:paraId="0E11D7CD" w14:textId="77777777" w:rsidR="003B3C7F" w:rsidRPr="00F708B8" w:rsidRDefault="003B3C7F" w:rsidP="003B3C7F">
      <w:pPr>
        <w:pStyle w:val="NormalHanging12a"/>
      </w:pPr>
      <w:r w:rsidRPr="00F708B8">
        <w:t>Х.</w:t>
      </w:r>
      <w:r w:rsidRPr="00F708B8">
        <w:tab/>
        <w:t>като има предвид, че ГРСЕСНПЧ – законът „</w:t>
      </w:r>
      <w:proofErr w:type="spellStart"/>
      <w:r w:rsidRPr="00F708B8">
        <w:t>Магнитски</w:t>
      </w:r>
      <w:proofErr w:type="spellEnd"/>
      <w:r w:rsidRPr="00F708B8">
        <w:t>“ на ЕС до голяма степен е съсредоточен върху длъжностни лица и служители на по-ниско равнище, докато тези, които притежават реална политическа и военна власт, често остават извън обхвата на определянето;</w:t>
      </w:r>
    </w:p>
    <w:p w14:paraId="5D908CDE" w14:textId="77777777" w:rsidR="003B3C7F" w:rsidRPr="00F708B8" w:rsidRDefault="003B3C7F" w:rsidP="003B3C7F">
      <w:pPr>
        <w:pStyle w:val="NormalHanging12a"/>
      </w:pPr>
      <w:r w:rsidRPr="00F708B8">
        <w:t>Ц.</w:t>
      </w:r>
      <w:r w:rsidRPr="00F708B8">
        <w:tab/>
        <w:t>като има предвид, че до момента вписванията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не са били насочени срещу субекти, отговорни за извършването на някои от основните международни престъпления, признати в Римския статут;</w:t>
      </w:r>
    </w:p>
    <w:p w14:paraId="0D78FFBC" w14:textId="77777777" w:rsidR="003B3C7F" w:rsidRPr="00F708B8" w:rsidRDefault="003B3C7F" w:rsidP="003B3C7F">
      <w:pPr>
        <w:pStyle w:val="NormalHanging12a"/>
      </w:pPr>
      <w:r w:rsidRPr="00F708B8">
        <w:t>Ч.</w:t>
      </w:r>
      <w:r w:rsidRPr="00F708B8">
        <w:tab/>
        <w:t>като има предвид, че участниците от гражданското общество, при липсата на структуриран механизъм за даване на принос, продължават да контактуват неофициално с институциите на ЕС, като предлагат имена за включване в списъците; като има предвид, че Европейската служба за външна дейност (ЕСВД) не разполага с ресурси за оценка, разследване и отговор на информацията, която получава;</w:t>
      </w:r>
    </w:p>
    <w:p w14:paraId="75F79607" w14:textId="77777777" w:rsidR="003B3C7F" w:rsidRPr="00F708B8" w:rsidRDefault="003B3C7F" w:rsidP="003B3C7F">
      <w:pPr>
        <w:pStyle w:val="NormalHanging12a"/>
      </w:pPr>
      <w:r w:rsidRPr="00F708B8">
        <w:t>Ш.</w:t>
      </w:r>
      <w:r w:rsidRPr="00F708B8">
        <w:tab/>
        <w:t xml:space="preserve">като има предвид, че подобрената прозрачност, координацията с механизмите за </w:t>
      </w:r>
      <w:r w:rsidRPr="00F708B8">
        <w:lastRenderedPageBreak/>
        <w:t>отчетност, координацията с международни участници и държави със сходни възгледи и използването на списъците на равнището на ООН биха засилили ефективността на режима на санкции;</w:t>
      </w:r>
    </w:p>
    <w:p w14:paraId="3643765E" w14:textId="77777777" w:rsidR="003B3C7F" w:rsidRPr="00F708B8" w:rsidRDefault="003B3C7F" w:rsidP="003B3C7F">
      <w:pPr>
        <w:pStyle w:val="NormalHanging12a"/>
      </w:pPr>
      <w:r w:rsidRPr="00F708B8">
        <w:t>Щ.</w:t>
      </w:r>
      <w:r w:rsidRPr="00F708B8">
        <w:tab/>
        <w:t>като има предвид, че някои държави членки не са спазили санкциите на ЕС, като са позволили на санкционирани лица да влизат на територията на ЕС; като има предвид, че подобно неспазване на санкциите значително вреди на доверието в ЕС и подкопава ефективността на режимите на санкции на ЕС;</w:t>
      </w:r>
    </w:p>
    <w:p w14:paraId="5520B64F" w14:textId="77777777" w:rsidR="003B3C7F" w:rsidRPr="00F708B8" w:rsidRDefault="003B3C7F" w:rsidP="003B3C7F">
      <w:pPr>
        <w:pStyle w:val="NormalHanging12a"/>
      </w:pPr>
      <w:r w:rsidRPr="00F708B8">
        <w:t xml:space="preserve">АА. </w:t>
      </w:r>
      <w:r w:rsidRPr="00F708B8">
        <w:tab/>
        <w:t>като има предвид, че прилагането до голяма степен се извършва на национално равнище и всяка държава членка отговаря за прилагането на санкциите на своята територия; като има предвид, че това създава риск от слаби звена, при които физически лица или дружества могат да се опитат да заобиколят санкциите, като прехвърлят пари или дейности в държави членки, които са по-бавни или по-малко строги по отношение на изпълнението; като има предвид, че институциите на ЕС многократно са подчертавали необходимостта от по-уеднаквено и координирано прилагане, за да станат санкциите наистина ефективни;</w:t>
      </w:r>
    </w:p>
    <w:p w14:paraId="62FEDD72" w14:textId="77777777" w:rsidR="003B3C7F" w:rsidRPr="00F708B8" w:rsidRDefault="003B3C7F" w:rsidP="003B3C7F">
      <w:pPr>
        <w:pStyle w:val="NormalHanging12a"/>
      </w:pPr>
      <w:r w:rsidRPr="00F708B8">
        <w:t>АБ.</w:t>
      </w:r>
      <w:r w:rsidRPr="00F708B8">
        <w:tab/>
        <w:t>като има предвид, че в редица резолюции Парламентът призова за въвеждане на гласуване с квалифицирано мнозинство за приемането на санкции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ЕС;</w:t>
      </w:r>
    </w:p>
    <w:p w14:paraId="66825C11" w14:textId="77777777" w:rsidR="003B3C7F" w:rsidRPr="00F708B8" w:rsidRDefault="003B3C7F" w:rsidP="003B3C7F">
      <w:pPr>
        <w:pStyle w:val="NormalHanging12a"/>
      </w:pPr>
      <w:r w:rsidRPr="00F708B8">
        <w:t>АВ.</w:t>
      </w:r>
      <w:r w:rsidRPr="00F708B8">
        <w:tab/>
        <w:t>като има предвид, че удължаването до декември 2026 г. на срока на действие на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предоставя възможност за преразглеждане на режима;</w:t>
      </w:r>
    </w:p>
    <w:p w14:paraId="3212E978" w14:textId="77777777" w:rsidR="003B3C7F" w:rsidRPr="00F708B8" w:rsidRDefault="003B3C7F" w:rsidP="003B3C7F">
      <w:pPr>
        <w:pStyle w:val="NormalHanging12a"/>
      </w:pPr>
      <w:r w:rsidRPr="00F708B8">
        <w:t>1.</w:t>
      </w:r>
      <w:r w:rsidRPr="00F708B8">
        <w:tab/>
        <w:t>отново изразява своята подкрепа за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като незаменим инструмент на външната политика за засилване на правата на човека по света и укрепване на инструментариума на ЕС в областта на правата на човека, особено като се има предвид неговият капацитет да допринася за промяна на поведението на лицата и образуванията, срещу които са насочени мерките, и за усилията за търсене на отговорност от преките извършители, способстващите фактори, подбудителите и непреките поддръжници на тежки нарушения на правата на човека, както и за тези, които извличат пряко или непряко ползи от тези нарушение, включително техния най-близък семеен кръг;</w:t>
      </w:r>
      <w:r w:rsidRPr="00F708B8">
        <w:rPr>
          <w:color w:val="538135" w:themeColor="accent6" w:themeShade="BF"/>
        </w:rPr>
        <w:t xml:space="preserve"> </w:t>
      </w:r>
      <w:r w:rsidRPr="00F708B8">
        <w:t>подчертава, че инструментът е разработен така, че да не засяга упражняването на правата на човека от населението;</w:t>
      </w:r>
    </w:p>
    <w:p w14:paraId="1A936CA6" w14:textId="77777777" w:rsidR="003B3C7F" w:rsidRPr="00F708B8" w:rsidRDefault="003B3C7F" w:rsidP="003B3C7F">
      <w:pPr>
        <w:pStyle w:val="NormalHanging12a"/>
      </w:pPr>
      <w:r w:rsidRPr="00F708B8">
        <w:t>2.</w:t>
      </w:r>
      <w:r w:rsidRPr="00F708B8">
        <w:tab/>
        <w:t>отново потвърждава непоколебимия си ангажимент за борба с безнаказаността за тежки нарушения и злоупотреби с правата на човека по света чрез ефективно използване на съществуващите инструменти и средства на ЕС за налагане на санкции, включително ГРСЕСНПЧ – закона „</w:t>
      </w:r>
      <w:proofErr w:type="spellStart"/>
      <w:r w:rsidRPr="00F708B8">
        <w:t>Магнитски</w:t>
      </w:r>
      <w:proofErr w:type="spellEnd"/>
      <w:r w:rsidRPr="00F708B8">
        <w:t xml:space="preserve">“ на ЕС; отново потвърждава непоколебимия си ангажимент към международната съдебна система, която е изправена пред безпрецедентни предизвикателства, включително неоснователни санкции срещу съдии и служители на Международния наказателен съд, някои от които са граждани на ЕС; във връзка с това настоятелно призовава </w:t>
      </w:r>
      <w:r w:rsidRPr="00F708B8">
        <w:lastRenderedPageBreak/>
        <w:t>ЕС да задейства своя Блокиращ регламент</w:t>
      </w:r>
      <w:r w:rsidRPr="00F708B8">
        <w:rPr>
          <w:rStyle w:val="FootnoteReference"/>
        </w:rPr>
        <w:footnoteReference w:id="21"/>
      </w:r>
      <w:r w:rsidRPr="00F708B8">
        <w:t>, за да ограничи въздействието на тези санкции;</w:t>
      </w:r>
    </w:p>
    <w:p w14:paraId="24BBDDCB" w14:textId="77777777" w:rsidR="003B3C7F" w:rsidRPr="00F708B8" w:rsidRDefault="003B3C7F" w:rsidP="003B3C7F">
      <w:pPr>
        <w:pStyle w:val="NormalHanging12a"/>
        <w:rPr>
          <w:b/>
          <w:bCs/>
          <w:i/>
          <w:iCs/>
          <w:szCs w:val="24"/>
        </w:rPr>
      </w:pPr>
      <w:r w:rsidRPr="00F708B8">
        <w:rPr>
          <w:b/>
          <w:i/>
        </w:rPr>
        <w:t>Съгласуваност на политиките и стратегическа ефективност</w:t>
      </w:r>
    </w:p>
    <w:p w14:paraId="56388525" w14:textId="77777777" w:rsidR="003B3C7F" w:rsidRPr="00F708B8" w:rsidRDefault="003B3C7F" w:rsidP="003B3C7F">
      <w:pPr>
        <w:pStyle w:val="NormalHanging12a"/>
      </w:pPr>
      <w:r w:rsidRPr="00F708B8">
        <w:t>3.</w:t>
      </w:r>
      <w:r w:rsidRPr="00F708B8">
        <w:tab/>
        <w:t>призовава за всеобхватна оценка на въздействието на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и неговите взаимодействия със специфичните за конкретни държави санкции и другите хоризонтални ограничителни мерки на ЕС, за да се направи оценка на неговата съгласуваност, пропорционалност и ефективност, включително по отношение на промяната на поведението на включените в списъците лица, да се установят оперативните пропуски и да се гарантира последователно и стратегическо прилагане в световен мащаб, и призовава за преразглеждане на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в съответствие с констатациите от тази оценка на въздействието;</w:t>
      </w:r>
    </w:p>
    <w:p w14:paraId="5158B275" w14:textId="77777777" w:rsidR="003B3C7F" w:rsidRPr="00F708B8" w:rsidRDefault="003B3C7F" w:rsidP="003B3C7F">
      <w:pPr>
        <w:pStyle w:val="NormalHanging12a"/>
      </w:pPr>
      <w:r w:rsidRPr="00F708B8">
        <w:t>4.</w:t>
      </w:r>
      <w:r w:rsidRPr="00F708B8">
        <w:tab/>
        <w:t>призовава за непрекъснато и систематично преразглеждане на списъците, изготвени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поне веднъж на всеки 12 месеца, за да се гарантира тяхната съгласуваност, пропорционалност и съответствие с най-актуалната информация и съдебни решения;</w:t>
      </w:r>
    </w:p>
    <w:p w14:paraId="52C3206C" w14:textId="77777777" w:rsidR="003B3C7F" w:rsidRPr="00F708B8" w:rsidRDefault="003B3C7F" w:rsidP="003B3C7F">
      <w:pPr>
        <w:pStyle w:val="NormalHanging12a"/>
      </w:pPr>
      <w:r w:rsidRPr="00F708B8">
        <w:t>5.</w:t>
      </w:r>
      <w:r w:rsidRPr="00F708B8">
        <w:tab/>
        <w:t>счита, че следва да се предостави повече информация относно критериите за заличаване от списъците, за да се укрепи правната яснота, законосъобразната процедура, прозрачността и отчетността;</w:t>
      </w:r>
    </w:p>
    <w:p w14:paraId="22BFBAFC" w14:textId="77777777" w:rsidR="003B3C7F" w:rsidRPr="00F708B8" w:rsidRDefault="003B3C7F" w:rsidP="003B3C7F">
      <w:pPr>
        <w:pStyle w:val="NormalHanging12a"/>
      </w:pPr>
      <w:r w:rsidRPr="00F708B8">
        <w:t>6.</w:t>
      </w:r>
      <w:r w:rsidRPr="00F708B8">
        <w:tab/>
        <w:t>отново заявява, че е важно ГРСЕСНПЧ – законът „</w:t>
      </w:r>
      <w:proofErr w:type="spellStart"/>
      <w:r w:rsidRPr="00F708B8">
        <w:t>Магнитски</w:t>
      </w:r>
      <w:proofErr w:type="spellEnd"/>
      <w:r w:rsidRPr="00F708B8">
        <w:t>“ на ЕС, да бъде съгласуван със специфичните за всяка държава и хоризонталните ограничителни мерки на ЕС, секторните мерки и оръжейното ембарго, както и съществуващите международни рамки за санкции;</w:t>
      </w:r>
    </w:p>
    <w:p w14:paraId="307510AB" w14:textId="77777777" w:rsidR="003B3C7F" w:rsidRPr="00F708B8" w:rsidRDefault="003B3C7F" w:rsidP="003B3C7F">
      <w:pPr>
        <w:pStyle w:val="NormalHanging12a"/>
      </w:pPr>
      <w:r w:rsidRPr="00F708B8">
        <w:t>7.</w:t>
      </w:r>
      <w:r w:rsidRPr="00F708B8">
        <w:tab/>
        <w:t>насърчава Съвета да се стреми да приведе списъците на ГРСЕСНПЧ – закона „</w:t>
      </w:r>
      <w:proofErr w:type="spellStart"/>
      <w:r w:rsidRPr="00F708B8">
        <w:t>Магнитски</w:t>
      </w:r>
      <w:proofErr w:type="spellEnd"/>
      <w:r w:rsidRPr="00F708B8">
        <w:t xml:space="preserve">“ на ЕС, в съответствие със списъците със санкции на </w:t>
      </w:r>
      <w:proofErr w:type="spellStart"/>
      <w:r w:rsidRPr="00F708B8">
        <w:t>единомислещи</w:t>
      </w:r>
      <w:proofErr w:type="spellEnd"/>
      <w:r w:rsidRPr="00F708B8">
        <w:t xml:space="preserve"> партньори, особено тези от Г-7, и на Съвета за сигурност на ООН, когато това е осъществимо от политическа и правна гледна точка, за да се повиши глобалната легитимност и ефективност; </w:t>
      </w:r>
    </w:p>
    <w:p w14:paraId="160D2FAA" w14:textId="77777777" w:rsidR="003B3C7F" w:rsidRPr="00F708B8" w:rsidRDefault="003B3C7F" w:rsidP="003B3C7F">
      <w:pPr>
        <w:pStyle w:val="NormalHanging12a"/>
      </w:pPr>
      <w:r w:rsidRPr="00F708B8">
        <w:t>8.</w:t>
      </w:r>
      <w:r w:rsidRPr="00F708B8">
        <w:tab/>
        <w:t>призовава Комисията и държавите членки да засилят полезните взаимодействия между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и международните механизми за отчетност като ООН, Международния наказателен съд и регионалните съдилища по правата на човека, за да се подобри ефективността на действията на ЕС срещу сериозни нарушения на правата на човека;</w:t>
      </w:r>
    </w:p>
    <w:p w14:paraId="12EA416F" w14:textId="77777777" w:rsidR="003B3C7F" w:rsidRPr="00F708B8" w:rsidRDefault="003B3C7F" w:rsidP="003B3C7F">
      <w:pPr>
        <w:pStyle w:val="NormalHanging12a"/>
      </w:pPr>
      <w:r w:rsidRPr="00F708B8">
        <w:t>9.</w:t>
      </w:r>
      <w:r w:rsidRPr="00F708B8">
        <w:tab/>
        <w:t>подчертава, че е важно страните – кандидатки за членство в ЕС, и потенциалните страни кандидатки да действат в синхрон с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в съответствие с тяхното синхронизиране в по-широк смисъл с общата външна политика и политиката на сигурност на ЕС;</w:t>
      </w:r>
    </w:p>
    <w:p w14:paraId="3FDD0D66" w14:textId="77777777" w:rsidR="003B3C7F" w:rsidRPr="00F708B8" w:rsidRDefault="003B3C7F" w:rsidP="003B3C7F">
      <w:pPr>
        <w:pStyle w:val="NormalHanging12a"/>
      </w:pPr>
      <w:r w:rsidRPr="00F708B8">
        <w:lastRenderedPageBreak/>
        <w:t>10.</w:t>
      </w:r>
      <w:r w:rsidRPr="00F708B8">
        <w:tab/>
        <w:t>напълно подкрепя като част от рамката на ЕС да бъдат налагани целенасочени санкции за борба с корупцията, което е отдавнашен приоритет на Парламента, независимо дали чрез включването им в ГРСЕСНПЧ – закона „</w:t>
      </w:r>
      <w:proofErr w:type="spellStart"/>
      <w:r w:rsidRPr="00F708B8">
        <w:t>Магнитски</w:t>
      </w:r>
      <w:proofErr w:type="spellEnd"/>
      <w:r w:rsidRPr="00F708B8">
        <w:t xml:space="preserve">“ на ЕС, или чрез различен режим; препоръчва разширяване на обхвата на режима, така че да обхване случаите на мащабна корупция и злоупотреба с договори за държавни поръчки, които пряко поддържат авторитарни режими, като по този начин нарушенията на правата на човека се свързват с </w:t>
      </w:r>
      <w:proofErr w:type="spellStart"/>
      <w:r w:rsidRPr="00F708B8">
        <w:t>клептократични</w:t>
      </w:r>
      <w:proofErr w:type="spellEnd"/>
      <w:r w:rsidRPr="00F708B8">
        <w:t xml:space="preserve"> практики; освен това подчертава, че санкциите за борба с корупцията следва да вземат предвид по-широкия системен контекст и да бъдат тясно свързани с всеобхватни стратегии за съответните участници; приветства факта, че Комисията представи предложение за режим на санкции за борба с корупцията; изразява съжаление, че някои държави членки блокираха досието в Съвета;</w:t>
      </w:r>
    </w:p>
    <w:p w14:paraId="1E57E63C" w14:textId="77777777" w:rsidR="003B3C7F" w:rsidRPr="00F708B8" w:rsidRDefault="003B3C7F" w:rsidP="003B3C7F">
      <w:pPr>
        <w:pStyle w:val="NormalHanging12a"/>
      </w:pPr>
      <w:r w:rsidRPr="00F708B8">
        <w:t xml:space="preserve">11. </w:t>
      </w:r>
      <w:r w:rsidRPr="00F708B8">
        <w:tab/>
        <w:t>подчертава, че ГРСЕСНПЧ – законът „</w:t>
      </w:r>
      <w:proofErr w:type="spellStart"/>
      <w:r w:rsidRPr="00F708B8">
        <w:t>Магнитски</w:t>
      </w:r>
      <w:proofErr w:type="spellEnd"/>
      <w:r w:rsidRPr="00F708B8">
        <w:t>“ на ЕС, следва също така да разглежда нарушенията на правата на човека, които са възможни чрез цифрово наблюдение, износ на шпионски софтуер и други технологии, използвани за репресии, и умишлени актове на унищожаване на околната среда с ясното намерение да се навреди на цивилното население; призовава за изрични списъци на лицата, участващи в такива злоупотреби;</w:t>
      </w:r>
    </w:p>
    <w:p w14:paraId="2D286005" w14:textId="77777777" w:rsidR="003B3C7F" w:rsidRPr="00F708B8" w:rsidRDefault="003B3C7F" w:rsidP="003B3C7F">
      <w:pPr>
        <w:pStyle w:val="NormalHanging12a"/>
      </w:pPr>
      <w:r w:rsidRPr="00F708B8">
        <w:t xml:space="preserve">12. </w:t>
      </w:r>
      <w:r w:rsidRPr="00F708B8">
        <w:tab/>
        <w:t>приветства неотдавнашното използване на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срещу участници, отговорни за транснационални репресии срещу дисиденти и защитници на правата на човека, и призовава за повече вписвания, за да се отрази тази нарастваща глобална тенденция, и систематично да се оценяват актовете на транснационални репресии, включително цифрово наблюдение, тормоз на изгнаници и трансгранично сплашване, дезинформация и правни злоупотреби; призовава Съвета да приеме работно определение за транснационална репресия, за да се гарантира последователно санкциониране, включително на недържавни марионетни сили като частни охранителни дружества и организации на диаспората; призовава ЕС да засили прилагането на санкции срещу лица и образувания, за които има надеждни доказателства, че са отговорни за актове на транснационални репресии срещу защитници на правата на човека, включително тормоз на роднини, цифрови нападения и сплашване в чужбина;</w:t>
      </w:r>
    </w:p>
    <w:p w14:paraId="00F85997" w14:textId="77777777" w:rsidR="003B3C7F" w:rsidRPr="00F708B8" w:rsidRDefault="003B3C7F" w:rsidP="003B3C7F">
      <w:pPr>
        <w:pStyle w:val="NormalHanging12a"/>
      </w:pPr>
      <w:r w:rsidRPr="00F708B8">
        <w:t>13.</w:t>
      </w:r>
      <w:r w:rsidRPr="00F708B8">
        <w:tab/>
        <w:t>настоятелно призовава държавите членки да се въздържат от двустранни политически или дипломатически действия, които подкопават техния ангажимент към международните механизми за наказателно правосъдие, включително Римския статут, и към защитата на правата на човека, или които противоречат на единната позиция на ЕС спрямо санкциите; възлага на заместник-председателя на Комисията/върховен представител на Съюза по въпросите на външните работи и политиката на сигурност, в случай че настоящата препоръка не бъде взета предвид, да призове съответните държави членки да съгласуват действията си и да запазят единството на ЕС; приканва държавите членки да засилят координацията и да използват собствените си инструменти, като универсална юрисдикция и национални санкции, при условие че те се прилагат по координиран начин в подкрепа на общите цели на ЕС, така че да доведат до значителни промени и да спомогнат за постигане на целите на санкциите на ЕС;</w:t>
      </w:r>
    </w:p>
    <w:p w14:paraId="5291AB0E" w14:textId="77777777" w:rsidR="003B3C7F" w:rsidRPr="00F708B8" w:rsidRDefault="003B3C7F" w:rsidP="003B3C7F">
      <w:pPr>
        <w:pStyle w:val="NormalHanging12a"/>
      </w:pPr>
      <w:r w:rsidRPr="00F708B8">
        <w:t>14.</w:t>
      </w:r>
      <w:r w:rsidRPr="00F708B8">
        <w:tab/>
        <w:t xml:space="preserve">осъжда факта, че някои държави – членки на ЕС, не са спазили санкциите на ЕС, като са позволили на санкционирани лица да влизат на територията на ЕС, като по </w:t>
      </w:r>
      <w:r w:rsidRPr="00F708B8">
        <w:lastRenderedPageBreak/>
        <w:t>този начин са накърнили надеждността и ефективността на санкциите; настоятелно призовава всички държави – членки на ЕС, да спазват изцяло и безусловно санкциите на ЕС; призовава Комисията, в качеството си на пазител на Договорите, да гарантира, че държавите – членки на ЕС, спазват санкциите, и да действа строго и без дискриминация при всички случаи на неспазване от държавите членки;</w:t>
      </w:r>
    </w:p>
    <w:p w14:paraId="395C1094" w14:textId="77777777" w:rsidR="003B3C7F" w:rsidRPr="00F708B8" w:rsidRDefault="003B3C7F" w:rsidP="003B3C7F">
      <w:pPr>
        <w:pStyle w:val="NormalHanging12a"/>
      </w:pPr>
      <w:r w:rsidRPr="00F708B8">
        <w:t>15.</w:t>
      </w:r>
      <w:r w:rsidRPr="00F708B8">
        <w:tab/>
        <w:t xml:space="preserve">подчертава, че ограничителните мерки на ЕС могат да бъдат напълно ефективни само ако се тълкуват, изпълняват и прилагат последователно, бързо и еднакво от всички държави членки; отбелязва различията между държавите членки по отношение на правните рамки, административните структури и оперативните ресурси за прилагане на санкциите; поради това призовава Комисията и държавите членки да предприемат необходимите стъпки за осигуряване на по-хармонизирано и координирано прилагане, включително чрез засилване на капацитета за замразяване на активи, подобряване на обмена на информация и разработване на общи механизми за мониторинг и прилагане на равнището на ЕС; </w:t>
      </w:r>
    </w:p>
    <w:p w14:paraId="1BF4D090" w14:textId="77777777" w:rsidR="003B3C7F" w:rsidRPr="00F708B8" w:rsidRDefault="003B3C7F" w:rsidP="003B3C7F">
      <w:pPr>
        <w:pStyle w:val="NormalHanging12a"/>
      </w:pPr>
      <w:r w:rsidRPr="00F708B8">
        <w:t>16.</w:t>
      </w:r>
      <w:r w:rsidRPr="00F708B8">
        <w:tab/>
        <w:t>настоятелно призовава ЕСВД да определи законни пътища за мобилизиране на лихвите, натрупани от замразени активи на лица, санкционирани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така че да могат да се използват в полза на жертвите на тежки нарушения на правата на човека, за които са отговорни санкционираните лица; освен това насърчава ЕС да проучи възможността за създаване на специална процедура по отношение на незаконните печалби;</w:t>
      </w:r>
    </w:p>
    <w:p w14:paraId="19F1F324" w14:textId="77777777" w:rsidR="003B3C7F" w:rsidRPr="00F708B8" w:rsidRDefault="003B3C7F" w:rsidP="003B3C7F">
      <w:pPr>
        <w:pStyle w:val="NormalHanging12a"/>
      </w:pPr>
      <w:r w:rsidRPr="00F708B8">
        <w:t>17.</w:t>
      </w:r>
      <w:r w:rsidRPr="00F708B8">
        <w:tab/>
        <w:t>горещо приветства приемането от Съвета на тематични пакети от санкции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ЕС; настоятелно призовава Съвета систематично и проактивно да приема подобни целенасочени мерки за справяне с други конкретни и тежки нарушения на правата на човека, включително изтезания, насилствени изчезвания, произволно задържане и репресии срещу гражданското общество и защитниците на правата на човека;</w:t>
      </w:r>
    </w:p>
    <w:p w14:paraId="720962D9" w14:textId="77777777" w:rsidR="003B3C7F" w:rsidRPr="00F708B8" w:rsidRDefault="003B3C7F" w:rsidP="003B3C7F">
      <w:pPr>
        <w:pStyle w:val="NormalHanging12a"/>
        <w:rPr>
          <w:bCs/>
          <w:iCs/>
        </w:rPr>
      </w:pPr>
      <w:r w:rsidRPr="00F708B8">
        <w:t xml:space="preserve">18. </w:t>
      </w:r>
      <w:r w:rsidRPr="00F708B8">
        <w:tab/>
        <w:t>отново призовава Съвета да премине постепенно към гласуване с квалифицирано мнозинство за решения в области на общата външна политика и политика на сигурност, които нямат военни или свързани с отбраната последици, като например санкции;</w:t>
      </w:r>
    </w:p>
    <w:p w14:paraId="6D221691" w14:textId="77777777" w:rsidR="003B3C7F" w:rsidRPr="00F708B8" w:rsidRDefault="003B3C7F" w:rsidP="003B3C7F">
      <w:pPr>
        <w:pStyle w:val="NormalHanging12a"/>
        <w:rPr>
          <w:b/>
          <w:bCs/>
          <w:i/>
          <w:iCs/>
          <w:szCs w:val="24"/>
        </w:rPr>
      </w:pPr>
      <w:r w:rsidRPr="00F708B8">
        <w:rPr>
          <w:b/>
          <w:i/>
        </w:rPr>
        <w:t>Засилване на борбата срещу безнаказаността</w:t>
      </w:r>
    </w:p>
    <w:p w14:paraId="4FC89CB4" w14:textId="77777777" w:rsidR="003B3C7F" w:rsidRPr="00F708B8" w:rsidRDefault="003B3C7F" w:rsidP="003B3C7F">
      <w:pPr>
        <w:pStyle w:val="NormalHanging12a"/>
      </w:pPr>
      <w:r w:rsidRPr="00F708B8">
        <w:t>19.</w:t>
      </w:r>
      <w:r w:rsidRPr="00F708B8">
        <w:tab/>
        <w:t>призовава режимът на санкции на ЕС да бъде съгласуван с международното наказателно право, с международното хуманитарно право и с политиките на ЕС, свързани с принципите на правовата държава и основните свободи, както и да ги допълва, така че да се засили борбата срещу безнаказаността в световен мащаб;</w:t>
      </w:r>
    </w:p>
    <w:p w14:paraId="5E30921C" w14:textId="77777777" w:rsidR="003B3C7F" w:rsidRPr="00F708B8" w:rsidRDefault="003B3C7F" w:rsidP="003B3C7F">
      <w:pPr>
        <w:pStyle w:val="NormalHanging12a"/>
      </w:pPr>
      <w:r w:rsidRPr="00F708B8">
        <w:t>20.</w:t>
      </w:r>
      <w:r w:rsidRPr="00F708B8">
        <w:tab/>
        <w:t>настоятелно призовава ЕС стратегически да приведе вписванията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в съответствие с националните и международните усилия в областта на наказателното правосъдие, включително чрез включване в списъка на лица, обвинени от международни съдилища като Международния наказателен съд, извършители на основни международни престъпления и други участници, които възпрепятстват такива процедури на отчетност;</w:t>
      </w:r>
    </w:p>
    <w:p w14:paraId="08622B85" w14:textId="77777777" w:rsidR="003B3C7F" w:rsidRPr="00F708B8" w:rsidRDefault="003B3C7F" w:rsidP="003B3C7F">
      <w:pPr>
        <w:pStyle w:val="NormalHanging12a"/>
      </w:pPr>
      <w:r w:rsidRPr="00F708B8">
        <w:t>21.</w:t>
      </w:r>
      <w:r w:rsidRPr="00F708B8">
        <w:tab/>
        <w:t xml:space="preserve">подчертава, че санкциите следва също така да служат за гарантиране, че </w:t>
      </w:r>
      <w:r w:rsidRPr="00F708B8">
        <w:lastRenderedPageBreak/>
        <w:t>извършителите на тежки нарушения на правата на човека и корупция не остават анонимни, като се разкриват отговорните лица;</w:t>
      </w:r>
    </w:p>
    <w:p w14:paraId="392C3DA5" w14:textId="77777777" w:rsidR="003B3C7F" w:rsidRPr="00F708B8" w:rsidRDefault="003B3C7F" w:rsidP="003B3C7F">
      <w:pPr>
        <w:pStyle w:val="NormalHanging12a"/>
      </w:pPr>
      <w:r w:rsidRPr="00F708B8">
        <w:t>22.</w:t>
      </w:r>
      <w:r w:rsidRPr="00F708B8">
        <w:tab/>
        <w:t>настоятелно призовава Съвета да гарантира, че всички региони по света се третират с еднакъв контрол и ангажимент, и да коригира настоящите географски и тематични дисбаланси в списъците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като разшири списъците отвъд настоящия географски фокус, така че да включват всички лица и образувания, отговорни за тежки нарушения на правата на човека, независимо от държавата им на произход;</w:t>
      </w:r>
    </w:p>
    <w:p w14:paraId="7145C2D9" w14:textId="77777777" w:rsidR="003B3C7F" w:rsidRPr="00F708B8" w:rsidRDefault="003B3C7F" w:rsidP="003B3C7F">
      <w:pPr>
        <w:pStyle w:val="NormalHanging12a"/>
      </w:pPr>
      <w:r w:rsidRPr="00F708B8">
        <w:t>23.</w:t>
      </w:r>
      <w:r w:rsidRPr="00F708B8">
        <w:tab/>
        <w:t xml:space="preserve">насърчава Съвета да обръща специално внимание на нарушения като сексуалното и основаното на пола насилие, дискриминационните политики и преследването на жени лидери, журналисти и активисти, така че тези категории да бъдат отразени по подходящ начин при бъдещо включване в списъка; </w:t>
      </w:r>
    </w:p>
    <w:p w14:paraId="1C50EBDB" w14:textId="77777777" w:rsidR="003B3C7F" w:rsidRPr="00F708B8" w:rsidRDefault="003B3C7F" w:rsidP="003B3C7F">
      <w:pPr>
        <w:pStyle w:val="NormalHanging12a"/>
      </w:pPr>
      <w:r w:rsidRPr="00F708B8">
        <w:t>24.</w:t>
      </w:r>
      <w:r w:rsidRPr="00F708B8">
        <w:tab/>
        <w:t>отбелязва, че до момента значителна част от лицата, санкционирани по ГРСЕСНПЧ – закона „</w:t>
      </w:r>
      <w:proofErr w:type="spellStart"/>
      <w:r w:rsidRPr="00F708B8">
        <w:t>Магнитски</w:t>
      </w:r>
      <w:proofErr w:type="spellEnd"/>
      <w:r w:rsidRPr="00F708B8">
        <w:t xml:space="preserve">“ на ЕС, са участвали в репресивния апарат на държавата, но не са вземали решения, а само малцинство от включените в списъка заемат ръководни политически или военни позиции; настоятелно призовава Съвета да разшири определянията отвъд тези на ниско равнище, така че да включват политически и военни лидери, като санкционира лицата, отговорни за вземането на решения, довели до тежки нарушения на правата на човека; </w:t>
      </w:r>
    </w:p>
    <w:p w14:paraId="6774EF1F" w14:textId="77777777" w:rsidR="003B3C7F" w:rsidRPr="00F708B8" w:rsidRDefault="003B3C7F" w:rsidP="003B3C7F">
      <w:pPr>
        <w:pStyle w:val="NormalHanging12a"/>
      </w:pPr>
      <w:r w:rsidRPr="00F708B8">
        <w:t>25.</w:t>
      </w:r>
      <w:r w:rsidRPr="00F708B8">
        <w:tab/>
        <w:t>призовава за повече и по-ефективна ефективна комуникация относно наложените санкции, за да се изтъкне отново глобалната позиция на ЕС по отношение на правата на човека и борбата с безнаказаността, тъй като в някои случаи санкционираните лица се представят от националната пропаганда за герои и дори се възнаграждават от репресивните режими; отбелязва, че възпиращият елемент на ГРСЕСНПЧ – закона „</w:t>
      </w:r>
      <w:proofErr w:type="spellStart"/>
      <w:r w:rsidRPr="00F708B8">
        <w:t>Магнитски</w:t>
      </w:r>
      <w:proofErr w:type="spellEnd"/>
      <w:r w:rsidRPr="00F708B8">
        <w:t>“ на ЕС, работи най-ефективно срещу физически лица и образувания с имущество в ЕС или средства за пътуване до ЕС;</w:t>
      </w:r>
    </w:p>
    <w:p w14:paraId="0C066BCE" w14:textId="77777777" w:rsidR="003B3C7F" w:rsidRPr="00F708B8" w:rsidRDefault="003B3C7F" w:rsidP="003B3C7F">
      <w:pPr>
        <w:pStyle w:val="NormalHanging12a"/>
      </w:pPr>
      <w:r w:rsidRPr="00F708B8">
        <w:t>26.</w:t>
      </w:r>
      <w:r w:rsidRPr="00F708B8">
        <w:tab/>
        <w:t>осъжда всички ответни санкции, наложени на ЕС или неговите институции, държави членки, органи или граждани единствено поради факта, че насърчават и зачитат правата на човека, демокрацията и принципите на правовата държава чрез ГРСЕСНПЧ – закона „</w:t>
      </w:r>
      <w:proofErr w:type="spellStart"/>
      <w:r w:rsidRPr="00F708B8">
        <w:t>Магнитски</w:t>
      </w:r>
      <w:proofErr w:type="spellEnd"/>
      <w:r w:rsidRPr="00F708B8">
        <w:t>“ на ЕС;</w:t>
      </w:r>
    </w:p>
    <w:p w14:paraId="6D6274C2" w14:textId="77777777" w:rsidR="003B3C7F" w:rsidRPr="00F708B8" w:rsidRDefault="003B3C7F" w:rsidP="003B3C7F">
      <w:pPr>
        <w:pStyle w:val="NormalHanging12a"/>
        <w:rPr>
          <w:b/>
          <w:bCs/>
          <w:i/>
          <w:iCs/>
          <w:szCs w:val="24"/>
        </w:rPr>
      </w:pPr>
      <w:r w:rsidRPr="00F708B8">
        <w:rPr>
          <w:b/>
          <w:i/>
        </w:rPr>
        <w:t>Прозрачност, отчетност и роля на гражданското общество</w:t>
      </w:r>
    </w:p>
    <w:p w14:paraId="752615C8" w14:textId="77777777" w:rsidR="003B3C7F" w:rsidRPr="00F708B8" w:rsidRDefault="003B3C7F" w:rsidP="003B3C7F">
      <w:pPr>
        <w:pStyle w:val="NormalHanging12a"/>
      </w:pPr>
      <w:r w:rsidRPr="00F708B8">
        <w:t>27.</w:t>
      </w:r>
      <w:r w:rsidRPr="00F708B8">
        <w:tab/>
        <w:t>препоръчва повече прозрачност и ясни насоки в процеса на налагане на санкции, като същевременно се зачитат правата на включените в списъка лица на ефективна правна защита;</w:t>
      </w:r>
    </w:p>
    <w:p w14:paraId="511E9BA8" w14:textId="77777777" w:rsidR="003B3C7F" w:rsidRPr="00F708B8" w:rsidRDefault="003B3C7F" w:rsidP="003B3C7F">
      <w:pPr>
        <w:pStyle w:val="NormalHanging12a"/>
      </w:pPr>
      <w:r w:rsidRPr="00F708B8">
        <w:t>28.</w:t>
      </w:r>
      <w:r w:rsidRPr="00F708B8">
        <w:tab/>
        <w:t>препоръчва устойчивата, доказуема, истинска и трайна промяна в поведението на включените в списъка лица и образувания, като например продължаващо сътрудничество с международните правосъдни механизми, да бъде официално призната като критерий за заличаване от списъка, за да се стимулират отчетността и спазването на нормите;</w:t>
      </w:r>
    </w:p>
    <w:p w14:paraId="1E465B91" w14:textId="77777777" w:rsidR="003B3C7F" w:rsidRPr="00F708B8" w:rsidRDefault="003B3C7F" w:rsidP="003B3C7F">
      <w:pPr>
        <w:pStyle w:val="NormalHanging12a"/>
      </w:pPr>
      <w:r w:rsidRPr="00F708B8">
        <w:t>29.</w:t>
      </w:r>
      <w:r w:rsidRPr="00F708B8">
        <w:tab/>
        <w:t xml:space="preserve">предлага установяване на структуриран и прозрачен механизъм за консултации за докладването и участието на гражданското общество в процеса на налагане на санкции, с мерки за защита на лицата, подаващи сигнали за нередности, </w:t>
      </w:r>
      <w:r w:rsidRPr="00F708B8">
        <w:lastRenderedPageBreak/>
        <w:t>включително създаване на специално звено за контакт в ЕСВД; препоръчва въвеждане на бюджетен прозорец за укрепване на капацитета на ЕСВД за систематично оценяване, разследване, реагиране и обработване на информация и предложения от гражданското общество;</w:t>
      </w:r>
    </w:p>
    <w:p w14:paraId="0C3393DC" w14:textId="77777777" w:rsidR="003B3C7F" w:rsidRPr="00F708B8" w:rsidRDefault="003B3C7F" w:rsidP="003B3C7F">
      <w:pPr>
        <w:pStyle w:val="NormalHanging12a"/>
      </w:pPr>
      <w:r w:rsidRPr="00F708B8">
        <w:t>30.</w:t>
      </w:r>
      <w:r w:rsidRPr="00F708B8">
        <w:tab/>
        <w:t>призовава Съвета и заместник-председателя на Комисията/върховен представител на Съюза по въпросите на външните работи и политиката на сигурност да предвидят допълнителна роля за Парламента при събирането и предлагането на случаи на сериозни нарушения на правата на човека, които да бъдат разглеждани в рамките на режима на санкции, и да предоставят на Парламента годишни доклади относно решенията за санкциите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включително заобикалянето на санкциите; призовава препоръките за включване в списъците, съдържащи се в резолюциите на Парламента, да бъдат подробно разглеждани от Съвета;</w:t>
      </w:r>
    </w:p>
    <w:p w14:paraId="31BC0BA8" w14:textId="77777777" w:rsidR="003B3C7F" w:rsidRPr="00F708B8" w:rsidRDefault="003B3C7F" w:rsidP="00F37068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F708B8">
        <w:rPr>
          <w:b/>
          <w:i/>
        </w:rPr>
        <w:t>Предотвратяване на практиките на заобикаляне и укрепване на инструментите за правоприлагане</w:t>
      </w:r>
    </w:p>
    <w:p w14:paraId="1617F05E" w14:textId="77777777" w:rsidR="003B3C7F" w:rsidRPr="00F708B8" w:rsidRDefault="003B3C7F" w:rsidP="003B3C7F">
      <w:pPr>
        <w:pStyle w:val="NormalHanging12a"/>
      </w:pPr>
      <w:r w:rsidRPr="00F708B8">
        <w:t>31.</w:t>
      </w:r>
      <w:r w:rsidRPr="00F708B8">
        <w:tab/>
        <w:t>призовава за преразглеждане на ГРСЕСНПЧ – закона „</w:t>
      </w:r>
      <w:proofErr w:type="spellStart"/>
      <w:r w:rsidRPr="00F708B8">
        <w:t>Магнитски</w:t>
      </w:r>
      <w:proofErr w:type="spellEnd"/>
      <w:r w:rsidRPr="00F708B8">
        <w:t xml:space="preserve">“ на ЕС, за да се предотврати заобикаляне на санкциите, чрез издаване на изрични и актуализирани насоки относно забраната за предоставяне на икономически ресурси и техническа и материална подкрепа на включените в списъка лица и образувания, като се поясни, че забраната за предоставяне на техническа и материална подкрепа включва нефинансова помощ, като например ИКТ инфраструктура, софтуер, правни облекчения и киберинструменти, използвани за репресии; подчертава необходимостта от укрепване на режима на санкции на ЕС чрез разширяване и разнообразяване на използването на вторични санкции с цел визиране на правителствени длъжностни лица, образувания, предприятия и лица, участващи в улесняването на нарушенията или заобикалянето на санкциите, които биха позволили на авторитарните режими да продължат своите тежки нарушения на правата на човека; </w:t>
      </w:r>
    </w:p>
    <w:p w14:paraId="2F6D12CD" w14:textId="77777777" w:rsidR="003B3C7F" w:rsidRPr="00F708B8" w:rsidRDefault="003B3C7F" w:rsidP="003B3C7F">
      <w:pPr>
        <w:pStyle w:val="NormalHanging12a"/>
      </w:pPr>
      <w:r w:rsidRPr="00F708B8">
        <w:t>32.</w:t>
      </w:r>
      <w:r w:rsidRPr="00F708B8">
        <w:tab/>
        <w:t xml:space="preserve">призовава Комисията да засили сътрудничеството с Европейския банков орган, Европейския орган за ценни книжа и пазари, Органа за борба с изпирането на пари и националните звена за финансово разузнаване, за да се установява систематично дали за избягване на санкциите се използват непрозрачни финансови продукти, </w:t>
      </w:r>
      <w:proofErr w:type="spellStart"/>
      <w:r w:rsidRPr="00F708B8">
        <w:t>криптоактиви</w:t>
      </w:r>
      <w:proofErr w:type="spellEnd"/>
      <w:r w:rsidRPr="00F708B8">
        <w:t xml:space="preserve"> и офшорни структури;</w:t>
      </w:r>
    </w:p>
    <w:p w14:paraId="06771559" w14:textId="77777777" w:rsidR="003B3C7F" w:rsidRPr="00F708B8" w:rsidRDefault="003B3C7F" w:rsidP="003B3C7F">
      <w:pPr>
        <w:pStyle w:val="NormalHanging12a"/>
      </w:pPr>
      <w:r w:rsidRPr="00F708B8">
        <w:t>33.</w:t>
      </w:r>
      <w:r w:rsidRPr="00F708B8">
        <w:tab/>
        <w:t>насърчава кръстосано включване на образувания в списъците както по ГРСЕСНПЧ – закона „</w:t>
      </w:r>
      <w:proofErr w:type="spellStart"/>
      <w:r w:rsidRPr="00F708B8">
        <w:t>Магнитски</w:t>
      </w:r>
      <w:proofErr w:type="spellEnd"/>
      <w:r w:rsidRPr="00F708B8">
        <w:t>“ на ЕС, така и по режимите на географски санкции, когато е целесъобразно;</w:t>
      </w:r>
    </w:p>
    <w:p w14:paraId="217AA6C4" w14:textId="77777777" w:rsidR="003B3C7F" w:rsidRPr="00F708B8" w:rsidRDefault="003B3C7F" w:rsidP="003B3C7F">
      <w:pPr>
        <w:pStyle w:val="NormalHanging12a"/>
      </w:pPr>
      <w:r w:rsidRPr="00F708B8">
        <w:t>34.</w:t>
      </w:r>
      <w:r w:rsidRPr="00F708B8">
        <w:tab/>
        <w:t>призовава Съвета да преразгледа клаузите за дерогация, за да се гарантира, че договорите, сключени преди включването на дадено лице в списъка, не носят ползи за членовете на неговото семейство или свързани с него лица, или за образувания, контролирани от санкционираното лице;</w:t>
      </w:r>
    </w:p>
    <w:p w14:paraId="795C5FDA" w14:textId="77777777" w:rsidR="003B3C7F" w:rsidRPr="00F708B8" w:rsidRDefault="003B3C7F" w:rsidP="003B3C7F">
      <w:pPr>
        <w:pStyle w:val="NormalHanging12a"/>
        <w:jc w:val="center"/>
      </w:pPr>
      <w:r w:rsidRPr="00F708B8">
        <w:t>°</w:t>
      </w:r>
    </w:p>
    <w:p w14:paraId="67D6264E" w14:textId="77777777" w:rsidR="003B3C7F" w:rsidRPr="00F708B8" w:rsidRDefault="003B3C7F" w:rsidP="003B3C7F">
      <w:pPr>
        <w:pStyle w:val="NormalHanging12a"/>
        <w:jc w:val="center"/>
      </w:pPr>
      <w:r w:rsidRPr="00F708B8">
        <w:t>°</w:t>
      </w:r>
      <w:r w:rsidRPr="00F708B8">
        <w:tab/>
        <w:t>°</w:t>
      </w:r>
    </w:p>
    <w:p w14:paraId="1D885EC5" w14:textId="362EAB74" w:rsidR="00F708B8" w:rsidRPr="00F708B8" w:rsidRDefault="003B3C7F" w:rsidP="00F708B8">
      <w:pPr>
        <w:pStyle w:val="NormalHanging12a"/>
      </w:pPr>
      <w:r w:rsidRPr="00F708B8">
        <w:lastRenderedPageBreak/>
        <w:t>35.</w:t>
      </w:r>
      <w:r w:rsidRPr="00F708B8">
        <w:tab/>
        <w:t>възлага на своя председател да предаде настоящата резолюция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сигурност.</w:t>
      </w:r>
    </w:p>
    <w:p w14:paraId="11288BF9" w14:textId="7C3FC86F" w:rsidR="00E365E1" w:rsidRPr="00F708B8" w:rsidRDefault="00E365E1" w:rsidP="0070553E"/>
    <w:sectPr w:rsidR="00E365E1" w:rsidRPr="00F708B8" w:rsidSect="00F708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BF582" w14:textId="77777777" w:rsidR="0070553E" w:rsidRPr="00F708B8" w:rsidRDefault="0070553E">
      <w:r w:rsidRPr="00F708B8">
        <w:separator/>
      </w:r>
    </w:p>
  </w:endnote>
  <w:endnote w:type="continuationSeparator" w:id="0">
    <w:p w14:paraId="06EABB14" w14:textId="77777777" w:rsidR="0070553E" w:rsidRPr="00F708B8" w:rsidRDefault="0070553E">
      <w:r w:rsidRPr="00F708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876CC" w14:textId="77777777" w:rsidR="00064002" w:rsidRPr="00F708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3FAE4" w14:textId="77777777" w:rsidR="00064002" w:rsidRPr="00F708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DC8E3" w14:textId="77777777" w:rsidR="00064002" w:rsidRPr="00F708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9C4BC" w14:textId="77777777" w:rsidR="0070553E" w:rsidRPr="00F708B8" w:rsidRDefault="0070553E">
      <w:r w:rsidRPr="00F708B8">
        <w:separator/>
      </w:r>
    </w:p>
  </w:footnote>
  <w:footnote w:type="continuationSeparator" w:id="0">
    <w:p w14:paraId="4986CE78" w14:textId="77777777" w:rsidR="0070553E" w:rsidRPr="00F708B8" w:rsidRDefault="0070553E">
      <w:r w:rsidRPr="00F708B8">
        <w:continuationSeparator/>
      </w:r>
    </w:p>
  </w:footnote>
  <w:footnote w:id="1">
    <w:p w14:paraId="5A0CAE52" w14:textId="4CE50859" w:rsidR="003B3C7F" w:rsidRPr="00F708B8" w:rsidRDefault="003B3C7F" w:rsidP="00F708B8">
      <w:pPr>
        <w:ind w:left="567" w:hanging="567"/>
      </w:pPr>
      <w:r w:rsidRPr="00F708B8">
        <w:rPr>
          <w:rStyle w:val="FootnoteReference"/>
        </w:rPr>
        <w:footnoteRef/>
      </w:r>
      <w:r w:rsidR="00F708B8" w:rsidRPr="00F708B8">
        <w:t xml:space="preserve"> </w:t>
      </w:r>
      <w:r w:rsidR="00F708B8" w:rsidRPr="00F708B8">
        <w:tab/>
      </w:r>
      <w:r w:rsidRPr="00F708B8">
        <w:t>OВ L 410</w:t>
      </w:r>
      <w:r w:rsidR="00CD2CC2">
        <w:t xml:space="preserve"> </w:t>
      </w:r>
      <w:r w:rsidRPr="00F708B8">
        <w:t xml:space="preserve">I, 7.12.2020 г., стр. 13, ELI: </w:t>
      </w:r>
      <w:hyperlink r:id="rId1" w:history="1">
        <w:r w:rsidRPr="00F708B8">
          <w:rPr>
            <w:rStyle w:val="Hyperlink"/>
            <w:color w:val="0563C1"/>
          </w:rPr>
          <w:t>http://data.europa.eu/eli/dec/2020/1999/oj</w:t>
        </w:r>
      </w:hyperlink>
      <w:r w:rsidRPr="00F708B8">
        <w:t>.</w:t>
      </w:r>
    </w:p>
  </w:footnote>
  <w:footnote w:id="2">
    <w:p w14:paraId="33886EE9" w14:textId="097E188D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</w:t>
      </w:r>
      <w:r w:rsidR="00F37068">
        <w:rPr>
          <w:sz w:val="24"/>
          <w:lang w:val="bg-BG"/>
        </w:rPr>
        <w:t>В</w:t>
      </w:r>
      <w:r w:rsidRPr="00F708B8">
        <w:rPr>
          <w:sz w:val="24"/>
          <w:lang w:val="bg-BG"/>
        </w:rPr>
        <w:t xml:space="preserve"> L 410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>I, 7.12.2020</w:t>
      </w:r>
      <w:r w:rsidR="00F37068">
        <w:rPr>
          <w:sz w:val="24"/>
          <w:lang w:val="bg-BG"/>
        </w:rPr>
        <w:t> г.</w:t>
      </w:r>
      <w:r w:rsidRPr="00F708B8">
        <w:rPr>
          <w:sz w:val="24"/>
          <w:lang w:val="bg-BG"/>
        </w:rPr>
        <w:t xml:space="preserve">, </w:t>
      </w:r>
      <w:r w:rsidR="00F37068">
        <w:rPr>
          <w:sz w:val="24"/>
          <w:lang w:val="bg-BG"/>
        </w:rPr>
        <w:t>стр</w:t>
      </w:r>
      <w:r w:rsidRPr="00F708B8">
        <w:rPr>
          <w:sz w:val="24"/>
          <w:lang w:val="bg-BG"/>
        </w:rPr>
        <w:t xml:space="preserve">. 1, ELI: </w:t>
      </w:r>
      <w:hyperlink r:id="rId2" w:history="1">
        <w:r w:rsidRPr="00F708B8">
          <w:rPr>
            <w:rStyle w:val="Hyperlink"/>
            <w:color w:val="0563C1"/>
            <w:sz w:val="24"/>
            <w:lang w:val="bg-BG"/>
          </w:rPr>
          <w:t>http://data.europa.eu/eli/reg/2020/1998/oj</w:t>
        </w:r>
      </w:hyperlink>
      <w:r w:rsidRPr="00F708B8">
        <w:rPr>
          <w:sz w:val="24"/>
          <w:lang w:val="bg-BG"/>
        </w:rPr>
        <w:t xml:space="preserve">. </w:t>
      </w:r>
    </w:p>
  </w:footnote>
  <w:footnote w:id="3">
    <w:p w14:paraId="1413A26F" w14:textId="45809803" w:rsidR="003B3C7F" w:rsidRPr="00F708B8" w:rsidRDefault="003B3C7F" w:rsidP="00F708B8">
      <w:pPr>
        <w:ind w:left="567" w:hanging="567"/>
      </w:pPr>
      <w:r w:rsidRPr="00F708B8">
        <w:rPr>
          <w:rStyle w:val="FootnoteReference"/>
        </w:rPr>
        <w:footnoteRef/>
      </w:r>
      <w:r w:rsidR="00F708B8" w:rsidRPr="00F708B8">
        <w:t xml:space="preserve"> </w:t>
      </w:r>
      <w:r w:rsidR="00F708B8" w:rsidRPr="00F708B8">
        <w:tab/>
      </w:r>
      <w:r w:rsidRPr="00F708B8">
        <w:t>OВ L 71</w:t>
      </w:r>
      <w:r w:rsidR="00CD2CC2">
        <w:t xml:space="preserve"> </w:t>
      </w:r>
      <w:r w:rsidRPr="00F708B8">
        <w:t xml:space="preserve">I, 2.3.2021 г., стр. 1, ELI: </w:t>
      </w:r>
      <w:hyperlink r:id="rId3" w:history="1">
        <w:r w:rsidRPr="00F708B8">
          <w:rPr>
            <w:rStyle w:val="Hyperlink"/>
            <w:color w:val="0563C1"/>
          </w:rPr>
          <w:t>http://data.europa.eu/eli/reg_impl/2021/371/oj</w:t>
        </w:r>
      </w:hyperlink>
      <w:r w:rsidRPr="00F708B8">
        <w:t xml:space="preserve">. </w:t>
      </w:r>
    </w:p>
  </w:footnote>
  <w:footnote w:id="4">
    <w:p w14:paraId="504B423B" w14:textId="71548D2B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OВ L 99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 xml:space="preserve">I, 22.3.2021 г., стр. 1, ELI: </w:t>
      </w:r>
      <w:hyperlink r:id="rId4" w:history="1">
        <w:r w:rsidRPr="00F708B8">
          <w:rPr>
            <w:rStyle w:val="Hyperlink"/>
            <w:color w:val="0563C1"/>
            <w:sz w:val="24"/>
            <w:lang w:val="bg-BG"/>
          </w:rPr>
          <w:t>http://data.europa.eu/eli/reg_impl/2021/478/oj</w:t>
        </w:r>
      </w:hyperlink>
      <w:r w:rsidRPr="00F708B8">
        <w:rPr>
          <w:sz w:val="24"/>
          <w:lang w:val="bg-BG"/>
        </w:rPr>
        <w:t xml:space="preserve">. </w:t>
      </w:r>
    </w:p>
  </w:footnote>
  <w:footnote w:id="5">
    <w:p w14:paraId="7238BD54" w14:textId="7EDA4519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2025/1111, 28.5.2025 г., ELI: </w:t>
      </w:r>
      <w:hyperlink r:id="rId5" w:history="1">
        <w:r w:rsidRPr="00F708B8">
          <w:rPr>
            <w:rStyle w:val="Hyperlink"/>
            <w:color w:val="0563C1"/>
            <w:sz w:val="24"/>
            <w:lang w:val="bg-BG"/>
          </w:rPr>
          <w:t>http://data.europa.eu/eli/reg_impl/2025/1111/oj</w:t>
        </w:r>
      </w:hyperlink>
      <w:r w:rsidRPr="00F708B8">
        <w:rPr>
          <w:sz w:val="24"/>
          <w:lang w:val="bg-BG"/>
        </w:rPr>
        <w:t xml:space="preserve">. </w:t>
      </w:r>
    </w:p>
  </w:footnote>
  <w:footnote w:id="6">
    <w:p w14:paraId="05C42EF0" w14:textId="53B8A1E8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OВ L 71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 xml:space="preserve">I, 2.3.2021 г., стр. 6, ELI: </w:t>
      </w:r>
      <w:hyperlink r:id="rId6" w:history="1">
        <w:r w:rsidRPr="00F708B8">
          <w:rPr>
            <w:rStyle w:val="Hyperlink"/>
            <w:color w:val="0563C1"/>
            <w:sz w:val="24"/>
            <w:lang w:val="bg-BG"/>
          </w:rPr>
          <w:t>http://data.europa.eu/eli/dec/2021/372/oj</w:t>
        </w:r>
      </w:hyperlink>
      <w:r w:rsidRPr="00F708B8">
        <w:rPr>
          <w:sz w:val="24"/>
          <w:lang w:val="bg-BG"/>
        </w:rPr>
        <w:t xml:space="preserve">. </w:t>
      </w:r>
    </w:p>
  </w:footnote>
  <w:footnote w:id="7">
    <w:p w14:paraId="5249648F" w14:textId="6D2821B6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OВ L 99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 xml:space="preserve">I, 22.3.2021 г., стр. 25, ELI: </w:t>
      </w:r>
      <w:hyperlink r:id="rId7" w:history="1">
        <w:r w:rsidRPr="00F708B8">
          <w:rPr>
            <w:rStyle w:val="Hyperlink"/>
            <w:color w:val="0563C1"/>
            <w:sz w:val="24"/>
            <w:lang w:val="bg-BG"/>
          </w:rPr>
          <w:t>http://data.europa.eu/eli/dec/2021/481/oj</w:t>
        </w:r>
      </w:hyperlink>
      <w:r w:rsidRPr="00F708B8">
        <w:rPr>
          <w:sz w:val="24"/>
          <w:lang w:val="bg-BG"/>
        </w:rPr>
        <w:t xml:space="preserve">. </w:t>
      </w:r>
    </w:p>
  </w:footnote>
  <w:footnote w:id="8">
    <w:p w14:paraId="64A3A4B4" w14:textId="37A23A8E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OВ L 445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 xml:space="preserve">I, 13.12.2021 г., стр. 17, ELI: </w:t>
      </w:r>
      <w:hyperlink r:id="rId8" w:history="1">
        <w:r w:rsidRPr="00F708B8">
          <w:rPr>
            <w:rStyle w:val="Hyperlink"/>
            <w:color w:val="0563C1"/>
            <w:sz w:val="24"/>
            <w:lang w:val="bg-BG"/>
          </w:rPr>
          <w:t>http://data.europa.eu/eli/dec/2021/2197/oj</w:t>
        </w:r>
      </w:hyperlink>
      <w:r w:rsidRPr="00F708B8">
        <w:rPr>
          <w:sz w:val="24"/>
          <w:lang w:val="bg-BG"/>
        </w:rPr>
        <w:t xml:space="preserve">. </w:t>
      </w:r>
    </w:p>
  </w:footnote>
  <w:footnote w:id="9">
    <w:p w14:paraId="74F276A9" w14:textId="65AD21BD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OВ L 183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 xml:space="preserve">I, 20.7.2023 г., стр. 60, ELI: </w:t>
      </w:r>
      <w:hyperlink r:id="rId9" w:history="1">
        <w:r w:rsidRPr="00F708B8">
          <w:rPr>
            <w:rStyle w:val="Hyperlink"/>
            <w:color w:val="0563C1"/>
            <w:sz w:val="24"/>
            <w:lang w:val="bg-BG"/>
          </w:rPr>
          <w:t>http://data.europa.eu/eli/dec/2023/1504/oj</w:t>
        </w:r>
      </w:hyperlink>
      <w:r w:rsidRPr="00F708B8">
        <w:rPr>
          <w:sz w:val="24"/>
          <w:lang w:val="bg-BG"/>
        </w:rPr>
        <w:t xml:space="preserve">. </w:t>
      </w:r>
    </w:p>
  </w:footnote>
  <w:footnote w:id="10">
    <w:p w14:paraId="14BF3978" w14:textId="3DF44CCA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OВ L 221</w:t>
      </w:r>
      <w:r w:rsidR="00CD2CC2">
        <w:rPr>
          <w:sz w:val="24"/>
          <w:lang w:val="bg-BG"/>
        </w:rPr>
        <w:t xml:space="preserve"> </w:t>
      </w:r>
      <w:r w:rsidRPr="00F708B8">
        <w:rPr>
          <w:sz w:val="24"/>
          <w:lang w:val="bg-BG"/>
        </w:rPr>
        <w:t xml:space="preserve">I, 8.9.2023 г., стр. 6, ELI: </w:t>
      </w:r>
      <w:hyperlink r:id="rId10" w:history="1">
        <w:r w:rsidRPr="00F708B8">
          <w:rPr>
            <w:rStyle w:val="Hyperlink"/>
            <w:sz w:val="24"/>
            <w:lang w:val="bg-BG"/>
          </w:rPr>
          <w:t>http://data.europa.eu/eli/dec/2023/1716/oj</w:t>
        </w:r>
      </w:hyperlink>
      <w:r w:rsidRPr="00F708B8">
        <w:rPr>
          <w:sz w:val="24"/>
          <w:lang w:val="bg-BG"/>
        </w:rPr>
        <w:t xml:space="preserve">. </w:t>
      </w:r>
    </w:p>
  </w:footnote>
  <w:footnote w:id="11">
    <w:p w14:paraId="070C5EAE" w14:textId="3CF45CB7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OВ L, 2024/1025, 5.4.2024 г., ELI: </w:t>
      </w:r>
      <w:hyperlink r:id="rId11" w:history="1">
        <w:r w:rsidRPr="00F708B8">
          <w:rPr>
            <w:rStyle w:val="Hyperlink"/>
            <w:sz w:val="24"/>
            <w:lang w:val="bg-BG"/>
          </w:rPr>
          <w:t>http://data.europa.eu/eli/dec/2024/1025/oj</w:t>
        </w:r>
      </w:hyperlink>
      <w:r w:rsidRPr="00F708B8">
        <w:rPr>
          <w:sz w:val="24"/>
          <w:lang w:val="bg-BG"/>
        </w:rPr>
        <w:t xml:space="preserve">. </w:t>
      </w:r>
    </w:p>
  </w:footnote>
  <w:footnote w:id="12">
    <w:p w14:paraId="0098E187" w14:textId="5A120F08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2024/1074, 12.4.2024 г., ELI: </w:t>
      </w:r>
      <w:hyperlink r:id="rId12" w:history="1">
        <w:r w:rsidRPr="00F708B8">
          <w:rPr>
            <w:rStyle w:val="Hyperlink"/>
            <w:sz w:val="24"/>
            <w:lang w:val="bg-BG"/>
          </w:rPr>
          <w:t>http://data.europa.eu/eli/dec/2024/1074/oj</w:t>
        </w:r>
      </w:hyperlink>
      <w:r w:rsidRPr="00F708B8">
        <w:rPr>
          <w:sz w:val="24"/>
          <w:lang w:val="bg-BG"/>
        </w:rPr>
        <w:t xml:space="preserve">. </w:t>
      </w:r>
    </w:p>
  </w:footnote>
  <w:footnote w:id="13">
    <w:p w14:paraId="0410A0E2" w14:textId="42F09832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2024/1175, 19.4.2024 г., ELI: </w:t>
      </w:r>
      <w:hyperlink r:id="rId13" w:history="1">
        <w:r w:rsidRPr="00F708B8">
          <w:rPr>
            <w:rStyle w:val="Hyperlink"/>
            <w:sz w:val="24"/>
            <w:lang w:val="bg-BG"/>
          </w:rPr>
          <w:t>http://data.europa.eu/eli/dec/2024/1175/oj</w:t>
        </w:r>
      </w:hyperlink>
      <w:r w:rsidRPr="00F708B8">
        <w:rPr>
          <w:sz w:val="24"/>
          <w:lang w:val="bg-BG"/>
        </w:rPr>
        <w:t xml:space="preserve">. </w:t>
      </w:r>
    </w:p>
  </w:footnote>
  <w:footnote w:id="14">
    <w:p w14:paraId="0CF8B15B" w14:textId="230BA058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OВ L, 2024/1967, 15.7.2024 г., ELI: </w:t>
      </w:r>
      <w:hyperlink r:id="rId14" w:history="1">
        <w:r w:rsidRPr="00F708B8">
          <w:rPr>
            <w:rStyle w:val="Hyperlink"/>
            <w:sz w:val="24"/>
            <w:lang w:val="bg-BG"/>
          </w:rPr>
          <w:t>http://data.europa.eu/eli/dec/2024/1967/oj</w:t>
        </w:r>
      </w:hyperlink>
      <w:r w:rsidRPr="00F708B8">
        <w:rPr>
          <w:sz w:val="24"/>
          <w:lang w:val="bg-BG"/>
        </w:rPr>
        <w:t xml:space="preserve">. </w:t>
      </w:r>
    </w:p>
  </w:footnote>
  <w:footnote w:id="15">
    <w:p w14:paraId="3BB8B853" w14:textId="4460FF1F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2024/3004, 3.12.2024 г., ELI: </w:t>
      </w:r>
      <w:hyperlink r:id="rId15" w:history="1">
        <w:r w:rsidRPr="00F708B8">
          <w:rPr>
            <w:rStyle w:val="Hyperlink"/>
            <w:sz w:val="24"/>
            <w:lang w:val="bg-BG"/>
          </w:rPr>
          <w:t>http://data.europa.eu/eli/dec/2024/3004/oj</w:t>
        </w:r>
      </w:hyperlink>
      <w:r w:rsidRPr="00F708B8">
        <w:rPr>
          <w:sz w:val="24"/>
          <w:lang w:val="bg-BG"/>
        </w:rPr>
        <w:t xml:space="preserve">. </w:t>
      </w:r>
    </w:p>
  </w:footnote>
  <w:footnote w:id="16">
    <w:p w14:paraId="38840E91" w14:textId="15D0DB35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2025/346, 19.2.2025 г., ELI: </w:t>
      </w:r>
      <w:hyperlink r:id="rId16" w:history="1">
        <w:r w:rsidRPr="00F708B8">
          <w:rPr>
            <w:rStyle w:val="Hyperlink"/>
            <w:sz w:val="24"/>
            <w:lang w:val="bg-BG"/>
          </w:rPr>
          <w:t>http://data.europa.eu/eli/dec/2025/346/oj</w:t>
        </w:r>
      </w:hyperlink>
      <w:r w:rsidRPr="00F708B8">
        <w:rPr>
          <w:sz w:val="24"/>
          <w:lang w:val="bg-BG"/>
        </w:rPr>
        <w:t xml:space="preserve">. </w:t>
      </w:r>
    </w:p>
  </w:footnote>
  <w:footnote w:id="17">
    <w:p w14:paraId="3D2FA87E" w14:textId="3BC7C64B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2025/1110, 28.5.2025 г., ELI: </w:t>
      </w:r>
      <w:hyperlink r:id="rId17" w:history="1">
        <w:r w:rsidRPr="00F708B8">
          <w:rPr>
            <w:rStyle w:val="Hyperlink"/>
            <w:sz w:val="24"/>
            <w:lang w:val="bg-BG"/>
          </w:rPr>
          <w:t>http://data.europa.eu/eli/dec/2025/1110/oj</w:t>
        </w:r>
      </w:hyperlink>
      <w:r w:rsidRPr="00F708B8">
        <w:rPr>
          <w:sz w:val="24"/>
          <w:lang w:val="bg-BG"/>
        </w:rPr>
        <w:t xml:space="preserve">. </w:t>
      </w:r>
    </w:p>
  </w:footnote>
  <w:footnote w:id="18">
    <w:p w14:paraId="685FBF1D" w14:textId="05022B01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>ОВ С 99, 1.3.2022 г</w:t>
      </w:r>
      <w:r w:rsidR="00F37068">
        <w:rPr>
          <w:sz w:val="24"/>
          <w:lang w:val="bg-BG"/>
        </w:rPr>
        <w:t>.</w:t>
      </w:r>
      <w:r w:rsidRPr="00F708B8">
        <w:rPr>
          <w:sz w:val="24"/>
          <w:lang w:val="bg-BG"/>
        </w:rPr>
        <w:t>, стр. 152.</w:t>
      </w:r>
    </w:p>
  </w:footnote>
  <w:footnote w:id="19">
    <w:p w14:paraId="3C33B778" w14:textId="7A6310CC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="00436597" w:rsidRPr="002863C9">
        <w:rPr>
          <w:sz w:val="24"/>
          <w:lang w:val="fi-FI"/>
        </w:rPr>
        <w:t>O</w:t>
      </w:r>
      <w:r w:rsidR="00436597">
        <w:rPr>
          <w:sz w:val="24"/>
          <w:lang w:val="bg-BG"/>
        </w:rPr>
        <w:t>В</w:t>
      </w:r>
      <w:r w:rsidR="00436597" w:rsidRPr="00CD2CC2">
        <w:rPr>
          <w:sz w:val="24"/>
          <w:lang w:val="ru-RU"/>
        </w:rPr>
        <w:t xml:space="preserve"> </w:t>
      </w:r>
      <w:r w:rsidR="00436597" w:rsidRPr="002863C9">
        <w:rPr>
          <w:sz w:val="24"/>
          <w:lang w:val="fi-FI"/>
        </w:rPr>
        <w:t>C</w:t>
      </w:r>
      <w:r w:rsidR="00436597" w:rsidRPr="00CD2CC2">
        <w:rPr>
          <w:sz w:val="24"/>
          <w:lang w:val="ru-RU"/>
        </w:rPr>
        <w:t xml:space="preserve">, </w:t>
      </w:r>
      <w:r w:rsidR="00436597" w:rsidRPr="002863C9">
        <w:rPr>
          <w:sz w:val="24"/>
          <w:lang w:val="fi-FI"/>
        </w:rPr>
        <w:t>C</w:t>
      </w:r>
      <w:r w:rsidR="00436597" w:rsidRPr="00CD2CC2">
        <w:rPr>
          <w:sz w:val="24"/>
          <w:lang w:val="ru-RU"/>
        </w:rPr>
        <w:t>/2025/4390, 9.9.2025</w:t>
      </w:r>
      <w:r w:rsidR="00436597">
        <w:rPr>
          <w:sz w:val="24"/>
          <w:lang w:val="bg-BG"/>
        </w:rPr>
        <w:t> г.</w:t>
      </w:r>
      <w:r w:rsidR="00436597" w:rsidRPr="00CD2CC2">
        <w:rPr>
          <w:sz w:val="24"/>
          <w:lang w:val="ru-RU"/>
        </w:rPr>
        <w:t xml:space="preserve">, </w:t>
      </w:r>
      <w:r w:rsidR="00436597" w:rsidRPr="002863C9">
        <w:rPr>
          <w:sz w:val="24"/>
          <w:lang w:val="fi-FI"/>
        </w:rPr>
        <w:t>ELI</w:t>
      </w:r>
      <w:r w:rsidR="00436597" w:rsidRPr="00CD2CC2">
        <w:rPr>
          <w:sz w:val="24"/>
          <w:lang w:val="ru-RU"/>
        </w:rPr>
        <w:t xml:space="preserve">: </w:t>
      </w:r>
      <w:hyperlink r:id="rId18" w:history="1">
        <w:r w:rsidR="00436597" w:rsidRPr="00436597">
          <w:rPr>
            <w:rStyle w:val="Hyperlink"/>
            <w:szCs w:val="24"/>
            <w:lang w:val="fi-FI"/>
          </w:rPr>
          <w:t>http</w:t>
        </w:r>
        <w:r w:rsidR="00436597" w:rsidRPr="00CD2CC2">
          <w:rPr>
            <w:rStyle w:val="Hyperlink"/>
            <w:szCs w:val="24"/>
            <w:lang w:val="ru-RU"/>
          </w:rPr>
          <w:t>://</w:t>
        </w:r>
        <w:r w:rsidR="00436597" w:rsidRPr="00436597">
          <w:rPr>
            <w:rStyle w:val="Hyperlink"/>
            <w:szCs w:val="24"/>
            <w:lang w:val="fi-FI"/>
          </w:rPr>
          <w:t>data</w:t>
        </w:r>
        <w:r w:rsidR="00436597" w:rsidRPr="00CD2CC2">
          <w:rPr>
            <w:rStyle w:val="Hyperlink"/>
            <w:szCs w:val="24"/>
            <w:lang w:val="ru-RU"/>
          </w:rPr>
          <w:t>.</w:t>
        </w:r>
        <w:r w:rsidR="00436597" w:rsidRPr="00436597">
          <w:rPr>
            <w:rStyle w:val="Hyperlink"/>
            <w:szCs w:val="24"/>
            <w:lang w:val="fi-FI"/>
          </w:rPr>
          <w:t>europa</w:t>
        </w:r>
        <w:r w:rsidR="00436597" w:rsidRPr="00CD2CC2">
          <w:rPr>
            <w:rStyle w:val="Hyperlink"/>
            <w:szCs w:val="24"/>
            <w:lang w:val="ru-RU"/>
          </w:rPr>
          <w:t>.</w:t>
        </w:r>
        <w:proofErr w:type="spellStart"/>
        <w:r w:rsidR="00436597" w:rsidRPr="00436597">
          <w:rPr>
            <w:rStyle w:val="Hyperlink"/>
            <w:szCs w:val="24"/>
            <w:lang w:val="fi-FI"/>
          </w:rPr>
          <w:t>eu</w:t>
        </w:r>
        <w:proofErr w:type="spellEnd"/>
        <w:r w:rsidR="00436597" w:rsidRPr="00CD2CC2">
          <w:rPr>
            <w:rStyle w:val="Hyperlink"/>
            <w:szCs w:val="24"/>
            <w:lang w:val="ru-RU"/>
          </w:rPr>
          <w:t>/</w:t>
        </w:r>
        <w:r w:rsidR="00436597" w:rsidRPr="00436597">
          <w:rPr>
            <w:rStyle w:val="Hyperlink"/>
            <w:szCs w:val="24"/>
            <w:lang w:val="fi-FI"/>
          </w:rPr>
          <w:t>eli</w:t>
        </w:r>
        <w:r w:rsidR="00436597" w:rsidRPr="00CD2CC2">
          <w:rPr>
            <w:rStyle w:val="Hyperlink"/>
            <w:szCs w:val="24"/>
            <w:lang w:val="ru-RU"/>
          </w:rPr>
          <w:t>/</w:t>
        </w:r>
        <w:r w:rsidR="00436597" w:rsidRPr="00436597">
          <w:rPr>
            <w:rStyle w:val="Hyperlink"/>
            <w:szCs w:val="24"/>
            <w:lang w:val="fi-FI"/>
          </w:rPr>
          <w:t>C</w:t>
        </w:r>
        <w:r w:rsidR="00436597" w:rsidRPr="00CD2CC2">
          <w:rPr>
            <w:rStyle w:val="Hyperlink"/>
            <w:szCs w:val="24"/>
            <w:lang w:val="ru-RU"/>
          </w:rPr>
          <w:t>/2025/4390/</w:t>
        </w:r>
        <w:proofErr w:type="spellStart"/>
        <w:r w:rsidR="00436597" w:rsidRPr="00436597">
          <w:rPr>
            <w:rStyle w:val="Hyperlink"/>
            <w:szCs w:val="24"/>
            <w:lang w:val="fi-FI"/>
          </w:rPr>
          <w:t>oj</w:t>
        </w:r>
        <w:proofErr w:type="spellEnd"/>
      </w:hyperlink>
    </w:p>
  </w:footnote>
  <w:footnote w:id="20">
    <w:p w14:paraId="27123AB5" w14:textId="52A2F0BC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ОВ L, 2023/2721, 5.12.2023 г., ELI: </w:t>
      </w:r>
      <w:hyperlink r:id="rId19" w:history="1">
        <w:r w:rsidRPr="00F708B8">
          <w:rPr>
            <w:rStyle w:val="Hyperlink"/>
            <w:sz w:val="24"/>
            <w:lang w:val="bg-BG"/>
          </w:rPr>
          <w:t>http://data.europa.eu/eli/dec/2023/2721/oj</w:t>
        </w:r>
      </w:hyperlink>
      <w:r w:rsidRPr="00F708B8">
        <w:rPr>
          <w:sz w:val="24"/>
          <w:lang w:val="bg-BG"/>
        </w:rPr>
        <w:t xml:space="preserve">. </w:t>
      </w:r>
    </w:p>
  </w:footnote>
  <w:footnote w:id="21">
    <w:p w14:paraId="0162E981" w14:textId="50CA228B" w:rsidR="003B3C7F" w:rsidRPr="00F708B8" w:rsidRDefault="003B3C7F" w:rsidP="00F708B8">
      <w:pPr>
        <w:pStyle w:val="FootnoteText"/>
        <w:ind w:left="567" w:hanging="567"/>
        <w:rPr>
          <w:sz w:val="24"/>
          <w:lang w:val="bg-BG"/>
        </w:rPr>
      </w:pPr>
      <w:r w:rsidRPr="00F708B8">
        <w:rPr>
          <w:rStyle w:val="FootnoteReference"/>
          <w:sz w:val="24"/>
          <w:lang w:val="bg-BG"/>
        </w:rPr>
        <w:footnoteRef/>
      </w:r>
      <w:r w:rsidR="00F708B8" w:rsidRPr="00F708B8">
        <w:rPr>
          <w:sz w:val="24"/>
          <w:lang w:val="bg-BG"/>
        </w:rPr>
        <w:t xml:space="preserve"> </w:t>
      </w:r>
      <w:r w:rsidR="00F708B8" w:rsidRPr="00F708B8">
        <w:rPr>
          <w:sz w:val="24"/>
          <w:lang w:val="bg-BG"/>
        </w:rPr>
        <w:tab/>
      </w:r>
      <w:r w:rsidRPr="00F708B8">
        <w:rPr>
          <w:sz w:val="24"/>
          <w:lang w:val="bg-BG"/>
        </w:rPr>
        <w:t xml:space="preserve">Регламент (ЕО) № 2271/96 на Съвета от 22 ноември 1996 г. относно защитата срещу последиците от извънтериториалното прилагане на законодателство, прието от трета страна, и действията, предприети на основание това законодателство или произтичащи от него (ОВ L 309, 29.11.1996 г., стр. </w:t>
      </w:r>
      <w:r w:rsidRPr="00F708B8">
        <w:rPr>
          <w:sz w:val="24"/>
          <w:lang w:val="bg-BG"/>
        </w:rPr>
        <w:t>1, ELI: </w:t>
      </w:r>
      <w:hyperlink r:id="rId20" w:history="1">
        <w:r w:rsidRPr="00F708B8">
          <w:rPr>
            <w:rStyle w:val="Hyperlink"/>
            <w:sz w:val="24"/>
            <w:lang w:val="bg-BG"/>
          </w:rPr>
          <w:t>http://data.europa.eu/eli/reg/1996/2271/oj</w:t>
        </w:r>
      </w:hyperlink>
      <w:r w:rsidRPr="00F708B8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B2F54" w14:textId="77777777" w:rsidR="00064002" w:rsidRPr="00F708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63839" w14:textId="77777777" w:rsidR="00064002" w:rsidRPr="00F708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B2A83" w14:textId="77777777" w:rsidR="00064002" w:rsidRPr="00F708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4440737">
    <w:abstractNumId w:val="9"/>
  </w:num>
  <w:num w:numId="2" w16cid:durableId="1541817957">
    <w:abstractNumId w:val="9"/>
  </w:num>
  <w:num w:numId="3" w16cid:durableId="1125346218">
    <w:abstractNumId w:val="7"/>
  </w:num>
  <w:num w:numId="4" w16cid:durableId="1525284972">
    <w:abstractNumId w:val="7"/>
  </w:num>
  <w:num w:numId="5" w16cid:durableId="1673602014">
    <w:abstractNumId w:val="6"/>
  </w:num>
  <w:num w:numId="6" w16cid:durableId="1284387450">
    <w:abstractNumId w:val="6"/>
  </w:num>
  <w:num w:numId="7" w16cid:durableId="1419061101">
    <w:abstractNumId w:val="5"/>
  </w:num>
  <w:num w:numId="8" w16cid:durableId="93282267">
    <w:abstractNumId w:val="5"/>
  </w:num>
  <w:num w:numId="9" w16cid:durableId="719401394">
    <w:abstractNumId w:val="4"/>
  </w:num>
  <w:num w:numId="10" w16cid:durableId="1303804959">
    <w:abstractNumId w:val="4"/>
  </w:num>
  <w:num w:numId="11" w16cid:durableId="1440023341">
    <w:abstractNumId w:val="8"/>
  </w:num>
  <w:num w:numId="12" w16cid:durableId="1066803695">
    <w:abstractNumId w:val="8"/>
  </w:num>
  <w:num w:numId="13" w16cid:durableId="640114333">
    <w:abstractNumId w:val="3"/>
  </w:num>
  <w:num w:numId="14" w16cid:durableId="1314720991">
    <w:abstractNumId w:val="3"/>
  </w:num>
  <w:num w:numId="15" w16cid:durableId="1936398904">
    <w:abstractNumId w:val="2"/>
  </w:num>
  <w:num w:numId="16" w16cid:durableId="14426135">
    <w:abstractNumId w:val="2"/>
  </w:num>
  <w:num w:numId="17" w16cid:durableId="1226912498">
    <w:abstractNumId w:val="1"/>
  </w:num>
  <w:num w:numId="18" w16cid:durableId="651982232">
    <w:abstractNumId w:val="1"/>
  </w:num>
  <w:num w:numId="19" w16cid:durableId="310716022">
    <w:abstractNumId w:val="0"/>
  </w:num>
  <w:num w:numId="20" w16cid:durableId="813839173">
    <w:abstractNumId w:val="0"/>
  </w:num>
  <w:num w:numId="21" w16cid:durableId="674000170">
    <w:abstractNumId w:val="9"/>
  </w:num>
  <w:num w:numId="22" w16cid:durableId="1406879662">
    <w:abstractNumId w:val="7"/>
  </w:num>
  <w:num w:numId="23" w16cid:durableId="836924660">
    <w:abstractNumId w:val="6"/>
  </w:num>
  <w:num w:numId="24" w16cid:durableId="814109557">
    <w:abstractNumId w:val="5"/>
  </w:num>
  <w:num w:numId="25" w16cid:durableId="1168906777">
    <w:abstractNumId w:val="4"/>
  </w:num>
  <w:num w:numId="26" w16cid:durableId="1367758790">
    <w:abstractNumId w:val="8"/>
  </w:num>
  <w:num w:numId="27" w16cid:durableId="1744596573">
    <w:abstractNumId w:val="3"/>
  </w:num>
  <w:num w:numId="28" w16cid:durableId="28185900">
    <w:abstractNumId w:val="2"/>
  </w:num>
  <w:num w:numId="29" w16cid:durableId="1898009860">
    <w:abstractNumId w:val="1"/>
  </w:num>
  <w:num w:numId="30" w16cid:durableId="1338003494">
    <w:abstractNumId w:val="0"/>
  </w:num>
  <w:num w:numId="31" w16cid:durableId="2007172466">
    <w:abstractNumId w:val="9"/>
  </w:num>
  <w:num w:numId="32" w16cid:durableId="428626212">
    <w:abstractNumId w:val="7"/>
  </w:num>
  <w:num w:numId="33" w16cid:durableId="1279681775">
    <w:abstractNumId w:val="6"/>
  </w:num>
  <w:num w:numId="34" w16cid:durableId="461388995">
    <w:abstractNumId w:val="5"/>
  </w:num>
  <w:num w:numId="35" w16cid:durableId="1467166481">
    <w:abstractNumId w:val="4"/>
  </w:num>
  <w:num w:numId="36" w16cid:durableId="13266322">
    <w:abstractNumId w:val="8"/>
  </w:num>
  <w:num w:numId="37" w16cid:durableId="1880162852">
    <w:abstractNumId w:val="3"/>
  </w:num>
  <w:num w:numId="38" w16cid:durableId="643855536">
    <w:abstractNumId w:val="2"/>
  </w:num>
  <w:num w:numId="39" w16cid:durableId="1525316015">
    <w:abstractNumId w:val="1"/>
  </w:num>
  <w:num w:numId="40" w16cid:durableId="716007196">
    <w:abstractNumId w:val="0"/>
  </w:num>
  <w:num w:numId="41" w16cid:durableId="1539244435">
    <w:abstractNumId w:val="10"/>
  </w:num>
  <w:num w:numId="42" w16cid:durableId="1436512761">
    <w:abstractNumId w:val="10"/>
  </w:num>
  <w:num w:numId="43" w16cid:durableId="1442257521">
    <w:abstractNumId w:val="10"/>
  </w:num>
  <w:num w:numId="44" w16cid:durableId="1022899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BG"/>
    <w:docVar w:name="dvnumam" w:val="0"/>
    <w:docVar w:name="dvpe" w:val="775.385"/>
    <w:docVar w:name="dvrapporteur" w:val="Докладчик: "/>
    <w:docVar w:name="dvtitre" w:val="Резолюция на Европейския парламент от ... 2026 г. относно борбата с безнаказаността чрез санкции на ЕС, включително глобалния режим на санкции на ЕС за нарушения на правата на човека (т.нар. закон „Магнитски“ на ЕС)(2025/2049(INI))"/>
  </w:docVars>
  <w:rsids>
    <w:rsidRoot w:val="0070553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3C7F"/>
    <w:rsid w:val="003E15D4"/>
    <w:rsid w:val="00411CCE"/>
    <w:rsid w:val="0041666E"/>
    <w:rsid w:val="00421060"/>
    <w:rsid w:val="0043659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747"/>
    <w:rsid w:val="00560270"/>
    <w:rsid w:val="005C2568"/>
    <w:rsid w:val="005F1B17"/>
    <w:rsid w:val="006037C0"/>
    <w:rsid w:val="006631B6"/>
    <w:rsid w:val="00680577"/>
    <w:rsid w:val="006F74FA"/>
    <w:rsid w:val="0070553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5B9"/>
    <w:rsid w:val="009509D8"/>
    <w:rsid w:val="00950B64"/>
    <w:rsid w:val="00981893"/>
    <w:rsid w:val="009E119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210"/>
    <w:rsid w:val="00BD48FE"/>
    <w:rsid w:val="00BD7BD8"/>
    <w:rsid w:val="00BE6ADC"/>
    <w:rsid w:val="00C05BFE"/>
    <w:rsid w:val="00C23CD4"/>
    <w:rsid w:val="00C61C0C"/>
    <w:rsid w:val="00C941CB"/>
    <w:rsid w:val="00CC2357"/>
    <w:rsid w:val="00CD2CC2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068"/>
    <w:rsid w:val="00F5134D"/>
    <w:rsid w:val="00F708B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84659F"/>
  <w15:chartTrackingRefBased/>
  <w15:docId w15:val="{8918B78C-BE34-48D8-BE41-BAAE70F48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B3C7F"/>
    <w:rPr>
      <w:b/>
    </w:rPr>
  </w:style>
  <w:style w:type="paragraph" w:customStyle="1" w:styleId="NormalHanging12a">
    <w:name w:val="NormalHanging12a"/>
    <w:basedOn w:val="Normal"/>
    <w:rsid w:val="003B3C7F"/>
    <w:pPr>
      <w:spacing w:after="240"/>
      <w:ind w:left="567" w:hanging="567"/>
    </w:pPr>
  </w:style>
  <w:style w:type="paragraph" w:customStyle="1" w:styleId="EPComma">
    <w:name w:val="EPComma"/>
    <w:basedOn w:val="Normal"/>
    <w:rsid w:val="003B3C7F"/>
    <w:pPr>
      <w:spacing w:before="480" w:after="240"/>
    </w:pPr>
  </w:style>
  <w:style w:type="character" w:styleId="Hyperlink">
    <w:name w:val="Hyperlink"/>
    <w:basedOn w:val="DefaultParagraphFont"/>
    <w:rsid w:val="003B3C7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36597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436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1/2197/oj" TargetMode="External"/><Relationship Id="rId13" Type="http://schemas.openxmlformats.org/officeDocument/2006/relationships/hyperlink" Target="http://data.europa.eu/eli/dec/2024/1175/oj" TargetMode="External"/><Relationship Id="rId18" Type="http://schemas.openxmlformats.org/officeDocument/2006/relationships/hyperlink" Target="http://data.europa.eu/eli/C/2025/4390/oj" TargetMode="External"/><Relationship Id="rId3" Type="http://schemas.openxmlformats.org/officeDocument/2006/relationships/hyperlink" Target="http://data.europa.eu/eli/reg_impl/2021/371/oj" TargetMode="External"/><Relationship Id="rId7" Type="http://schemas.openxmlformats.org/officeDocument/2006/relationships/hyperlink" Target="http://data.europa.eu/eli/dec/2021/481/oj" TargetMode="External"/><Relationship Id="rId12" Type="http://schemas.openxmlformats.org/officeDocument/2006/relationships/hyperlink" Target="http://data.europa.eu/eli/dec/2024/1074/oj" TargetMode="External"/><Relationship Id="rId17" Type="http://schemas.openxmlformats.org/officeDocument/2006/relationships/hyperlink" Target="http://data.europa.eu/eli/dec/2025/1110/oj" TargetMode="External"/><Relationship Id="rId2" Type="http://schemas.openxmlformats.org/officeDocument/2006/relationships/hyperlink" Target="http://data.europa.eu/eli/reg/2020/1998/oj" TargetMode="External"/><Relationship Id="rId16" Type="http://schemas.openxmlformats.org/officeDocument/2006/relationships/hyperlink" Target="http://data.europa.eu/eli/dec/2025/346/oj" TargetMode="External"/><Relationship Id="rId20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dec/2020/1999/oj" TargetMode="External"/><Relationship Id="rId6" Type="http://schemas.openxmlformats.org/officeDocument/2006/relationships/hyperlink" Target="http://data.europa.eu/eli/dec/2021/372/oj" TargetMode="External"/><Relationship Id="rId11" Type="http://schemas.openxmlformats.org/officeDocument/2006/relationships/hyperlink" Target="http://data.europa.eu/eli/dec/2024/1025/oj" TargetMode="External"/><Relationship Id="rId5" Type="http://schemas.openxmlformats.org/officeDocument/2006/relationships/hyperlink" Target="http://data.europa.eu/eli/reg_impl/2025/1111/oj" TargetMode="External"/><Relationship Id="rId15" Type="http://schemas.openxmlformats.org/officeDocument/2006/relationships/hyperlink" Target="http://data.europa.eu/eli/dec/2024/3004/oj" TargetMode="External"/><Relationship Id="rId10" Type="http://schemas.openxmlformats.org/officeDocument/2006/relationships/hyperlink" Target="http://data.europa.eu/eli/dec/2023/1716/oj" TargetMode="External"/><Relationship Id="rId19" Type="http://schemas.openxmlformats.org/officeDocument/2006/relationships/hyperlink" Target="http://data.europa.eu/eli/dec/2023/2721/oj" TargetMode="External"/><Relationship Id="rId4" Type="http://schemas.openxmlformats.org/officeDocument/2006/relationships/hyperlink" Target="http://data.europa.eu/eli/reg_impl/2021/478/oj" TargetMode="External"/><Relationship Id="rId9" Type="http://schemas.openxmlformats.org/officeDocument/2006/relationships/hyperlink" Target="http://data.europa.eu/eli/dec/2023/1504/oj" TargetMode="External"/><Relationship Id="rId14" Type="http://schemas.openxmlformats.org/officeDocument/2006/relationships/hyperlink" Target="http://data.europa.eu/eli/dec/2024/1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4345</Words>
  <Characters>25150</Characters>
  <Application>Microsoft Office Word</Application>
  <DocSecurity>0</DocSecurity>
  <Lines>679</Lines>
  <Paragraphs>359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DIMITROV Cvetan</cp:lastModifiedBy>
  <cp:revision>2</cp:revision>
  <cp:lastPrinted>2004-11-19T15:42:00Z</cp:lastPrinted>
  <dcterms:created xsi:type="dcterms:W3CDTF">2026-02-24T16:20:00Z</dcterms:created>
  <dcterms:modified xsi:type="dcterms:W3CDTF">2026-02-24T16:20:00Z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