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485F" w14:paraId="44A8CF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0C18D6" w14:textId="77777777" w:rsidR="00751A4A" w:rsidRPr="0091485F" w:rsidRDefault="00365B54" w:rsidP="0010095E">
            <w:pPr>
              <w:pStyle w:val="EPName"/>
            </w:pPr>
            <w:r w:rsidRPr="0091485F">
              <w:t>Evropský parlament</w:t>
            </w:r>
          </w:p>
          <w:p w14:paraId="6A21871B" w14:textId="77777777" w:rsidR="00751A4A" w:rsidRPr="009148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485F">
              <w:t>2024</w:t>
            </w:r>
            <w:r w:rsidR="00817416" w:rsidRPr="0091485F">
              <w:t>-202</w:t>
            </w:r>
            <w:r w:rsidRPr="0091485F">
              <w:t>9</w:t>
            </w:r>
          </w:p>
        </w:tc>
        <w:tc>
          <w:tcPr>
            <w:tcW w:w="2268" w:type="dxa"/>
            <w:shd w:val="clear" w:color="auto" w:fill="auto"/>
          </w:tcPr>
          <w:p w14:paraId="23490DF2" w14:textId="77777777" w:rsidR="00751A4A" w:rsidRPr="0091485F" w:rsidRDefault="00187494" w:rsidP="0010095E">
            <w:pPr>
              <w:pStyle w:val="EPLogo"/>
            </w:pPr>
            <w:r w:rsidRPr="0091485F">
              <w:rPr>
                <w:noProof/>
                <w:lang w:eastAsia="ja-JP"/>
              </w:rPr>
              <w:drawing>
                <wp:inline distT="0" distB="0" distL="0" distR="0" wp14:anchorId="371F489F" wp14:editId="4631D8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29C876" w14:textId="77777777" w:rsidR="00D058B8" w:rsidRPr="0091485F" w:rsidRDefault="00D058B8" w:rsidP="004C5D52">
      <w:pPr>
        <w:pStyle w:val="LineTop"/>
      </w:pPr>
    </w:p>
    <w:p w14:paraId="2CFC1E20" w14:textId="77777777" w:rsidR="00680577" w:rsidRPr="0091485F" w:rsidRDefault="00365B54" w:rsidP="00680577">
      <w:pPr>
        <w:pStyle w:val="EPBodyTA1"/>
      </w:pPr>
      <w:r w:rsidRPr="0091485F">
        <w:t>PŘIJATÉ TEXTY</w:t>
      </w:r>
    </w:p>
    <w:p w14:paraId="5F1C817F" w14:textId="77777777" w:rsidR="00D058B8" w:rsidRPr="0091485F" w:rsidRDefault="00D058B8" w:rsidP="00D058B8">
      <w:pPr>
        <w:pStyle w:val="LineBottom"/>
      </w:pPr>
    </w:p>
    <w:p w14:paraId="63A0D71A" w14:textId="77A85533" w:rsidR="00365B54" w:rsidRPr="005A3A1B" w:rsidRDefault="00365B54" w:rsidP="00365B54">
      <w:pPr>
        <w:pStyle w:val="ATHeading1"/>
      </w:pPr>
      <w:bookmarkStart w:id="0" w:name="TANumber"/>
      <w:r w:rsidRPr="005A3A1B">
        <w:t>P10_TA(2026)00</w:t>
      </w:r>
      <w:r w:rsidR="003A0391">
        <w:t>15</w:t>
      </w:r>
      <w:bookmarkEnd w:id="0"/>
    </w:p>
    <w:p w14:paraId="2C68E4DA" w14:textId="0FD97613" w:rsidR="00365B54" w:rsidRPr="005A3A1B" w:rsidRDefault="00365B54" w:rsidP="00365B54">
      <w:pPr>
        <w:pStyle w:val="ATHeading2"/>
      </w:pPr>
      <w:bookmarkStart w:id="1" w:name="title"/>
      <w:r w:rsidRPr="005A3A1B">
        <w:t xml:space="preserve">Řešení beztrestnosti prostřednictvím sankcí EU, včetně globálního režimu sankcí EU v oblasti lidských práv (tzv. </w:t>
      </w:r>
      <w:proofErr w:type="spellStart"/>
      <w:r w:rsidRPr="005A3A1B">
        <w:t>Magnitského</w:t>
      </w:r>
      <w:proofErr w:type="spellEnd"/>
      <w:r w:rsidRPr="005A3A1B">
        <w:t xml:space="preserve"> zákon</w:t>
      </w:r>
      <w:r w:rsidR="002F6B16">
        <w:t xml:space="preserve"> Evropské unie</w:t>
      </w:r>
      <w:r w:rsidRPr="005A3A1B">
        <w:t>)</w:t>
      </w:r>
      <w:bookmarkEnd w:id="1"/>
    </w:p>
    <w:p w14:paraId="4F2041F5" w14:textId="77777777" w:rsidR="00365B54" w:rsidRPr="0091485F" w:rsidRDefault="00365B54" w:rsidP="00365B54">
      <w:pPr>
        <w:rPr>
          <w:i/>
          <w:vanish/>
        </w:rPr>
      </w:pPr>
      <w:r w:rsidRPr="0091485F">
        <w:rPr>
          <w:i/>
        </w:rPr>
        <w:fldChar w:fldCharType="begin"/>
      </w:r>
      <w:r w:rsidRPr="0091485F">
        <w:rPr>
          <w:i/>
        </w:rPr>
        <w:instrText xml:space="preserve"> TC"(</w:instrText>
      </w:r>
      <w:bookmarkStart w:id="2" w:name="DocNumber"/>
      <w:r w:rsidRPr="0091485F">
        <w:rPr>
          <w:i/>
        </w:rPr>
        <w:instrText>A10-0266/2025</w:instrText>
      </w:r>
      <w:bookmarkEnd w:id="2"/>
      <w:r w:rsidRPr="0091485F">
        <w:rPr>
          <w:i/>
        </w:rPr>
        <w:instrText xml:space="preserve"> - Zpravodaj: Antonio </w:instrText>
      </w:r>
      <w:proofErr w:type="spellStart"/>
      <w:r w:rsidRPr="0091485F">
        <w:rPr>
          <w:i/>
        </w:rPr>
        <w:instrText>López-Istúriz</w:instrText>
      </w:r>
      <w:proofErr w:type="spellEnd"/>
      <w:r w:rsidRPr="0091485F">
        <w:rPr>
          <w:i/>
        </w:rPr>
        <w:instrText xml:space="preserve"> </w:instrText>
      </w:r>
      <w:proofErr w:type="spellStart"/>
      <w:r w:rsidRPr="0091485F">
        <w:rPr>
          <w:i/>
        </w:rPr>
        <w:instrText>White</w:instrText>
      </w:r>
      <w:proofErr w:type="spellEnd"/>
      <w:r w:rsidRPr="0091485F">
        <w:rPr>
          <w:i/>
        </w:rPr>
        <w:instrText xml:space="preserve">)"\l3 \n&gt; \* MERGEFORMAT </w:instrText>
      </w:r>
      <w:r w:rsidRPr="0091485F">
        <w:rPr>
          <w:i/>
        </w:rPr>
        <w:fldChar w:fldCharType="end"/>
      </w:r>
    </w:p>
    <w:p w14:paraId="238F27C7" w14:textId="77777777" w:rsidR="00365B54" w:rsidRPr="0091485F" w:rsidRDefault="00365B54" w:rsidP="00365B54">
      <w:pPr>
        <w:rPr>
          <w:vanish/>
        </w:rPr>
      </w:pPr>
      <w:bookmarkStart w:id="3" w:name="Commission"/>
      <w:r w:rsidRPr="0091485F">
        <w:rPr>
          <w:vanish/>
        </w:rPr>
        <w:t>Výbor pro zahraniční věci</w:t>
      </w:r>
      <w:bookmarkEnd w:id="3"/>
    </w:p>
    <w:p w14:paraId="45F5B39E" w14:textId="77777777" w:rsidR="00365B54" w:rsidRPr="0091485F" w:rsidRDefault="00365B54" w:rsidP="00365B54">
      <w:pPr>
        <w:rPr>
          <w:vanish/>
        </w:rPr>
      </w:pPr>
      <w:bookmarkStart w:id="4" w:name="PE"/>
      <w:r w:rsidRPr="0091485F">
        <w:rPr>
          <w:vanish/>
        </w:rPr>
        <w:t>PE775.385</w:t>
      </w:r>
      <w:bookmarkEnd w:id="4"/>
    </w:p>
    <w:p w14:paraId="7DF88252" w14:textId="5BE3FD70" w:rsidR="00365B54" w:rsidRPr="005A3A1B" w:rsidRDefault="00365B54" w:rsidP="00365B54">
      <w:pPr>
        <w:pStyle w:val="ATHeading3"/>
      </w:pPr>
      <w:bookmarkStart w:id="5" w:name="Sujet"/>
      <w:r w:rsidRPr="005A3A1B">
        <w:t xml:space="preserve">Usnesení Evropského parlamentu ze dne 21. ledna 2026 o řešení beztrestnosti prostřednictvím sankcí EU, včetně globálního režimu sankcí EU v oblasti lidských práv (tzv. </w:t>
      </w:r>
      <w:proofErr w:type="spellStart"/>
      <w:r w:rsidRPr="005A3A1B">
        <w:t>Magnitského</w:t>
      </w:r>
      <w:proofErr w:type="spellEnd"/>
      <w:r w:rsidRPr="005A3A1B">
        <w:t xml:space="preserve"> zákon Evropské unie)</w:t>
      </w:r>
      <w:bookmarkEnd w:id="5"/>
      <w:r w:rsidRPr="005A3A1B">
        <w:t xml:space="preserve"> </w:t>
      </w:r>
      <w:bookmarkStart w:id="6" w:name="References"/>
      <w:r w:rsidRPr="005A3A1B">
        <w:t>(2025/2049(INI))</w:t>
      </w:r>
      <w:bookmarkEnd w:id="6"/>
    </w:p>
    <w:p w14:paraId="3E53BE5B" w14:textId="77777777" w:rsidR="00DE0F44" w:rsidRPr="0091485F" w:rsidRDefault="00DE0F44" w:rsidP="00DE0F44">
      <w:pPr>
        <w:pStyle w:val="EPComma"/>
      </w:pPr>
      <w:r w:rsidRPr="0091485F">
        <w:rPr>
          <w:i/>
          <w:iCs/>
        </w:rPr>
        <w:t>Evropský parlament</w:t>
      </w:r>
      <w:r w:rsidRPr="0091485F">
        <w:t>,</w:t>
      </w:r>
    </w:p>
    <w:p w14:paraId="2DBA78B5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t>–</w:t>
      </w:r>
      <w:r w:rsidRPr="0091485F">
        <w:tab/>
        <w:t>s ohledem na V</w:t>
      </w:r>
      <w:r w:rsidRPr="0091485F">
        <w:rPr>
          <w:szCs w:val="24"/>
        </w:rPr>
        <w:t xml:space="preserve">šeobecnou deklaraci lidských práv ze dne 10. prosince 1948, </w:t>
      </w:r>
    </w:p>
    <w:p w14:paraId="65B594D0" w14:textId="52151EDC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 ohledem na Evropskou úmluvu o ochraně lidských práv a základních svobod ze dne 4. listopadu 1950,</w:t>
      </w:r>
    </w:p>
    <w:p w14:paraId="021AE055" w14:textId="35CE9ACB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 ohledem na Mezinárodní pakt o občanských a politických právech ze dne 16. prosince 1966,</w:t>
      </w:r>
    </w:p>
    <w:p w14:paraId="5C1CDE84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 xml:space="preserve">s ohledem na Úmluvu OSN proti mučení a jinému krutému, nelidskému či ponižujícímu zacházení nebo trestání ze dne 10. prosince 1984, </w:t>
      </w:r>
    </w:p>
    <w:p w14:paraId="5A914C4A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Smlouvu o Evropské unii (dále jen „Smlouva o EU“), a zejména na článek 2, čl. 3 odst. 5, články 21, 23 a 29 a čl. 31 odst. 2 této smlouvy,</w:t>
      </w:r>
    </w:p>
    <w:p w14:paraId="132897AA" w14:textId="45EA2E20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článek 215 Smlouvy o fungování Evropské unie, který se týká přijímání omezujících opatření vůči fyzickým nebo právnickým osobám a skupinám nebo nestátním subjektům,</w:t>
      </w:r>
    </w:p>
    <w:p w14:paraId="174F1400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Listinu základních práv Evropské unie,</w:t>
      </w:r>
    </w:p>
    <w:p w14:paraId="4FBF032A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prohlášení č. 25 připojené k Lisabonské smlouvě, které se týká potřeby chránit a dodržovat právo fyzických osob nebo subjektů, jichž se týkají omezující opatření EU nebo opatření EU pro boj proti terorismu, na zákonné procesní záruky,</w:t>
      </w:r>
    </w:p>
    <w:p w14:paraId="6DE940D1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svá usnesení týkající se porušování lidských práv, demokracie a právního státu (tzv. „naléhavá usnesení“), která byla přijata podle článku 150 jednacího řádu,</w:t>
      </w:r>
    </w:p>
    <w:p w14:paraId="2868749C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lastRenderedPageBreak/>
        <w:t>–</w:t>
      </w:r>
      <w:r w:rsidRPr="0091485F">
        <w:rPr>
          <w:szCs w:val="24"/>
        </w:rPr>
        <w:tab/>
        <w:t>s ohledem na rozhodnutí Rady (SZBP) 2020/1999</w:t>
      </w:r>
      <w:r w:rsidRPr="0091485F">
        <w:rPr>
          <w:rStyle w:val="FootnoteReference"/>
          <w:szCs w:val="24"/>
        </w:rPr>
        <w:footnoteReference w:id="1"/>
      </w:r>
      <w:r w:rsidRPr="0091485F">
        <w:rPr>
          <w:szCs w:val="24"/>
        </w:rPr>
        <w:t xml:space="preserve"> a nařízení Rady (EU) 2020/1998</w:t>
      </w:r>
      <w:r w:rsidRPr="0091485F">
        <w:rPr>
          <w:rStyle w:val="FootnoteReference"/>
          <w:szCs w:val="24"/>
        </w:rPr>
        <w:footnoteReference w:id="2"/>
      </w:r>
      <w:r w:rsidRPr="0091485F">
        <w:rPr>
          <w:szCs w:val="24"/>
        </w:rPr>
        <w:t xml:space="preserve"> ze dne 7. prosince 2020 o omezujících opatřeních proti závažnému porušování a zneužívání lidských práv,</w:t>
      </w:r>
    </w:p>
    <w:p w14:paraId="4A4E40B0" w14:textId="5052BA6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prováděcí nařízení Rady (EU) 2021/371 ze dne 2. března 2021</w:t>
      </w:r>
      <w:r w:rsidRPr="0091485F">
        <w:rPr>
          <w:rStyle w:val="FootnoteReference"/>
          <w:szCs w:val="24"/>
        </w:rPr>
        <w:footnoteReference w:id="3"/>
      </w:r>
      <w:r w:rsidRPr="0091485F">
        <w:rPr>
          <w:szCs w:val="24"/>
        </w:rPr>
        <w:t xml:space="preserve">, </w:t>
      </w:r>
      <w:r w:rsidR="00FB20E8" w:rsidRPr="0091485F">
        <w:rPr>
          <w:szCs w:val="24"/>
        </w:rPr>
        <w:t xml:space="preserve">(EU) </w:t>
      </w:r>
      <w:r w:rsidRPr="0091485F">
        <w:rPr>
          <w:szCs w:val="24"/>
        </w:rPr>
        <w:t>2021/478 ze dne 22. března 2021</w:t>
      </w:r>
      <w:r w:rsidRPr="0091485F">
        <w:rPr>
          <w:rStyle w:val="FootnoteReference"/>
          <w:szCs w:val="24"/>
        </w:rPr>
        <w:footnoteReference w:id="4"/>
      </w:r>
      <w:r w:rsidRPr="0091485F">
        <w:rPr>
          <w:szCs w:val="24"/>
        </w:rPr>
        <w:t xml:space="preserve"> a </w:t>
      </w:r>
      <w:r w:rsidR="00FB20E8" w:rsidRPr="0091485F">
        <w:rPr>
          <w:szCs w:val="24"/>
        </w:rPr>
        <w:t xml:space="preserve">(EU) </w:t>
      </w:r>
      <w:r w:rsidRPr="0091485F">
        <w:rPr>
          <w:szCs w:val="24"/>
        </w:rPr>
        <w:t>2025/1111 ze dne 28. května 2025</w:t>
      </w:r>
      <w:r w:rsidRPr="0091485F">
        <w:rPr>
          <w:rStyle w:val="FootnoteReference"/>
          <w:szCs w:val="24"/>
        </w:rPr>
        <w:footnoteReference w:id="5"/>
      </w:r>
      <w:r w:rsidRPr="0091485F">
        <w:rPr>
          <w:szCs w:val="24"/>
        </w:rPr>
        <w:t>, kterými se provádí nařízení (EU) 2020/1998 o omezujících opatřeních proti závažnému porušování a zneužívání lidských práv,</w:t>
      </w:r>
    </w:p>
    <w:p w14:paraId="37148CBC" w14:textId="79772989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</w:r>
      <w:bookmarkStart w:id="7" w:name="_Hlk223370437"/>
      <w:r w:rsidRPr="0091485F">
        <w:rPr>
          <w:szCs w:val="24"/>
        </w:rPr>
        <w:t xml:space="preserve">s ohledem na rozhodnutí Rady, kterými se mění rozhodnutí Rady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2020/1999, včetně rozhodnutí Rady (SZBP) 2021/372 ze dne 2. března 2021</w:t>
      </w:r>
      <w:r w:rsidRPr="0091485F">
        <w:rPr>
          <w:rStyle w:val="FootnoteReference"/>
          <w:szCs w:val="24"/>
        </w:rPr>
        <w:footnoteReference w:id="6"/>
      </w:r>
      <w:r w:rsidRPr="0091485F">
        <w:rPr>
          <w:szCs w:val="24"/>
        </w:rPr>
        <w:t xml:space="preserve">,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2021/481 ze dne 22. března 2021</w:t>
      </w:r>
      <w:r w:rsidRPr="0091485F">
        <w:rPr>
          <w:rStyle w:val="FootnoteReference"/>
          <w:szCs w:val="24"/>
        </w:rPr>
        <w:footnoteReference w:id="7"/>
      </w:r>
      <w:r w:rsidRPr="0091485F">
        <w:rPr>
          <w:szCs w:val="24"/>
        </w:rPr>
        <w:t xml:space="preserve">,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2021/2197 ze dne 13. prosince 2021</w:t>
      </w:r>
      <w:r w:rsidRPr="0091485F">
        <w:rPr>
          <w:rStyle w:val="FootnoteReference"/>
          <w:szCs w:val="24"/>
        </w:rPr>
        <w:footnoteReference w:id="8"/>
      </w:r>
      <w:r w:rsidRPr="0091485F">
        <w:rPr>
          <w:szCs w:val="24"/>
        </w:rPr>
        <w:t xml:space="preserve">,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2023/1504 ze dne 20. července 2023</w:t>
      </w:r>
      <w:r w:rsidRPr="0091485F">
        <w:rPr>
          <w:rStyle w:val="FootnoteReference"/>
          <w:szCs w:val="24"/>
        </w:rPr>
        <w:footnoteReference w:id="9"/>
      </w:r>
      <w:r w:rsidRPr="0091485F">
        <w:rPr>
          <w:szCs w:val="24"/>
        </w:rPr>
        <w:t xml:space="preserve">,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2023/1716 ze dne 8. září 2023</w:t>
      </w:r>
      <w:r w:rsidRPr="0091485F">
        <w:rPr>
          <w:rStyle w:val="FootnoteReference"/>
          <w:szCs w:val="24"/>
        </w:rPr>
        <w:footnoteReference w:id="10"/>
      </w:r>
      <w:r w:rsidRPr="0091485F">
        <w:rPr>
          <w:szCs w:val="24"/>
        </w:rPr>
        <w:t xml:space="preserve">,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2024/1025 ze dne 4. dubna 2024</w:t>
      </w:r>
      <w:r w:rsidRPr="0091485F">
        <w:rPr>
          <w:rStyle w:val="FootnoteReference"/>
          <w:szCs w:val="24"/>
        </w:rPr>
        <w:footnoteReference w:id="11"/>
      </w:r>
      <w:r w:rsidRPr="0091485F">
        <w:rPr>
          <w:szCs w:val="24"/>
        </w:rPr>
        <w:t xml:space="preserve">,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 xml:space="preserve">2024/1074 ze dne </w:t>
      </w:r>
      <w:r w:rsidR="00F363C4">
        <w:rPr>
          <w:szCs w:val="24"/>
        </w:rPr>
        <w:t>4</w:t>
      </w:r>
      <w:r w:rsidRPr="0091485F">
        <w:rPr>
          <w:szCs w:val="24"/>
        </w:rPr>
        <w:t>. dubna 2024</w:t>
      </w:r>
      <w:r w:rsidRPr="0091485F">
        <w:rPr>
          <w:rStyle w:val="FootnoteReference"/>
          <w:szCs w:val="24"/>
        </w:rPr>
        <w:footnoteReference w:id="12"/>
      </w:r>
      <w:r w:rsidRPr="0091485F">
        <w:rPr>
          <w:szCs w:val="24"/>
        </w:rPr>
        <w:t xml:space="preserve">,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2024/1175 ze dne 19. dubna 2024</w:t>
      </w:r>
      <w:r w:rsidRPr="0091485F">
        <w:rPr>
          <w:rStyle w:val="FootnoteReference"/>
          <w:szCs w:val="24"/>
        </w:rPr>
        <w:footnoteReference w:id="13"/>
      </w:r>
      <w:r w:rsidRPr="0091485F">
        <w:rPr>
          <w:szCs w:val="24"/>
        </w:rPr>
        <w:t>,</w:t>
      </w:r>
      <w:r w:rsidR="00DF3BDD">
        <w:rPr>
          <w:szCs w:val="24"/>
        </w:rPr>
        <w:t xml:space="preserve">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2024/1967 ze dne 15. července 2024</w:t>
      </w:r>
      <w:r w:rsidRPr="0091485F">
        <w:rPr>
          <w:rStyle w:val="FootnoteReference"/>
          <w:szCs w:val="24"/>
        </w:rPr>
        <w:footnoteReference w:id="14"/>
      </w:r>
      <w:r w:rsidRPr="0091485F">
        <w:rPr>
          <w:szCs w:val="24"/>
        </w:rPr>
        <w:t xml:space="preserve">,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2024/3004 ze dne 2. prosince 2024</w:t>
      </w:r>
      <w:r w:rsidRPr="0091485F">
        <w:rPr>
          <w:rStyle w:val="FootnoteReference"/>
          <w:szCs w:val="24"/>
        </w:rPr>
        <w:footnoteReference w:id="15"/>
      </w:r>
      <w:r w:rsidRPr="0091485F">
        <w:rPr>
          <w:szCs w:val="24"/>
        </w:rPr>
        <w:t xml:space="preserve">, 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2025/346 ze dne 18. února 2025</w:t>
      </w:r>
      <w:r w:rsidRPr="0091485F">
        <w:rPr>
          <w:rStyle w:val="FootnoteReference"/>
          <w:szCs w:val="24"/>
        </w:rPr>
        <w:footnoteReference w:id="16"/>
      </w:r>
      <w:r w:rsidRPr="0091485F">
        <w:rPr>
          <w:szCs w:val="24"/>
        </w:rPr>
        <w:t xml:space="preserve"> a </w:t>
      </w:r>
      <w:r w:rsidR="00DF3BDD" w:rsidRPr="0091485F">
        <w:rPr>
          <w:szCs w:val="24"/>
        </w:rPr>
        <w:t xml:space="preserve">(SZBP) </w:t>
      </w:r>
      <w:r w:rsidRPr="0091485F">
        <w:rPr>
          <w:szCs w:val="24"/>
        </w:rPr>
        <w:t>2025/1110 ze dne 2</w:t>
      </w:r>
      <w:r w:rsidR="00F363C4">
        <w:rPr>
          <w:szCs w:val="24"/>
        </w:rPr>
        <w:t>7</w:t>
      </w:r>
      <w:r w:rsidRPr="0091485F">
        <w:rPr>
          <w:szCs w:val="24"/>
        </w:rPr>
        <w:t>. května 2025</w:t>
      </w:r>
      <w:r w:rsidRPr="0091485F">
        <w:rPr>
          <w:rStyle w:val="FootnoteReference"/>
          <w:szCs w:val="24"/>
        </w:rPr>
        <w:footnoteReference w:id="17"/>
      </w:r>
      <w:r w:rsidRPr="0091485F">
        <w:rPr>
          <w:szCs w:val="24"/>
        </w:rPr>
        <w:t>,</w:t>
      </w:r>
    </w:p>
    <w:bookmarkEnd w:id="7"/>
    <w:p w14:paraId="2A67D83F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své usnesení ze dne 8. července 2021 o globálním režimu sankcí EU v oblasti lidských práv (</w:t>
      </w:r>
      <w:proofErr w:type="spellStart"/>
      <w:r w:rsidRPr="0091485F">
        <w:rPr>
          <w:szCs w:val="24"/>
        </w:rPr>
        <w:t>Magnitského</w:t>
      </w:r>
      <w:proofErr w:type="spellEnd"/>
      <w:r w:rsidRPr="0091485F">
        <w:rPr>
          <w:szCs w:val="24"/>
        </w:rPr>
        <w:t xml:space="preserve"> zákon Evropské unie)</w:t>
      </w:r>
      <w:r w:rsidRPr="0091485F">
        <w:rPr>
          <w:rStyle w:val="FootnoteReference"/>
          <w:szCs w:val="24"/>
        </w:rPr>
        <w:footnoteReference w:id="18"/>
      </w:r>
      <w:r w:rsidRPr="0091485F">
        <w:rPr>
          <w:szCs w:val="24"/>
        </w:rPr>
        <w:t xml:space="preserve"> a na své usnesení ze dne 2. dubna 2025 o lidských právech a demokracii ve světě a o politice Evropské unie v této oblasti – výroční zpráva za rok 2024</w:t>
      </w:r>
      <w:r w:rsidRPr="0091485F">
        <w:rPr>
          <w:rStyle w:val="FootnoteReference"/>
          <w:szCs w:val="24"/>
        </w:rPr>
        <w:footnoteReference w:id="19"/>
      </w:r>
      <w:r w:rsidRPr="0091485F">
        <w:rPr>
          <w:szCs w:val="24"/>
        </w:rPr>
        <w:t>,</w:t>
      </w:r>
    </w:p>
    <w:p w14:paraId="6CDFBB75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závěry Rady ze dne 18. listopadu 2020 o akčním plánu EU pro lidská práva a demokracii na období 2020–2024, který byl prodloužen do roku 2027,</w:t>
      </w:r>
    </w:p>
    <w:p w14:paraId="5E2757C9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rozhodnutí Rady (SZBP) 2023/2721 ze dne 4. prosince 2023, kterým bylo pozměněno rozhodnutí (SZBP) 2020/1999 o omezujících opatřeních proti závažnému porušování a zneužívání lidských práv</w:t>
      </w:r>
      <w:r w:rsidRPr="0091485F">
        <w:rPr>
          <w:rStyle w:val="FootnoteReference"/>
          <w:szCs w:val="24"/>
        </w:rPr>
        <w:footnoteReference w:id="20"/>
      </w:r>
      <w:r w:rsidRPr="0091485F">
        <w:rPr>
          <w:szCs w:val="24"/>
        </w:rPr>
        <w:t xml:space="preserve"> a kterým byla prodloužena platnost globálního režimu sankcí EU v oblasti lidských práv (</w:t>
      </w:r>
      <w:proofErr w:type="spellStart"/>
      <w:r w:rsidRPr="0091485F">
        <w:rPr>
          <w:szCs w:val="24"/>
        </w:rPr>
        <w:t>Magnitského</w:t>
      </w:r>
      <w:proofErr w:type="spellEnd"/>
      <w:r w:rsidRPr="0091485F">
        <w:rPr>
          <w:szCs w:val="24"/>
        </w:rPr>
        <w:t xml:space="preserve"> zákon Evropské unie) o tři </w:t>
      </w:r>
      <w:r w:rsidRPr="0091485F">
        <w:rPr>
          <w:szCs w:val="24"/>
        </w:rPr>
        <w:lastRenderedPageBreak/>
        <w:t>roky, tj. do 8. prosince 2026,</w:t>
      </w:r>
    </w:p>
    <w:p w14:paraId="265FA398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 ohledem na článek 55 jednacího řádu,</w:t>
      </w:r>
    </w:p>
    <w:p w14:paraId="3E13D570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–</w:t>
      </w:r>
      <w:r w:rsidRPr="0091485F">
        <w:rPr>
          <w:szCs w:val="24"/>
        </w:rPr>
        <w:tab/>
        <w:t>s ohledem na zprávu Výboru pro zahraniční věci (A10-0266/2025),</w:t>
      </w:r>
    </w:p>
    <w:p w14:paraId="19EFEDA6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A.</w:t>
      </w:r>
      <w:r w:rsidRPr="0091485F">
        <w:rPr>
          <w:szCs w:val="24"/>
        </w:rPr>
        <w:tab/>
        <w:t>vzhledem k tomu, že v článku 21 Smlouvy o EU je stanoveno, že činnost Unie spočívá na zásadách demokracie, právního státu, univerzálnosti a nedělitelnosti lidských práv a základních svobod, úctě k lidské důstojnosti, zásadách rovnosti a solidarity a dodržování zásad Charty Organizace spojených národů a mezinárodního práva;</w:t>
      </w:r>
    </w:p>
    <w:p w14:paraId="247CC97B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B.</w:t>
      </w:r>
      <w:r w:rsidRPr="0091485F">
        <w:rPr>
          <w:szCs w:val="24"/>
        </w:rPr>
        <w:tab/>
        <w:t xml:space="preserve">vzhledem k tomu, že globální režim sankcí EU v oblasti lidských práv, přijatý v prosinci 2020, umožňuje EU zavádět omezující opatření vůči fyzickým osobám a subjektům odpovědným za závažné porušování lidských práv na celém světě; vzhledem k tomu, že některé členské státy EU přijaly vlastní vnitrostátní právní předpisy ve stylu </w:t>
      </w:r>
      <w:proofErr w:type="spellStart"/>
      <w:r w:rsidRPr="0091485F">
        <w:rPr>
          <w:szCs w:val="24"/>
        </w:rPr>
        <w:t>Magnitského</w:t>
      </w:r>
      <w:proofErr w:type="spellEnd"/>
      <w:r w:rsidRPr="0091485F">
        <w:rPr>
          <w:szCs w:val="24"/>
        </w:rPr>
        <w:t xml:space="preserve"> zákona a že se jedná o důležité nástroje, které doplňují sankce EU; vzhledem k tomu, že Spojené státy, Kanada, Velká Británie, Austrálie a další podobně smýšlející země přijaly obdobné režimy sankcí; vzhledem k tomu, že spolupráce a koordinace mezi podobně smýšlejícími zeměmi v oblasti sankcí zvyšuje jejich účinnost;</w:t>
      </w:r>
    </w:p>
    <w:p w14:paraId="624A34CB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 xml:space="preserve">C. </w:t>
      </w:r>
      <w:r w:rsidRPr="0091485F">
        <w:rPr>
          <w:szCs w:val="24"/>
        </w:rPr>
        <w:tab/>
        <w:t xml:space="preserve">vzhledem k tomu, že Evropský soud pro lidská práva v jednomyslném rozhodnutí sedmi soudců ve věci </w:t>
      </w:r>
      <w:proofErr w:type="spellStart"/>
      <w:r w:rsidRPr="0091485F">
        <w:rPr>
          <w:szCs w:val="24"/>
        </w:rPr>
        <w:t>Magnitský</w:t>
      </w:r>
      <w:proofErr w:type="spellEnd"/>
      <w:r w:rsidRPr="0091485F">
        <w:rPr>
          <w:szCs w:val="24"/>
        </w:rPr>
        <w:t xml:space="preserve"> a další vs. Rusko (věci č. 32631/09 a 53799/12) ze dne 27. srpna 2019 konstatuje, že Rusko je odpovědné za smrt Sergeje </w:t>
      </w:r>
      <w:proofErr w:type="spellStart"/>
      <w:r w:rsidRPr="0091485F">
        <w:rPr>
          <w:szCs w:val="24"/>
        </w:rPr>
        <w:t>Magnitského</w:t>
      </w:r>
      <w:proofErr w:type="spellEnd"/>
      <w:r w:rsidRPr="0091485F">
        <w:rPr>
          <w:szCs w:val="24"/>
        </w:rPr>
        <w:t xml:space="preserve"> ve vězení a že byl vystaven úmyslným násilným činům představujícím nelidské a ponižující zacházení; vzhledem k tomu, že navzdory vyšetřování jeho zadržení, mučení, nezákonného posmrtného stíhání a smrti nebyl nikdo trestně stíhán;</w:t>
      </w:r>
    </w:p>
    <w:p w14:paraId="53D84A07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D.</w:t>
      </w:r>
      <w:r w:rsidRPr="0091485F">
        <w:rPr>
          <w:szCs w:val="24"/>
        </w:rPr>
        <w:tab/>
        <w:t>vzhledem k tomu, že Parlament ve svém usnesení ze dne 8. července 2021 o globálním režimu sankcí EU v oblasti lidských práv uvítal přijetí tohoto režimu sankcí jakožto zásadního doplňku souboru nástrojů EU v oblasti lidských práv a zahraniční politiky;</w:t>
      </w:r>
    </w:p>
    <w:p w14:paraId="2B9CD92B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E.</w:t>
      </w:r>
      <w:r w:rsidRPr="0091485F">
        <w:rPr>
          <w:szCs w:val="24"/>
        </w:rPr>
        <w:tab/>
        <w:t>vzhledem k tomu, že globální režim sankcí EU v oblasti lidských práv se vztahuje na širokou škálu porušování lidských práv a že mezi osoby a subjekty zařazené na sankční seznamy mohou patřit pachatelé, pomocníci a třetí strany poskytující materiál nebo technickou pomoc pro represe;</w:t>
      </w:r>
    </w:p>
    <w:p w14:paraId="3B440C4E" w14:textId="0600FC1E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F.</w:t>
      </w:r>
      <w:r w:rsidRPr="0091485F">
        <w:rPr>
          <w:szCs w:val="24"/>
        </w:rPr>
        <w:tab/>
        <w:t xml:space="preserve">vzhledem k tomu, že globální režim sankcí EU v oblasti lidských práv se zaměřuje na jednotlivé pachatele a subjekty, nikoli na široká hospodářská odvětví, což snižuje vedlejší škody způsobené široké populaci a zabraňuje omezení přístupu k potravinám, lékům nebo veřejným službám; </w:t>
      </w:r>
    </w:p>
    <w:p w14:paraId="3C98E354" w14:textId="32AC6FBB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G.</w:t>
      </w:r>
      <w:r w:rsidRPr="0091485F">
        <w:rPr>
          <w:szCs w:val="24"/>
        </w:rPr>
        <w:tab/>
        <w:t>vzhledem k tomu, že globální režim EU pro lidská práva se vztahuje také na rozsáhlé porušování nebo zneužívání právních předpisů a na systematické či závažné obavy, pokud jde o cíle společné zahraniční a bezpečnostní politiky stanovené v článku 21 Smlouvy o EU, jako je mučení a jiné kruté, nelidské či ponižující zacházení nebo trestání, otroctví, mimosoudní, hromadné nebo svévolné popravy a zabíjení, násilná zmizení osob, svévolné zatýkání nebo zadržování, obchodování s lidmi, sexuální a genderově podmíněné násilí, porušování nebo zneužívání svobody pokojného shromažďování a sdružování, porušování nebo zneužívání svobody přesvědčení a projevu a porušování nebo zneužívání svobody náboženského vyznání či přesvědčení;</w:t>
      </w:r>
      <w:r w:rsidR="00D75B79" w:rsidRPr="0091485F">
        <w:rPr>
          <w:szCs w:val="24"/>
        </w:rPr>
        <w:t xml:space="preserve"> </w:t>
      </w:r>
    </w:p>
    <w:p w14:paraId="5055E2EF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lastRenderedPageBreak/>
        <w:t>H.</w:t>
      </w:r>
      <w:r w:rsidRPr="0091485F">
        <w:rPr>
          <w:szCs w:val="24"/>
        </w:rPr>
        <w:tab/>
        <w:t>vzhledem k tomu, že zařazení na seznam globálního režimu sankcí EU v oblasti lidských práv je jednou z forem mezinárodního uznání vyjádřeného obětem porušování lidských práv;</w:t>
      </w:r>
    </w:p>
    <w:p w14:paraId="09EFC75D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I.</w:t>
      </w:r>
      <w:r w:rsidRPr="0091485F">
        <w:rPr>
          <w:szCs w:val="24"/>
        </w:rPr>
        <w:tab/>
        <w:t xml:space="preserve">vzhledem k tomu, že nadnárodní represe dosud nebyly zařazeny na seznam závažných případů porušování lidských práv, které by vedly k sankcím v rámci globálního režimu sankcí EU v oblasti lidských práv; </w:t>
      </w:r>
    </w:p>
    <w:p w14:paraId="4EBFFAC6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J.</w:t>
      </w:r>
      <w:r w:rsidRPr="0091485F">
        <w:rPr>
          <w:szCs w:val="24"/>
        </w:rPr>
        <w:tab/>
        <w:t>vzhledem k tomu, že Parlament ve svých četných usneseních vyzývá k flexibilnějšímu a častějšímu využívání sankčních nástrojů v případech nejzávažnějších mezinárodních zločinů nebo závažného porušování lidských práv;</w:t>
      </w:r>
    </w:p>
    <w:p w14:paraId="36045C6A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K.</w:t>
      </w:r>
      <w:r w:rsidRPr="0091485F">
        <w:rPr>
          <w:szCs w:val="24"/>
        </w:rPr>
        <w:tab/>
        <w:t>vzhledem k tomu, že ke 4. listopadu 2025 bylo na sankční seznamy v rámci globálního režimu sankcí EU v oblasti lidských práv zařazeno 168 osob a subjektů (131 fyzických osob a 37 subjektů); vzhledem k tomu, že zatímco se seznam záznamů v rámci tohoto režimu rozrostl, o jeho dopadu a účinnosti se mnoho neví;</w:t>
      </w:r>
    </w:p>
    <w:p w14:paraId="605A2A38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L.</w:t>
      </w:r>
      <w:r w:rsidRPr="0091485F">
        <w:rPr>
          <w:szCs w:val="24"/>
        </w:rPr>
        <w:tab/>
        <w:t>vzhledem k tomu, že i přes dosažený pokrok přetrvávají značné nedostatky, co se týče zeměpisného a tematického rozsahu nadnárodních seznamů a stanovení referenčních hodnot v souladu s cíli sankcí; vzhledem k tomu, že navzdory několika výzvám Parlamentu není v rámci globálního režimu sankcí EU v oblasti lidských práv korupce dosud považována za trestný čin;</w:t>
      </w:r>
    </w:p>
    <w:p w14:paraId="7E128CC4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M.</w:t>
      </w:r>
      <w:r w:rsidRPr="0091485F">
        <w:rPr>
          <w:szCs w:val="24"/>
        </w:rPr>
        <w:tab/>
        <w:t>vzhledem k tomu, že se seznamy spíše než na nejzávažnější mezinárodní zločiny, jako je genocida a zločiny proti lidskosti, a na systémové porušování sociálně-ekonomických práv zaměřují především na porušování tělesné integrity a občanských a politických práv, zejména pokud jsou cílem především mužští političtí oponenti a aktivisté v autoritářských režimech;</w:t>
      </w:r>
    </w:p>
    <w:p w14:paraId="28AF4705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N.</w:t>
      </w:r>
      <w:r w:rsidRPr="0091485F">
        <w:rPr>
          <w:szCs w:val="24"/>
        </w:rPr>
        <w:tab/>
        <w:t>vzhledem k tomu, že se seznamy v souladu se strategickými vztahy EU a jejími geopolitickými zájmy soustřeďují do značné míry na určité zeměpisně oblasti, zatímco jiné oblasti a situace jsou zohledněny nedostatečně;</w:t>
      </w:r>
    </w:p>
    <w:p w14:paraId="6744628E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O.</w:t>
      </w:r>
      <w:r w:rsidRPr="0091485F">
        <w:rPr>
          <w:szCs w:val="24"/>
        </w:rPr>
        <w:tab/>
        <w:t>vzhledem k tomu, že pro zajištění účinnosti globálního režimu sankcí EU v oblasti lidských práv má klíčový význam zajištění důvěrnosti v souvislosti s případným zařazením na seznam nebo vyřazením z něj; vzhledem k tomu, že určitou úlohu by měl v tomto procesu hrát i Parlament;</w:t>
      </w:r>
    </w:p>
    <w:p w14:paraId="4585D653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 xml:space="preserve">P. </w:t>
      </w:r>
      <w:r w:rsidRPr="0091485F">
        <w:rPr>
          <w:szCs w:val="24"/>
        </w:rPr>
        <w:tab/>
        <w:t>vzhledem k tomu, že v zájmu zvýšení legitimity globálního režimu sankcí EU v oblasti lidských práv je nezbytné zajistit parlamentní kontrolu; vzhledem k tomu, že Rada stále dostatečně nezohledňuje usnesení Parlamentu obsahující doporučení k zařazení dalších osob či subjektů na seznam;</w:t>
      </w:r>
    </w:p>
    <w:p w14:paraId="3A7C07D8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Q.</w:t>
      </w:r>
      <w:r w:rsidRPr="0091485F">
        <w:rPr>
          <w:szCs w:val="24"/>
        </w:rPr>
        <w:tab/>
        <w:t>vzhledem k tomu, že globální režim sankcí EU v oblasti lidských práv umožňuje v současné době pouze zmrazení majetku a zákaz vydávání víz;</w:t>
      </w:r>
    </w:p>
    <w:p w14:paraId="4345AD34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 xml:space="preserve">R. </w:t>
      </w:r>
      <w:r w:rsidRPr="0091485F">
        <w:rPr>
          <w:szCs w:val="24"/>
        </w:rPr>
        <w:tab/>
        <w:t>vzhledem k tomu, že současný režim zmrazení majetku a zákazu vydávání víz by mohl být doplněn dalšími opatřeními, jako je omezení finančních služeb, zadávání veřejných zakázek a účasti na projektech financovaných EU, a že by oblast jeho působnosti měla být rozšířena, tak aby zahrnovala nejbližší rodinné příslušníky osob porušujících lidská práva;</w:t>
      </w:r>
    </w:p>
    <w:p w14:paraId="63128585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lastRenderedPageBreak/>
        <w:t>S.</w:t>
      </w:r>
      <w:r w:rsidRPr="0091485F">
        <w:rPr>
          <w:szCs w:val="24"/>
        </w:rPr>
        <w:tab/>
        <w:t>vzhledem k tomu, že pokyny Komise stále dostatečně neobjasňují rozsah zákazu poskytování jakékoli podpory sankcionovaným osobám a subjektům, mj. pokud jde o poskytování technické a materiální podpory</w:t>
      </w:r>
      <w:r w:rsidRPr="005A3A1B">
        <w:rPr>
          <w:szCs w:val="24"/>
        </w:rPr>
        <w:t>;</w:t>
      </w:r>
    </w:p>
    <w:p w14:paraId="58993328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T.</w:t>
      </w:r>
      <w:r w:rsidRPr="0091485F">
        <w:rPr>
          <w:szCs w:val="24"/>
        </w:rPr>
        <w:tab/>
        <w:t>vzhledem k tomu, že některé mezery v provádění, jako jsou ustanovení o výjimkách, která umožňují, aby dál platily smlouvy uzavřené před zařazením fyzické osoby nebo subjektu na seznam, vytvářejí příležitosti k obcházení sankcí a snižují jejich účinnost;</w:t>
      </w:r>
    </w:p>
    <w:p w14:paraId="084C5855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U.</w:t>
      </w:r>
      <w:r w:rsidRPr="0091485F">
        <w:rPr>
          <w:szCs w:val="24"/>
        </w:rPr>
        <w:tab/>
        <w:t xml:space="preserve">vzhledem k tomu, že stávající geografické režimy sankcí EU zahrnují širší omezení, která by mohla doplnit globální režim sankcí EU v oblasti lidských práv (tzv. </w:t>
      </w:r>
      <w:proofErr w:type="spellStart"/>
      <w:r w:rsidRPr="0091485F">
        <w:rPr>
          <w:szCs w:val="24"/>
        </w:rPr>
        <w:t>Magnitského</w:t>
      </w:r>
      <w:proofErr w:type="spellEnd"/>
      <w:r w:rsidRPr="0091485F">
        <w:rPr>
          <w:szCs w:val="24"/>
        </w:rPr>
        <w:t xml:space="preserve"> akt Evropské unie) pomocí vzájemného porovnávání seznamů;</w:t>
      </w:r>
    </w:p>
    <w:p w14:paraId="73E55D56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V.</w:t>
      </w:r>
      <w:r w:rsidRPr="0091485F">
        <w:rPr>
          <w:szCs w:val="24"/>
        </w:rPr>
        <w:tab/>
        <w:t>vzhledem k tomu, že globální režim sankcí EU v oblasti lidských práv je z velké části zaměřen na nižší úředníky a funkcionáře, zatímco osoby, které mají skutečnou politickou a vojenskou moc, často zůstávají mimo působnost seznamů;</w:t>
      </w:r>
    </w:p>
    <w:p w14:paraId="413AAFBE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W.</w:t>
      </w:r>
      <w:r w:rsidRPr="0091485F">
        <w:rPr>
          <w:szCs w:val="24"/>
        </w:rPr>
        <w:tab/>
        <w:t>vzhledem k tomu, že seznamy sestavené v rámci globálního režimu sankcí EU v oblasti lidských práv se nezaměřovaly na aktéry odpovědné za spáchání některých z nejzávažnějších mezinárodních zločinů podle Římského statutu;</w:t>
      </w:r>
    </w:p>
    <w:p w14:paraId="0374DD79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X.</w:t>
      </w:r>
      <w:r w:rsidRPr="0091485F">
        <w:rPr>
          <w:szCs w:val="24"/>
        </w:rPr>
        <w:tab/>
        <w:t>vzhledem k tomu, že aktéři občanské společnosti nadále neformálně spolupracují s orgány EU při navrhování jmen, která by měla být zařazena na seznam, neboť pro takovou spolupráci neexistuje strukturovaný mechanismus; vzhledem k tomu, že Evropská služba pro vnější činnost (ESVČ) nemá zdroje potřebné k posouzení a prošetření obdržených informací, ani k následným krokům;</w:t>
      </w:r>
    </w:p>
    <w:p w14:paraId="35612F71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Y.</w:t>
      </w:r>
      <w:r w:rsidRPr="0091485F">
        <w:rPr>
          <w:szCs w:val="24"/>
        </w:rPr>
        <w:tab/>
        <w:t>vzhledem k tomu, že režim sankcí by zefektivnilo zvýšení transparentnosti, lepší koordinace s mechanismy odpovědnosti, mezinárodními aktéry a podobně smýšlejícími zeměmi a zavedení seznamů na úrovni OSN;</w:t>
      </w:r>
    </w:p>
    <w:p w14:paraId="6C65DCA3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Z.</w:t>
      </w:r>
      <w:r w:rsidRPr="0091485F">
        <w:rPr>
          <w:szCs w:val="24"/>
        </w:rPr>
        <w:tab/>
        <w:t>vzhledem k tomu, že některé členské státy nedodržují sankce EU a umožňují sankcionovaným osobám vstup na území EU; vzhledem k tomu, že takové ignorování sankcí značně poškozuje důvěryhodnost EU a oslabuje účinnost unijních režimů sankcí;</w:t>
      </w:r>
    </w:p>
    <w:p w14:paraId="1ACE4A36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 xml:space="preserve">AA. </w:t>
      </w:r>
      <w:r w:rsidRPr="0091485F">
        <w:rPr>
          <w:szCs w:val="24"/>
        </w:rPr>
        <w:tab/>
        <w:t>vzhledem k tomu, že sankce jsou z velké části uplatňovány na vnitrostátní úrovni a že každý členský stát odpovídá za dodržování sankcí na svém území; vzhledem k tomu, že tak hrozí vznik slabých článků, neboť jednotlivci nebo společnosti se mohou pokusit obcházet sankce přesunutím peněz nebo aktivit do členských států, které sankce prosazují pomaleji nebo méně přísně; vzhledem k tomu, že orgány EU opakovaně zdůrazňují potřebu jednotnějšího a koordinovanějšího prosazování, mají-li být sankce skutečně účinné;</w:t>
      </w:r>
    </w:p>
    <w:p w14:paraId="7701A9CB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AB.</w:t>
      </w:r>
      <w:r w:rsidRPr="0091485F">
        <w:rPr>
          <w:szCs w:val="24"/>
        </w:rPr>
        <w:tab/>
        <w:t>vzhledem k tomu, že Parlament v mnoha usneseních vyzval, aby pro přijímání sankcí v rámci globálního režimu sankcí EU v oblasti lidských práv bylo zavedeno hlasování kvalifikovanou většinou;</w:t>
      </w:r>
    </w:p>
    <w:p w14:paraId="15DBC915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AC.</w:t>
      </w:r>
      <w:r w:rsidRPr="0091485F">
        <w:rPr>
          <w:szCs w:val="24"/>
        </w:rPr>
        <w:tab/>
        <w:t>vzhledem k tomu, že prodloužení platnosti globálního režimu sankcí EU v oblasti lidských práv do prosince 2026 je příležitostí k jeho přezkumu;</w:t>
      </w:r>
    </w:p>
    <w:p w14:paraId="2BBDF9AE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1.</w:t>
      </w:r>
      <w:r w:rsidRPr="0091485F">
        <w:rPr>
          <w:szCs w:val="24"/>
        </w:rPr>
        <w:tab/>
        <w:t xml:space="preserve">znovu opakuje, že podporuje globální režim sankcí EU v oblasti lidských práv jakožto významný nástroj zahraniční politiky k posílení lidských práv na celém světě a ke zkvalitnění souboru lidskoprávních nástrojů EU, protože dokáže zejména přispět </w:t>
      </w:r>
      <w:r w:rsidRPr="0091485F">
        <w:rPr>
          <w:szCs w:val="24"/>
        </w:rPr>
        <w:lastRenderedPageBreak/>
        <w:t xml:space="preserve">ke změně chování osob a subjektů, proti nimž je namířen, a k úsilí o vyvození odpovědnosti přímých pachatelů, pomocníků, </w:t>
      </w:r>
      <w:proofErr w:type="spellStart"/>
      <w:r w:rsidRPr="0091485F">
        <w:rPr>
          <w:szCs w:val="24"/>
        </w:rPr>
        <w:t>návodců</w:t>
      </w:r>
      <w:proofErr w:type="spellEnd"/>
      <w:r w:rsidRPr="0091485F">
        <w:rPr>
          <w:szCs w:val="24"/>
        </w:rPr>
        <w:t xml:space="preserve"> a nepřímých podporovatelů závažného porušování lidských práv, jakož i těch, kteří z tohoto porušování přímo či nepřímo těží, včetně jejich nejbližších rodinných příslušníků;</w:t>
      </w:r>
      <w:r w:rsidRPr="0091485F">
        <w:rPr>
          <w:color w:val="538135" w:themeColor="accent6" w:themeShade="BF"/>
          <w:szCs w:val="24"/>
        </w:rPr>
        <w:t xml:space="preserve"> </w:t>
      </w:r>
      <w:r w:rsidRPr="0091485F">
        <w:rPr>
          <w:szCs w:val="24"/>
        </w:rPr>
        <w:t>zdůrazňuje, že tento nástroj je koncipován tak, aby neomezil lidská práva dotčené populace;</w:t>
      </w:r>
    </w:p>
    <w:p w14:paraId="322053E4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2.</w:t>
      </w:r>
      <w:r w:rsidRPr="0091485F">
        <w:rPr>
          <w:szCs w:val="24"/>
        </w:rPr>
        <w:tab/>
        <w:t>znovu potvrzuje, že je pevně odhodlán bojovat proti beztrestnosti za závažné porušování a zneužívání lidských práv na celém světě účinným využíváním stávajících sankčních nástrojů EU, včetně globálního režimu sankcí EU v oblasti lidských práv; stejně tak opět stvrzuje, že neochvějně podporuje mezinárodní soudní systém, který čelí nebývalým výzvám, včetně bezdůvodných sankcí vůči soudcům a zaměstnancům Mezinárodního trestního soudu, z nichž někteří jsou státními příslušníky EU; v této souvislosti naléhavě vyzývá EU, aby aktivovala blokovací nařízení</w:t>
      </w:r>
      <w:r w:rsidRPr="0091485F">
        <w:rPr>
          <w:rStyle w:val="FootnoteReference"/>
          <w:szCs w:val="24"/>
        </w:rPr>
        <w:footnoteReference w:id="21"/>
      </w:r>
      <w:r w:rsidRPr="0091485F">
        <w:rPr>
          <w:szCs w:val="24"/>
        </w:rPr>
        <w:t xml:space="preserve"> s cílem omezit dopad těchto sankcí;</w:t>
      </w:r>
    </w:p>
    <w:p w14:paraId="1D3F16D7" w14:textId="77777777" w:rsidR="00DE0F44" w:rsidRPr="0091485F" w:rsidRDefault="00DE0F44" w:rsidP="00D75B79">
      <w:pPr>
        <w:pStyle w:val="NormalHanging12a"/>
        <w:rPr>
          <w:b/>
          <w:bCs/>
          <w:i/>
          <w:iCs/>
          <w:szCs w:val="24"/>
        </w:rPr>
      </w:pPr>
      <w:r w:rsidRPr="0091485F">
        <w:rPr>
          <w:b/>
          <w:i/>
          <w:szCs w:val="24"/>
        </w:rPr>
        <w:t>Soudržnost politik a strategická účinnost</w:t>
      </w:r>
    </w:p>
    <w:p w14:paraId="185BF4C0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3.</w:t>
      </w:r>
      <w:r w:rsidRPr="0091485F">
        <w:rPr>
          <w:szCs w:val="24"/>
        </w:rPr>
        <w:tab/>
        <w:t>vyzývá ke komplexnímu posouzení dopadů globálního režimu sankcí EU v oblasti lidských práv a jeho interakci se sankcemi EU uvalenými na konkrétní země a s dalšími horizontálními omezujícími opatřeními EU, aby bylo možné vyhodnotit jeho soudržnost, přiměřenost a účinnost, i co se týče změny chování osob a subjektů zařazených na seznamy, určit operační nedostatky a zajistit důsledné a strategické uplatňování na celém světě, a žádá, aby byl tento globální režim sankcí přezkoumán v souladu se závěry tohoto posouzení dopadů;</w:t>
      </w:r>
    </w:p>
    <w:p w14:paraId="1AC91789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4.</w:t>
      </w:r>
      <w:r w:rsidRPr="0091485F">
        <w:rPr>
          <w:szCs w:val="24"/>
        </w:rPr>
        <w:tab/>
        <w:t>žádá, aby byly průběžně a systematicky – a to alespoň jednou za 12 měsíců – přezkoumávány seznamy vypracované na základě globálního režimu sankcí EU v oblasti lidských práv, aby byla zajištěna jejich ucelenost, přiměřenost a soulad s nejnovějšími informacemi a soudními rozhodnutími;</w:t>
      </w:r>
    </w:p>
    <w:p w14:paraId="2F989592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5.</w:t>
      </w:r>
      <w:r w:rsidRPr="0091485F">
        <w:rPr>
          <w:szCs w:val="24"/>
        </w:rPr>
        <w:tab/>
        <w:t>domnívá se, že by mělo být k dispozici více informací o kritériích pro vyřazení ze seznamů, aby bylo dosaženo větší právní jasnosti, transparentnosti a odpovědnosti a posílen spravedlivý proces;</w:t>
      </w:r>
    </w:p>
    <w:p w14:paraId="0BAEE1BA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6.</w:t>
      </w:r>
      <w:r w:rsidRPr="0091485F">
        <w:rPr>
          <w:szCs w:val="24"/>
        </w:rPr>
        <w:tab/>
        <w:t>znovu opakuje, že je důležité, aby byl globální režim sankcí EU v oblasti lidských práv v souladu s omezujícími opatřeními pro konkrétní země, s horizontálními omezujícími opatřeními, odvětvovými opatřeními a zbrojními embargy přijatými EU a se stávajícími mezinárodními sankčními rámci a aby je doplňoval;</w:t>
      </w:r>
    </w:p>
    <w:p w14:paraId="4F164E52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7.</w:t>
      </w:r>
      <w:r w:rsidRPr="0091485F">
        <w:rPr>
          <w:szCs w:val="24"/>
        </w:rPr>
        <w:tab/>
        <w:t xml:space="preserve">vybízí Radu, aby usilovala o sladění seznamů globálního režimu sankcí EU v oblasti lidských práv se sankčními seznamy podobně smýšlejících partnerů, zejména zemí G7, a Rady bezpečnosti OSN, pokud to je politicky a právně proveditelné, s cílem posílit celkovou legitimitu a účinnost; </w:t>
      </w:r>
    </w:p>
    <w:p w14:paraId="25C79102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8.</w:t>
      </w:r>
      <w:r w:rsidRPr="0091485F">
        <w:rPr>
          <w:szCs w:val="24"/>
        </w:rPr>
        <w:tab/>
        <w:t xml:space="preserve">vyzývá Komisi a členské státy, aby posílily součinnost mezi globálním režimem sankcí EU v oblasti lidských práv a mezinárodními mechanismy odpovědnosti, jako je OSN, Mezinárodní trestní soud a regionální soudy pro lidská práva, aby se zvýšila účinnost </w:t>
      </w:r>
      <w:r w:rsidRPr="0091485F">
        <w:rPr>
          <w:szCs w:val="24"/>
        </w:rPr>
        <w:lastRenderedPageBreak/>
        <w:t>opatření EU v boji proti závažnému porušování lidských práv;</w:t>
      </w:r>
    </w:p>
    <w:p w14:paraId="7412BECF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9.</w:t>
      </w:r>
      <w:r w:rsidRPr="0091485F">
        <w:rPr>
          <w:szCs w:val="24"/>
        </w:rPr>
        <w:tab/>
        <w:t>zdůrazňuje, že je důležité, aby se kandidátské země a potenciální kandidátské země EU v rámci svého širšího slaďování se společnou zahraniční a bezpečnostní politikou EU připojily ke globálnímu režimu sankcí EU v oblasti lidských práv;</w:t>
      </w:r>
    </w:p>
    <w:p w14:paraId="0E2EF72D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10.</w:t>
      </w:r>
      <w:r w:rsidRPr="0091485F">
        <w:rPr>
          <w:szCs w:val="24"/>
        </w:rPr>
        <w:tab/>
        <w:t>plně podporuje ukládání cílených protikorupčních sankcí v unijním rámci, což je dlouhodobá priorita Parlamentu, ať už jejich začleněním do globálního režimu sankcí EU v oblasti lidských práv nebo jiného režimu; doporučuje rozšířit působnost režimu sankcí, aby zahrnoval rozsáhlé korupční kauzy a případy zneužívání veřejných zakázek, které přímo podporují autoritářské režimy, a propojil tak porušování lidských práv s </w:t>
      </w:r>
      <w:proofErr w:type="spellStart"/>
      <w:r w:rsidRPr="0091485F">
        <w:rPr>
          <w:szCs w:val="24"/>
        </w:rPr>
        <w:t>kleptokratickými</w:t>
      </w:r>
      <w:proofErr w:type="spellEnd"/>
      <w:r w:rsidRPr="0091485F">
        <w:rPr>
          <w:szCs w:val="24"/>
        </w:rPr>
        <w:t xml:space="preserve"> praktikami; dále zdůrazňuje, že protikorupční sankce by měly zohledňovat širší systémový kontext a být úzce propojeny s komplexními strategickými opatřeními vůči příslušným aktérům; s potěšením bere na vědomí, že Komise předložila návrh režimu protikorupčních sankcí; považuje za politováníhodné, že tento spis v Radě zablokovaly některé členské státy;</w:t>
      </w:r>
    </w:p>
    <w:p w14:paraId="3ACD2315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 xml:space="preserve">11. </w:t>
      </w:r>
      <w:r w:rsidRPr="0091485F">
        <w:rPr>
          <w:szCs w:val="24"/>
        </w:rPr>
        <w:tab/>
        <w:t>zdůrazňuje, že globální režim sankcí EU v oblasti lidských práv by se měl rovněž zabývat porušováním lidských práv, k němuž dochází v důsledku digitálního sledování, vývozu špionážního softwaru a dalších technologií používaných k represím, a úmyslné ničení životního prostředí s jasným záměrem poškodit civilní obyvatelstvo; vyzývá, aby sankční seznamy výslovně uváděly jednotlivce, kteří se na takovém porušování lidských práv podílejí;</w:t>
      </w:r>
    </w:p>
    <w:p w14:paraId="6AC7BD22" w14:textId="6ED4ADF6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12.</w:t>
      </w:r>
      <w:r w:rsidRPr="0091485F">
        <w:rPr>
          <w:szCs w:val="24"/>
        </w:rPr>
        <w:tab/>
        <w:t>oceňuje, že globální režim sankcí EU v oblasti lidských práv byl nedávno použit vůči aktérům odpovědným za nadnárodní represe disidentů a obránců lidských práv, a žádá, aby v reakci na tento celosvětově sílící trend byly na seznamy zařazeny další osoby a subjekty a aby byly systematicky posuzovány případy nadnárodní represe, včetně digitálního sledování, obtěžování osob žijících v exilu, přeshraničního zastrašování, šíření dezinformací a zneužívání práva; vyzývá Radu, aby přijala pracovní definici nadnárodní represe, která by zajistila důsledné postihování pachatelů, včetně nestátních zástupných subjektů, jako jsou soukromé bezpečnostní agentury a organizace diaspor; vyzývá EU, aby zpřísnila uplatňování sankcí na osoby a subjekty, u nichž bylo věrohodně dokázáno, že jsou odpovědné za nadnárodní represe obránců lidských práv, včetně obtěžování rodinných příslušníků, digitálních útoků nebo zastrašování v zahraničí;</w:t>
      </w:r>
    </w:p>
    <w:p w14:paraId="0BAFBFC2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13.</w:t>
      </w:r>
      <w:r w:rsidRPr="0091485F">
        <w:rPr>
          <w:szCs w:val="24"/>
        </w:rPr>
        <w:tab/>
        <w:t>naléhavě vyzývá členské státy, aby se zdržely dvoustranných politických nebo diplomatických kroků, které oslabují jejich závazek k respektování mezinárodních mechanismů trestního soudnictví, včetně Římského statutu, a k obraně lidských práv nebo které jsou v rozporu s jednotným postojem EU k sankcím; pověřuje místopředsedkyni Komise, vysokou představitelku Unie pro zahraniční věci a bezpečnostní politiku, aby členské státy, které by toto doporučení ignorovaly, vyzvala ke sladění kroků a k zachování jednoty EU; vybízí členské státy, aby posílily koordinaci a využívaly vlastní nástroje, jako je univerzální jurisdikce a vnitrostátní sankce, za předpokladu, že je budou uplatňovat koordinovaně na podporu společných cílů EU s cílem dosáhnout výrazné změny a přispět k dosažení cílů sankcí EU;</w:t>
      </w:r>
    </w:p>
    <w:p w14:paraId="705C396F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14.</w:t>
      </w:r>
      <w:r w:rsidRPr="0091485F">
        <w:rPr>
          <w:szCs w:val="24"/>
        </w:rPr>
        <w:tab/>
        <w:t xml:space="preserve">odsuzuje skutečnost, že některé členské státy EU nedodržují sankce EU a umožňují sankcionovaným osobám vstup na území EU, čímž poškozují důvěryhodnost a účinnost sankcí; naléhavě vyzývá všechny členské státy EU, aby plně a bezpodmínečně </w:t>
      </w:r>
      <w:r w:rsidRPr="0091485F">
        <w:rPr>
          <w:szCs w:val="24"/>
        </w:rPr>
        <w:lastRenderedPageBreak/>
        <w:t>dodržovaly sankce EU; vyzývá Komisi, aby jako strážkyně Smluv dohlížela na dodržování sankcí členskými státy EU a důsledně a bez diskriminace řešila případy jejich nedodržování ze strany členských států;</w:t>
      </w:r>
    </w:p>
    <w:p w14:paraId="1D144DDD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15.</w:t>
      </w:r>
      <w:r w:rsidRPr="0091485F">
        <w:rPr>
          <w:szCs w:val="24"/>
        </w:rPr>
        <w:tab/>
        <w:t xml:space="preserve">zdůrazňuje, že omezující opatření EU mohou být plně účinná pouze tehdy, budou-li všemi členskými státy vykládána, prosazována a prováděna důsledně, rychle a jednotně; bere na vědomí rozdíly mezi členskými státy, pokud jde o právní rámce, správní struktury a provozní zdroje pro uplatňování sankcí; vyzývá proto Komisi a členské státy, aby přijaly nezbytná opatření k zajištění harmonizovanějšího a koordinovanějšího uplatňování, mimo jiné posílením kapacit pro zmrazení majetku, zlepšením výměny informací a vytvořením společných mechanismů monitorování a vymáhání na úrovni EU; </w:t>
      </w:r>
    </w:p>
    <w:p w14:paraId="2EFBD88D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16.</w:t>
      </w:r>
      <w:r w:rsidRPr="0091485F">
        <w:rPr>
          <w:szCs w:val="24"/>
        </w:rPr>
        <w:tab/>
        <w:t>naléhavě vyzývá ESVČ, aby stanovila právní postupy pro využití úroků ze zmrazených aktiv osob, na které se vztahují sankce podle globálního režimu sankcí EU v oblasti lidských práv, tak aby mohly být použity ve prospěch obětí závažného porušování lidských práv, za něž jsou sankcionované osoby odpovědné; dále vybízí EU, aby prozkoumala možnost zavedení zvláštního postupu týkajícího se neoprávněných zisků;</w:t>
      </w:r>
    </w:p>
    <w:p w14:paraId="0EAF54B8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17.</w:t>
      </w:r>
      <w:r w:rsidRPr="0091485F">
        <w:rPr>
          <w:szCs w:val="24"/>
        </w:rPr>
        <w:tab/>
        <w:t>s velkým potěšením bere na vědomí, že Rada přijala tematické balíčky sankcí v rámci globálního režimu sankcí EU v oblasti lidských práv; naléhavě vyzývá Radu, aby systematicky a proaktivně přijímala podobná cílená opatření k řešení dalších konkrétních a závažných případů porušování lidských práv, včetně mučení, násilných zmizení, svévolného zadržování a utiskování občanské společnosti a obránců lidských práv;</w:t>
      </w:r>
    </w:p>
    <w:p w14:paraId="7751D2DC" w14:textId="7022B6DE" w:rsidR="00DE0F44" w:rsidRPr="0091485F" w:rsidRDefault="00DE0F44" w:rsidP="00D75B79">
      <w:pPr>
        <w:pStyle w:val="NormalHanging12a"/>
        <w:rPr>
          <w:bCs/>
          <w:iCs/>
          <w:szCs w:val="24"/>
        </w:rPr>
      </w:pPr>
      <w:r w:rsidRPr="0091485F">
        <w:rPr>
          <w:szCs w:val="24"/>
        </w:rPr>
        <w:t>18.</w:t>
      </w:r>
      <w:r w:rsidRPr="0091485F">
        <w:rPr>
          <w:szCs w:val="24"/>
        </w:rPr>
        <w:tab/>
        <w:t>znovu vyzývá Radu, aby postupně přešla k hlasování kvalifikovanou většinou v případě rozhodnutí v oblastech společné zahraniční a bezpečnostní politiky, která nemají vojenské nebo obranné důsledky, jako jsou sankce;</w:t>
      </w:r>
    </w:p>
    <w:p w14:paraId="19132EB8" w14:textId="77777777" w:rsidR="00DE0F44" w:rsidRPr="0091485F" w:rsidRDefault="00DE0F44" w:rsidP="00D75B79">
      <w:pPr>
        <w:pStyle w:val="NormalHanging12a"/>
        <w:rPr>
          <w:b/>
          <w:bCs/>
          <w:i/>
          <w:iCs/>
          <w:szCs w:val="24"/>
        </w:rPr>
      </w:pPr>
      <w:r w:rsidRPr="0091485F">
        <w:rPr>
          <w:b/>
          <w:i/>
          <w:szCs w:val="24"/>
        </w:rPr>
        <w:t>Posílení boje proti beztrestnosti</w:t>
      </w:r>
    </w:p>
    <w:p w14:paraId="0FF418CC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19.</w:t>
      </w:r>
      <w:r w:rsidRPr="0091485F">
        <w:rPr>
          <w:szCs w:val="24"/>
        </w:rPr>
        <w:tab/>
        <w:t>požaduje, aby režim sankcí EU byl v souladu s mezinárodním trestním právem, mezinárodním humanitárním právem a politikami EU týkajícími se právního státu a základních svobod a aby je doplňoval s cílem posílit boj proti beztrestnosti na celém světě;</w:t>
      </w:r>
    </w:p>
    <w:p w14:paraId="2267F652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20.</w:t>
      </w:r>
      <w:r w:rsidRPr="0091485F">
        <w:rPr>
          <w:szCs w:val="24"/>
        </w:rPr>
        <w:tab/>
        <w:t>naléhavě vyzývá EU, aby strategicky sladila seznamy globálního režimu sankcí EU v oblasti lidských práv s vnitrostátním a mezinárodním úsilím v oblasti trestního soudnictví, včetně zařazení osob obžalovaných mezinárodními soudy, např. Mezinárodním trestním soudem, pachatelů nejzávažnějších mezinárodních zločinů a aktérů, kteří takové procesy spravedlnosti maří, na uvedené seznamy;</w:t>
      </w:r>
    </w:p>
    <w:p w14:paraId="096161B6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21.</w:t>
      </w:r>
      <w:r w:rsidRPr="0091485F">
        <w:rPr>
          <w:szCs w:val="24"/>
        </w:rPr>
        <w:tab/>
        <w:t>zdůrazňuje, že sankce by měly také sloužit k zajištění toho, aby pachatelé závažných případů porušení lidských práv a korupce nezůstali v anonymitě, a tím odhalit osoby odpovědné za tyto činy;</w:t>
      </w:r>
    </w:p>
    <w:p w14:paraId="77EE4640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22.</w:t>
      </w:r>
      <w:r w:rsidRPr="0091485F">
        <w:rPr>
          <w:szCs w:val="24"/>
        </w:rPr>
        <w:tab/>
        <w:t xml:space="preserve">naléhavě vyzývá Radu, aby zajistila, že se všem regionům světa bude dostávat stejné pozornosti a bude se na ně vztahovat stejný závazek, a aby napravila současné geografické a tematické nerovnováhy v seznamech v rámci globálního režimu sankcí EU v oblasti lidských práv, a to tím, že rozšíří seznamy nad rámec současné geografické </w:t>
      </w:r>
      <w:r w:rsidRPr="0091485F">
        <w:rPr>
          <w:szCs w:val="24"/>
        </w:rPr>
        <w:lastRenderedPageBreak/>
        <w:t>koncentrace na všechny osoby a subjekty odpovědné za závažná porušování lidských práv, bez ohledu na jejich zemi původu;</w:t>
      </w:r>
    </w:p>
    <w:p w14:paraId="0B09FBDD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23.</w:t>
      </w:r>
      <w:r w:rsidRPr="0091485F">
        <w:rPr>
          <w:szCs w:val="24"/>
        </w:rPr>
        <w:tab/>
        <w:t xml:space="preserve">vybízí Radu, aby zvláštní pozornost věnovala porušování práv typu sexuálního a genderově podmíněného násilí, diskriminačních politik a pronásledování žen ve vedoucích pozicích, novinářek a aktivistek, tak aby se tyto kategorie náležitě odrazily v budoucích sankčních seznamech; </w:t>
      </w:r>
    </w:p>
    <w:p w14:paraId="19101572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24.</w:t>
      </w:r>
      <w:r w:rsidRPr="0091485F">
        <w:rPr>
          <w:szCs w:val="24"/>
        </w:rPr>
        <w:tab/>
        <w:t xml:space="preserve">konstatuje, že až dosud významná část osob, na něž byly uvaleny sankce v rámci globálního režimu sankcí EU v oblasti lidských práv byla sice zapojena do represivního aparátu státu, ale nepřijímala příslušná rozhodnutí, zatímco pouze menšina osob na seznamu zastává vedoucí politické nebo vojenské pozice; naléhavě vyzývá Radu, aby rozšířila okruh osob zařazovaných na seznam nad rámec níže postavených osob tak, aby zahrnoval politické a vojenské vůdce, a aby uvalila sankce na osoby odpovědné za přijímání rozhodnutí, která vedla k závažnému porušování lidských práv; </w:t>
      </w:r>
    </w:p>
    <w:p w14:paraId="191366D2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25.</w:t>
      </w:r>
      <w:r w:rsidRPr="0091485F">
        <w:rPr>
          <w:szCs w:val="24"/>
        </w:rPr>
        <w:tab/>
        <w:t>vyzývá k větší a účinnější komunikaci o uložených sankcích s cílem znovu vyjádřit globální postoj EU v oblasti lidských práv a boji proti beztrestnosti, neboť v některých případech jsou sankcionované osoby prezentovány jako hrdinové národní propagandou a jsou dokonce odměňovány represivními režimy; konstatuje, že odrazující prvek globálního režimu sankcí EU v oblasti lidských práv působí účinněji proti jednotlivcům a subjektům, které mají majetek v EU nebo prostředky na cestování do ní;</w:t>
      </w:r>
    </w:p>
    <w:p w14:paraId="185C46CE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26.</w:t>
      </w:r>
      <w:r w:rsidRPr="0091485F">
        <w:rPr>
          <w:szCs w:val="24"/>
        </w:rPr>
        <w:tab/>
        <w:t>odsuzuje veškeré odvetné sankce uvalené na EU, její orgány a členské státy, subjekty nebo občany jen proto, že prostřednictvím globálního režimu sankcí EU v oblasti lidských práv prosazují dodržování lidských práv, demokracie a právního státu;</w:t>
      </w:r>
    </w:p>
    <w:p w14:paraId="27150F60" w14:textId="77777777" w:rsidR="00DE0F44" w:rsidRPr="0091485F" w:rsidRDefault="00DE0F44" w:rsidP="00D75B79">
      <w:pPr>
        <w:pStyle w:val="NormalHanging12a"/>
        <w:rPr>
          <w:b/>
          <w:bCs/>
          <w:i/>
          <w:iCs/>
          <w:szCs w:val="24"/>
        </w:rPr>
      </w:pPr>
      <w:r w:rsidRPr="0091485F">
        <w:rPr>
          <w:b/>
          <w:i/>
          <w:szCs w:val="24"/>
        </w:rPr>
        <w:t>Transparentnost, odpovědnost a úloha občanské společnosti</w:t>
      </w:r>
    </w:p>
    <w:p w14:paraId="6DFB94BD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27.</w:t>
      </w:r>
      <w:r w:rsidRPr="0091485F">
        <w:rPr>
          <w:szCs w:val="24"/>
        </w:rPr>
        <w:tab/>
        <w:t>doporučuje zvýšit transparentnost sankčního procesu a poskytnout k němu jasné pokyny a zároveň zachovat právo osob zařazených na seznam na účinný soudní přezkum;</w:t>
      </w:r>
    </w:p>
    <w:p w14:paraId="6785FFB5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28.</w:t>
      </w:r>
      <w:r w:rsidRPr="0091485F">
        <w:rPr>
          <w:szCs w:val="24"/>
        </w:rPr>
        <w:tab/>
        <w:t>doporučuje, aby prokazatelná, skutečná a trvalá změna chování jednotlivců a subjektů zařazených na seznam, například probíhající spolupráce s mezinárodními justičními mechanismy, byla formálně uznána jako kritérium pro vyřazení ze seznamu, za účelem posílení motivace k odpovědnosti a dodržování požadavků;</w:t>
      </w:r>
    </w:p>
    <w:p w14:paraId="1AAFB612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29.</w:t>
      </w:r>
      <w:r w:rsidRPr="0091485F">
        <w:rPr>
          <w:szCs w:val="24"/>
        </w:rPr>
        <w:tab/>
        <w:t>navrhuje zavedení strukturovaného a transparentního konzultačního mechanismu pro podávání zpráv občanskou společností a její zapojení do procesu ukládání sankcí, včetně ochranných opatření pro oznamovatele, jako je například zřízení specializovaného kontaktního místa ESVČ; doporučuje, aby byla zavedena rozpočtová složka s cílem posílit schopnost ESVČ systematicky posuzovat a vyšetřovat informace a návrhy občanské společnosti, reagovat na ně a zpracovávat je;</w:t>
      </w:r>
    </w:p>
    <w:p w14:paraId="61E898EB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30.</w:t>
      </w:r>
      <w:r w:rsidRPr="0091485F">
        <w:rPr>
          <w:szCs w:val="24"/>
        </w:rPr>
        <w:tab/>
        <w:t>vyzývá Radu a místopředsedkyni Komise, vysokou představitelku Unie pro zahraniční věci a bezpečnostní politiku, aby zvážily doplňkovou úlohu Evropského parlamentu při shromažďování a navrhování případů závažného porušování lidských práv, které by měly být zváženy v rámci režimu sankcí, a aby Parlamentu včas poskytovaly informace o rozhodnutích o sankcích v rámci globálního režimu sankcí EU v oblasti lidských práv; žádá, aby Rada důkladně zvážila doporučení týkající se sankčních seznamů obsažená v usneseních Parlamentu;</w:t>
      </w:r>
    </w:p>
    <w:p w14:paraId="20948F83" w14:textId="77777777" w:rsidR="00DE0F44" w:rsidRPr="0091485F" w:rsidRDefault="00DE0F44" w:rsidP="00D75B79">
      <w:pPr>
        <w:pStyle w:val="NormalHanging12a"/>
        <w:rPr>
          <w:b/>
          <w:bCs/>
          <w:i/>
          <w:iCs/>
          <w:szCs w:val="24"/>
        </w:rPr>
      </w:pPr>
      <w:r w:rsidRPr="0091485F">
        <w:rPr>
          <w:b/>
          <w:i/>
          <w:szCs w:val="24"/>
        </w:rPr>
        <w:lastRenderedPageBreak/>
        <w:t>Zabránění obcházení a posílení nástrojů pro prosazování</w:t>
      </w:r>
    </w:p>
    <w:p w14:paraId="7E52583F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31.</w:t>
      </w:r>
      <w:r w:rsidRPr="0091485F">
        <w:rPr>
          <w:szCs w:val="24"/>
        </w:rPr>
        <w:tab/>
        <w:t xml:space="preserve">vyzývá k přezkumu globálního režimu sankcí EU v oblasti lidských práv, aby se zabránilo obcházení sankcí, a to vydáním výslovných a aktualizovaných pokynů k zákazu poskytování hospodářských zdrojů a technické a materiální podpory osobám a subjektům uvedeným na seznamu, které objasní, že zákaz poskytování technické a materiální podpory zahrnuje nefinanční pomoc, jako je infrastruktura IKT, software, právní podpora a kybernetické nástroje používané k represím; zdůrazňuje nutnost posílit sankční režim EU rozšířením a diverzifikací používání sekundárních sankcí s cílem zaměřit se na vládní úředníky, subjekty, podniky a jednotlivce, kteří se podílejí na usnadňování porušování nebo obcházení sankcí, jež by autoritářským režimům umožňovalo pokračovat v závažném porušování lidských práv; </w:t>
      </w:r>
    </w:p>
    <w:p w14:paraId="381069EA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32.</w:t>
      </w:r>
      <w:r w:rsidRPr="0091485F">
        <w:rPr>
          <w:szCs w:val="24"/>
        </w:rPr>
        <w:tab/>
        <w:t xml:space="preserve">vyzývá Komisi, aby posílila spolupráci s Evropským orgánem pro bankovnictví, Evropským orgánem pro cenné papíry a trhy, Orgánem pro boj proti praní peněz a vnitrostátními finančními zpravodajskými jednotkami s cílem systematicky zjišťovat, zda jsou neprůhledné finanční produkty, </w:t>
      </w:r>
      <w:proofErr w:type="spellStart"/>
      <w:r w:rsidRPr="0091485F">
        <w:rPr>
          <w:szCs w:val="24"/>
        </w:rPr>
        <w:t>kryptoaktiva</w:t>
      </w:r>
      <w:proofErr w:type="spellEnd"/>
      <w:r w:rsidRPr="0091485F">
        <w:rPr>
          <w:szCs w:val="24"/>
        </w:rPr>
        <w:t xml:space="preserve"> a offshorové struktury využívány k obcházení sankcí;</w:t>
      </w:r>
    </w:p>
    <w:p w14:paraId="68BC07C1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33.</w:t>
      </w:r>
      <w:r w:rsidRPr="0091485F">
        <w:rPr>
          <w:szCs w:val="24"/>
        </w:rPr>
        <w:tab/>
        <w:t>podporuje vzájemné sladění seznamů subjektů mezi globálním režimem sankcí EU v oblasti lidských práv a zeměpisně zaměřenými režimy sankcí, je-li to vhodné;</w:t>
      </w:r>
    </w:p>
    <w:p w14:paraId="10825779" w14:textId="77777777" w:rsidR="00DE0F44" w:rsidRPr="0091485F" w:rsidRDefault="00DE0F44" w:rsidP="00D75B79">
      <w:pPr>
        <w:pStyle w:val="NormalHanging12a"/>
        <w:rPr>
          <w:szCs w:val="24"/>
        </w:rPr>
      </w:pPr>
      <w:r w:rsidRPr="0091485F">
        <w:rPr>
          <w:szCs w:val="24"/>
        </w:rPr>
        <w:t>34.</w:t>
      </w:r>
      <w:r w:rsidRPr="0091485F">
        <w:rPr>
          <w:szCs w:val="24"/>
        </w:rPr>
        <w:tab/>
        <w:t>vyzývá Radu, aby přezkoumala ustanovení o výjimkách a zajistila, aby ze smluv uzavřených před zařazením osoby na seznam neměli prospěch její rodinní příslušníci nebo společníci, ani subjekty, které sankcionovaná osoba ovládá;</w:t>
      </w:r>
    </w:p>
    <w:p w14:paraId="32EA7B52" w14:textId="77777777" w:rsidR="00D75B79" w:rsidRPr="0091485F" w:rsidRDefault="00D75B79" w:rsidP="00D75B79">
      <w:pPr>
        <w:pStyle w:val="NormalHanging12a"/>
        <w:widowControl/>
        <w:ind w:left="0"/>
        <w:jc w:val="center"/>
        <w:rPr>
          <w:szCs w:val="24"/>
        </w:rPr>
      </w:pPr>
      <w:r w:rsidRPr="0091485F">
        <w:rPr>
          <w:szCs w:val="24"/>
        </w:rPr>
        <w:t>°</w:t>
      </w:r>
    </w:p>
    <w:p w14:paraId="431F9AA9" w14:textId="77777777" w:rsidR="00D75B79" w:rsidRPr="0091485F" w:rsidRDefault="00D75B79" w:rsidP="00D75B79">
      <w:pPr>
        <w:pStyle w:val="NormalHanging12a"/>
        <w:widowControl/>
        <w:ind w:left="0"/>
        <w:jc w:val="center"/>
        <w:rPr>
          <w:szCs w:val="24"/>
        </w:rPr>
      </w:pPr>
      <w:r w:rsidRPr="0091485F">
        <w:rPr>
          <w:szCs w:val="24"/>
        </w:rPr>
        <w:t>°     °</w:t>
      </w:r>
    </w:p>
    <w:p w14:paraId="4002B202" w14:textId="77777777" w:rsidR="00DE0F44" w:rsidRPr="0091485F" w:rsidRDefault="00DE0F44" w:rsidP="00D75B79">
      <w:pPr>
        <w:pStyle w:val="NormalHanging12a"/>
      </w:pPr>
      <w:r w:rsidRPr="0091485F">
        <w:rPr>
          <w:szCs w:val="24"/>
        </w:rPr>
        <w:t>35.</w:t>
      </w:r>
      <w:r w:rsidRPr="0091485F">
        <w:rPr>
          <w:szCs w:val="24"/>
        </w:rPr>
        <w:tab/>
        <w:t>pověřuje svou předsedkyni, aby předala toto usnesení Radě, Komisi a místopředsedkyni Komise, vysoké představitelce Unie pro</w:t>
      </w:r>
      <w:r w:rsidRPr="0091485F">
        <w:t xml:space="preserve"> zahraniční věci a bezpečnostní politiku.</w:t>
      </w:r>
    </w:p>
    <w:sectPr w:rsidR="00DE0F44" w:rsidRPr="0091485F" w:rsidSect="00DF31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63915" w14:textId="77777777" w:rsidR="00365B54" w:rsidRPr="00DF3116" w:rsidRDefault="00365B54">
      <w:r w:rsidRPr="00DF3116">
        <w:separator/>
      </w:r>
    </w:p>
  </w:endnote>
  <w:endnote w:type="continuationSeparator" w:id="0">
    <w:p w14:paraId="5AD7EED3" w14:textId="77777777" w:rsidR="00365B54" w:rsidRPr="00DF3116" w:rsidRDefault="00365B54">
      <w:r w:rsidRPr="00DF31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BF66" w14:textId="77777777" w:rsidR="00064002" w:rsidRPr="00DF31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A154" w14:textId="77777777" w:rsidR="00064002" w:rsidRPr="00DF31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D941" w14:textId="77777777" w:rsidR="00064002" w:rsidRPr="00DF31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1BE17" w14:textId="77777777" w:rsidR="00365B54" w:rsidRPr="00DF3116" w:rsidRDefault="00365B54">
      <w:r w:rsidRPr="00DF3116">
        <w:separator/>
      </w:r>
    </w:p>
  </w:footnote>
  <w:footnote w:type="continuationSeparator" w:id="0">
    <w:p w14:paraId="0938DFCC" w14:textId="77777777" w:rsidR="00365B54" w:rsidRPr="00DF3116" w:rsidRDefault="00365B54">
      <w:r w:rsidRPr="00DF3116">
        <w:continuationSeparator/>
      </w:r>
    </w:p>
  </w:footnote>
  <w:footnote w:id="1">
    <w:p w14:paraId="3CB3A65D" w14:textId="73719531" w:rsidR="00DE0F44" w:rsidRPr="00DF3116" w:rsidRDefault="00DE0F44" w:rsidP="00DF3116">
      <w:pPr>
        <w:ind w:left="567" w:hanging="567"/>
      </w:pPr>
      <w:r w:rsidRPr="00DF3116">
        <w:rPr>
          <w:rStyle w:val="FootnoteReference"/>
        </w:rPr>
        <w:footnoteRef/>
      </w:r>
      <w:r w:rsidR="00DF3116" w:rsidRPr="00DF3116">
        <w:t xml:space="preserve"> </w:t>
      </w:r>
      <w:r w:rsidR="00DF3116" w:rsidRPr="00DF3116">
        <w:tab/>
      </w:r>
      <w:proofErr w:type="spellStart"/>
      <w:r w:rsidRPr="00DF3116">
        <w:t>Úř</w:t>
      </w:r>
      <w:proofErr w:type="spellEnd"/>
      <w:r w:rsidRPr="00DF3116">
        <w:t xml:space="preserve">. </w:t>
      </w:r>
      <w:proofErr w:type="spellStart"/>
      <w:r w:rsidRPr="00DF3116">
        <w:t>věst</w:t>
      </w:r>
      <w:proofErr w:type="spellEnd"/>
      <w:r w:rsidRPr="00DF3116">
        <w:t>. L 410</w:t>
      </w:r>
      <w:r w:rsidR="0091485F">
        <w:t xml:space="preserve"> </w:t>
      </w:r>
      <w:r w:rsidRPr="00DF3116">
        <w:t xml:space="preserve">I, 7.12.2020, s. 13, ELI: </w:t>
      </w:r>
      <w:hyperlink r:id="rId1" w:history="1">
        <w:r w:rsidRPr="00DF3116">
          <w:rPr>
            <w:rStyle w:val="Hyperlink"/>
            <w:color w:val="0563C1"/>
          </w:rPr>
          <w:t>http://data.europa.eu/eli/dec/2020/1999/oj</w:t>
        </w:r>
      </w:hyperlink>
      <w:r w:rsidRPr="00DF3116">
        <w:t>.</w:t>
      </w:r>
    </w:p>
  </w:footnote>
  <w:footnote w:id="2">
    <w:p w14:paraId="5302191F" w14:textId="72FE2432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>. L 410</w:t>
      </w:r>
      <w:r w:rsidR="0091485F">
        <w:rPr>
          <w:sz w:val="24"/>
          <w:lang w:val="cs-CZ"/>
        </w:rPr>
        <w:t xml:space="preserve"> </w:t>
      </w:r>
      <w:r w:rsidRPr="00DF3116">
        <w:rPr>
          <w:sz w:val="24"/>
          <w:lang w:val="cs-CZ"/>
        </w:rPr>
        <w:t xml:space="preserve">I, 7.12.2020, s. 1, ELI: </w:t>
      </w:r>
      <w:r>
        <w:fldChar w:fldCharType="begin"/>
      </w:r>
      <w:r w:rsidRPr="00F363C4">
        <w:rPr>
          <w:lang w:val="fi-FI"/>
        </w:rPr>
        <w:instrText>HYPERLINK "http://data.europa.eu/eli/reg/2020/1998/oj"</w:instrText>
      </w:r>
      <w:r>
        <w:fldChar w:fldCharType="separate"/>
      </w:r>
      <w:r w:rsidRPr="00DF3116">
        <w:rPr>
          <w:rStyle w:val="Hyperlink"/>
          <w:color w:val="0563C1"/>
          <w:sz w:val="24"/>
          <w:lang w:val="cs-CZ"/>
        </w:rPr>
        <w:t>http://data.europa.eu/eli/reg/2020/1998/oj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3">
    <w:p w14:paraId="128AA437" w14:textId="5CA72859" w:rsidR="00DE0F44" w:rsidRPr="00DF3116" w:rsidRDefault="00DE0F44" w:rsidP="00DF3116">
      <w:pPr>
        <w:ind w:left="567" w:hanging="567"/>
      </w:pPr>
      <w:r w:rsidRPr="00DF3116">
        <w:rPr>
          <w:rStyle w:val="FootnoteReference"/>
        </w:rPr>
        <w:footnoteRef/>
      </w:r>
      <w:r w:rsidR="00DF3116" w:rsidRPr="00DF3116">
        <w:t xml:space="preserve"> </w:t>
      </w:r>
      <w:r w:rsidR="00DF3116" w:rsidRPr="00DF3116">
        <w:tab/>
      </w:r>
      <w:proofErr w:type="spellStart"/>
      <w:r w:rsidRPr="00DF3116">
        <w:t>Úř</w:t>
      </w:r>
      <w:proofErr w:type="spellEnd"/>
      <w:r w:rsidRPr="00DF3116">
        <w:t xml:space="preserve">. </w:t>
      </w:r>
      <w:proofErr w:type="spellStart"/>
      <w:r w:rsidRPr="00DF3116">
        <w:t>věst</w:t>
      </w:r>
      <w:proofErr w:type="spellEnd"/>
      <w:r w:rsidRPr="00DF3116">
        <w:t>. L 71</w:t>
      </w:r>
      <w:r w:rsidR="0091485F">
        <w:t xml:space="preserve"> </w:t>
      </w:r>
      <w:r w:rsidRPr="00DF3116">
        <w:t>I, 2</w:t>
      </w:r>
      <w:r w:rsidR="00FB20E8">
        <w:t>.</w:t>
      </w:r>
      <w:r w:rsidRPr="00DF3116">
        <w:t>3</w:t>
      </w:r>
      <w:r w:rsidR="00FB20E8">
        <w:t>.</w:t>
      </w:r>
      <w:r w:rsidRPr="00DF3116">
        <w:t xml:space="preserve">2021, s. 1, ELI: </w:t>
      </w:r>
      <w:hyperlink r:id="rId2" w:history="1">
        <w:r w:rsidRPr="00DF3116">
          <w:rPr>
            <w:rStyle w:val="Hyperlink"/>
            <w:color w:val="0563C1"/>
          </w:rPr>
          <w:t>http://data.europa.eu/eli/reg_impl/2021/371/oj</w:t>
        </w:r>
      </w:hyperlink>
      <w:r w:rsidRPr="00DF3116">
        <w:t xml:space="preserve">. </w:t>
      </w:r>
    </w:p>
  </w:footnote>
  <w:footnote w:id="4">
    <w:p w14:paraId="6BCA7F4F" w14:textId="35774EAA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>. L 99</w:t>
      </w:r>
      <w:r w:rsidR="0091485F">
        <w:rPr>
          <w:sz w:val="24"/>
          <w:lang w:val="cs-CZ"/>
        </w:rPr>
        <w:t xml:space="preserve"> </w:t>
      </w:r>
      <w:r w:rsidRPr="00DF3116">
        <w:rPr>
          <w:sz w:val="24"/>
          <w:lang w:val="cs-CZ"/>
        </w:rPr>
        <w:t>I, 22</w:t>
      </w:r>
      <w:r w:rsidR="00FB20E8">
        <w:rPr>
          <w:sz w:val="24"/>
          <w:lang w:val="cs-CZ"/>
        </w:rPr>
        <w:t>.</w:t>
      </w:r>
      <w:r w:rsidRPr="00DF3116">
        <w:rPr>
          <w:sz w:val="24"/>
          <w:lang w:val="cs-CZ"/>
        </w:rPr>
        <w:t>3</w:t>
      </w:r>
      <w:r w:rsidR="00FB20E8">
        <w:rPr>
          <w:sz w:val="24"/>
          <w:lang w:val="cs-CZ"/>
        </w:rPr>
        <w:t>.</w:t>
      </w:r>
      <w:r w:rsidRPr="00DF3116">
        <w:rPr>
          <w:sz w:val="24"/>
          <w:lang w:val="cs-CZ"/>
        </w:rPr>
        <w:t xml:space="preserve">2021, s. 1, ELI: </w:t>
      </w:r>
      <w:r>
        <w:fldChar w:fldCharType="begin"/>
      </w:r>
      <w:r w:rsidRPr="00F363C4">
        <w:rPr>
          <w:lang w:val="fi-FI"/>
        </w:rPr>
        <w:instrText>HYPERLINK "http://data.europa.eu/eli/reg_impl/2021/478/oj"</w:instrText>
      </w:r>
      <w:r>
        <w:fldChar w:fldCharType="separate"/>
      </w:r>
      <w:r w:rsidRPr="00DF3116">
        <w:rPr>
          <w:rStyle w:val="Hyperlink"/>
          <w:color w:val="0563C1"/>
          <w:sz w:val="24"/>
          <w:lang w:val="cs-CZ"/>
        </w:rPr>
        <w:t>http://data.europa.eu/eli/reg_impl/2021/478/oj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5">
    <w:p w14:paraId="5282F5C8" w14:textId="69BFB977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 xml:space="preserve">. L, 2025/1111, 28.5.2025, ELI: </w:t>
      </w:r>
      <w:r>
        <w:fldChar w:fldCharType="begin"/>
      </w:r>
      <w:r w:rsidRPr="00F363C4">
        <w:rPr>
          <w:lang w:val="fi-FI"/>
        </w:rPr>
        <w:instrText>HYPERLINK "http://data.europa.eu/eli/reg_impl/2025/1111/oj"</w:instrText>
      </w:r>
      <w:r>
        <w:fldChar w:fldCharType="separate"/>
      </w:r>
      <w:r w:rsidRPr="00DF3116">
        <w:rPr>
          <w:rStyle w:val="Hyperlink"/>
          <w:color w:val="0563C1"/>
          <w:sz w:val="24"/>
          <w:lang w:val="cs-CZ"/>
        </w:rPr>
        <w:t>http://data.europa.eu/eli/reg_impl/2025/1111/oj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6">
    <w:p w14:paraId="051BCBB5" w14:textId="1070AEF3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>. L 71</w:t>
      </w:r>
      <w:r w:rsidR="0091485F">
        <w:rPr>
          <w:sz w:val="24"/>
          <w:lang w:val="cs-CZ"/>
        </w:rPr>
        <w:t xml:space="preserve"> </w:t>
      </w:r>
      <w:r w:rsidRPr="00DF3116">
        <w:rPr>
          <w:sz w:val="24"/>
          <w:lang w:val="cs-CZ"/>
        </w:rPr>
        <w:t xml:space="preserve">I, 2.3.2021, s. 6, ELI: </w:t>
      </w:r>
      <w:r>
        <w:fldChar w:fldCharType="begin"/>
      </w:r>
      <w:r w:rsidRPr="00F363C4">
        <w:rPr>
          <w:lang w:val="cs-CZ"/>
        </w:rPr>
        <w:instrText>HYPERLINK "http://data.europa.eu/eli/dec/2021/372/oj"</w:instrText>
      </w:r>
      <w:r>
        <w:fldChar w:fldCharType="separate"/>
      </w:r>
      <w:r w:rsidRPr="00DF3116">
        <w:rPr>
          <w:rStyle w:val="Hyperlink"/>
          <w:color w:val="0563C1"/>
          <w:sz w:val="24"/>
          <w:lang w:val="cs-CZ"/>
        </w:rPr>
        <w:t>http://data.europa.eu/eli/dec/2021/372/oj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7">
    <w:p w14:paraId="16628E43" w14:textId="5B4EDB69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>. L 99</w:t>
      </w:r>
      <w:r w:rsidR="0091485F">
        <w:rPr>
          <w:sz w:val="24"/>
          <w:lang w:val="cs-CZ"/>
        </w:rPr>
        <w:t xml:space="preserve"> </w:t>
      </w:r>
      <w:r w:rsidRPr="00DF3116">
        <w:rPr>
          <w:sz w:val="24"/>
          <w:lang w:val="cs-CZ"/>
        </w:rPr>
        <w:t xml:space="preserve">I, 22.3.2021, s. 25, ELI: </w:t>
      </w:r>
      <w:r>
        <w:fldChar w:fldCharType="begin"/>
      </w:r>
      <w:r w:rsidRPr="00F363C4">
        <w:rPr>
          <w:lang w:val="fi-FI"/>
        </w:rPr>
        <w:instrText>HYPERLINK "http://data.europa.eu/eli/dec/2021/481/oj"</w:instrText>
      </w:r>
      <w:r>
        <w:fldChar w:fldCharType="separate"/>
      </w:r>
      <w:r w:rsidRPr="00DF3116">
        <w:rPr>
          <w:rStyle w:val="Hyperlink"/>
          <w:color w:val="0563C1"/>
          <w:sz w:val="24"/>
          <w:lang w:val="cs-CZ"/>
        </w:rPr>
        <w:t>http://data.europa.eu/eli/dec/2021/481/oj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8">
    <w:p w14:paraId="5DF859F5" w14:textId="1A96DEF7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>. L 445</w:t>
      </w:r>
      <w:r w:rsidR="0091485F">
        <w:rPr>
          <w:sz w:val="24"/>
          <w:lang w:val="cs-CZ"/>
        </w:rPr>
        <w:t xml:space="preserve"> </w:t>
      </w:r>
      <w:r w:rsidRPr="00DF3116">
        <w:rPr>
          <w:sz w:val="24"/>
          <w:lang w:val="cs-CZ"/>
        </w:rPr>
        <w:t xml:space="preserve">I, 13.12.2021, s. 17, ELI: </w:t>
      </w:r>
      <w:r>
        <w:fldChar w:fldCharType="begin"/>
      </w:r>
      <w:r w:rsidRPr="00F363C4">
        <w:rPr>
          <w:lang w:val="cs-CZ"/>
        </w:rPr>
        <w:instrText>HYPERLINK "http://data.europa.eu/eli/dec/2021/2197/oj"</w:instrText>
      </w:r>
      <w:r>
        <w:fldChar w:fldCharType="separate"/>
      </w:r>
      <w:r w:rsidRPr="00DF3116">
        <w:rPr>
          <w:rStyle w:val="Hyperlink"/>
          <w:color w:val="0563C1"/>
          <w:sz w:val="24"/>
          <w:lang w:val="cs-CZ"/>
        </w:rPr>
        <w:t>http://data.europa.eu/eli/dec/2021/2197/oj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9">
    <w:p w14:paraId="1B9FFFFF" w14:textId="742F7886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>. L 183</w:t>
      </w:r>
      <w:r w:rsidR="0091485F">
        <w:rPr>
          <w:sz w:val="24"/>
          <w:lang w:val="cs-CZ"/>
        </w:rPr>
        <w:t xml:space="preserve"> </w:t>
      </w:r>
      <w:r w:rsidRPr="00DF3116">
        <w:rPr>
          <w:sz w:val="24"/>
          <w:lang w:val="cs-CZ"/>
        </w:rPr>
        <w:t xml:space="preserve">I, 20.7.2023, s. 60, ELI: </w:t>
      </w:r>
      <w:r>
        <w:fldChar w:fldCharType="begin"/>
      </w:r>
      <w:r w:rsidRPr="00F363C4">
        <w:rPr>
          <w:lang w:val="fi-FI"/>
        </w:rPr>
        <w:instrText>HYPERLINK "http://data.europa.eu/eli/dec/2023/1504/oj"</w:instrText>
      </w:r>
      <w:r>
        <w:fldChar w:fldCharType="separate"/>
      </w:r>
      <w:r w:rsidRPr="00DF3116">
        <w:rPr>
          <w:rStyle w:val="Hyperlink"/>
          <w:color w:val="0563C1"/>
          <w:sz w:val="24"/>
          <w:lang w:val="cs-CZ"/>
        </w:rPr>
        <w:t>http://data.europa.eu/eli/dec/2023/1504/oj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10">
    <w:p w14:paraId="642C9401" w14:textId="6A8BE4B1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>. L 221</w:t>
      </w:r>
      <w:r w:rsidR="0091485F">
        <w:rPr>
          <w:sz w:val="24"/>
          <w:lang w:val="cs-CZ"/>
        </w:rPr>
        <w:t xml:space="preserve"> </w:t>
      </w:r>
      <w:r w:rsidRPr="00DF3116">
        <w:rPr>
          <w:sz w:val="24"/>
          <w:lang w:val="cs-CZ"/>
        </w:rPr>
        <w:t xml:space="preserve">I, 8.9.2023, s. 6, ELI: </w:t>
      </w:r>
      <w:r>
        <w:fldChar w:fldCharType="begin"/>
      </w:r>
      <w:r w:rsidRPr="00F363C4">
        <w:rPr>
          <w:lang w:val="cs-CZ"/>
        </w:rPr>
        <w:instrText>HYPERLINK "http://data.europa.eu/eli/dec/2023/1716/oj"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http://data.europa.eu/eli/dec/2023/1716/oj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11">
    <w:p w14:paraId="1D36D750" w14:textId="45794D25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 xml:space="preserve">. L, 2024/1025, 5.4.2024, ELI: </w:t>
      </w:r>
      <w:r>
        <w:fldChar w:fldCharType="begin"/>
      </w:r>
      <w:r w:rsidRPr="00F363C4">
        <w:rPr>
          <w:lang w:val="fi-FI"/>
        </w:rPr>
        <w:instrText>HYPERLINK "http://data.europa.eu/eli/dec/2024/1025/oj"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http://data.europa.eu/eli/dec/2024/1025/oj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12">
    <w:p w14:paraId="5BEECF95" w14:textId="3AEBAA08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 xml:space="preserve">. L, 2024/1074, 12.4.2024, ELI: </w:t>
      </w:r>
      <w:r>
        <w:fldChar w:fldCharType="begin"/>
      </w:r>
      <w:r w:rsidRPr="00F363C4">
        <w:rPr>
          <w:lang w:val="fi-FI"/>
        </w:rPr>
        <w:instrText>HYPERLINK "http://data.europa.eu/eli/dec/2024/1074/oj"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http://data.europa.eu/eli/dec/2024/1074/oj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13">
    <w:p w14:paraId="739E77D1" w14:textId="1BDDF851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 xml:space="preserve">. L, 2024/1175, 19.4.2024, ELI: </w:t>
      </w:r>
      <w:r>
        <w:fldChar w:fldCharType="begin"/>
      </w:r>
      <w:r w:rsidRPr="00F363C4">
        <w:rPr>
          <w:lang w:val="fi-FI"/>
        </w:rPr>
        <w:instrText>HYPERLINK "http://data.europa.eu/eli/dec/2024/1175/oj"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http://data.europa.eu/eli/dec/2024/1175/oj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14">
    <w:p w14:paraId="21679453" w14:textId="709D3471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 xml:space="preserve">. L, 2024/1967, 15.7.2024, ELI: </w:t>
      </w:r>
      <w:r>
        <w:fldChar w:fldCharType="begin"/>
      </w:r>
      <w:r w:rsidRPr="00F363C4">
        <w:rPr>
          <w:lang w:val="fi-FI"/>
        </w:rPr>
        <w:instrText>HYPERLINK "http://data.europa.eu/eli/dec/2024/1967/oj"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http://data.europa.eu/eli/dec/2024/1967/oj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15">
    <w:p w14:paraId="1DB1F052" w14:textId="2E396B3D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 xml:space="preserve">. L, 2024/3004, 3.12.2024, ELI: </w:t>
      </w:r>
      <w:r>
        <w:fldChar w:fldCharType="begin"/>
      </w:r>
      <w:r w:rsidRPr="00F363C4">
        <w:rPr>
          <w:lang w:val="fi-FI"/>
        </w:rPr>
        <w:instrText>HYPERLINK "http://data.europa.eu/eli/dec/2024/3004/oj"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http://data.europa.eu/eli/dec/2024/3004/oj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16">
    <w:p w14:paraId="4E5D4E28" w14:textId="396D7F33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 xml:space="preserve">. L, 2025/346, 19.2.2025, ELI: </w:t>
      </w:r>
      <w:r>
        <w:fldChar w:fldCharType="begin"/>
      </w:r>
      <w:r w:rsidRPr="00F363C4">
        <w:rPr>
          <w:lang w:val="fi-FI"/>
        </w:rPr>
        <w:instrText>HYPERLINK "http://data.europa.eu/eli/dec/2025/346/oj"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http://data.europa.eu/eli/dec/2025/346/oj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17">
    <w:p w14:paraId="6C8C4299" w14:textId="298C7560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 xml:space="preserve">. L, 2025/1110, 28.5.2025, ELI: </w:t>
      </w:r>
      <w:r>
        <w:fldChar w:fldCharType="begin"/>
      </w:r>
      <w:r w:rsidRPr="00F363C4">
        <w:rPr>
          <w:lang w:val="fi-FI"/>
        </w:rPr>
        <w:instrText>HYPERLINK "http://data.europa.eu/eli/dec/2025/1110/oj"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http://data.europa.eu/eli/dec/2025/1110/oj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18">
    <w:p w14:paraId="5BE3E144" w14:textId="1A1CB87C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>. C 99, 1.3.2022, s. 152.</w:t>
      </w:r>
    </w:p>
  </w:footnote>
  <w:footnote w:id="19">
    <w:p w14:paraId="5045C6F1" w14:textId="7ECE5044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="0091485F" w:rsidRPr="00DF3116">
        <w:rPr>
          <w:sz w:val="24"/>
          <w:lang w:val="cs-CZ"/>
        </w:rPr>
        <w:t>Úř</w:t>
      </w:r>
      <w:proofErr w:type="spellEnd"/>
      <w:r w:rsidR="0091485F" w:rsidRPr="00DF3116">
        <w:rPr>
          <w:sz w:val="24"/>
          <w:lang w:val="cs-CZ"/>
        </w:rPr>
        <w:t xml:space="preserve">. </w:t>
      </w:r>
      <w:proofErr w:type="spellStart"/>
      <w:r w:rsidR="0091485F" w:rsidRPr="00DF3116">
        <w:rPr>
          <w:sz w:val="24"/>
          <w:lang w:val="cs-CZ"/>
        </w:rPr>
        <w:t>věst</w:t>
      </w:r>
      <w:proofErr w:type="spellEnd"/>
      <w:r w:rsidR="0091485F" w:rsidRPr="00DF3116">
        <w:rPr>
          <w:sz w:val="24"/>
          <w:lang w:val="cs-CZ"/>
        </w:rPr>
        <w:t xml:space="preserve">. </w:t>
      </w:r>
      <w:r w:rsidR="0091485F" w:rsidRPr="009D1A94">
        <w:rPr>
          <w:sz w:val="24"/>
          <w:lang w:val="fi-FI"/>
        </w:rPr>
        <w:t xml:space="preserve">C, C/2025/4390, 9.9.2025, ELI: </w:t>
      </w:r>
      <w:r w:rsidR="0091485F" w:rsidRPr="009D1A94">
        <w:rPr>
          <w:rStyle w:val="Hyperlink"/>
          <w:szCs w:val="24"/>
          <w:lang w:val="fi-FI"/>
        </w:rPr>
        <w:t>http://data.europa.eu/eli/C/2025/4390/oj</w:t>
      </w:r>
      <w:r w:rsidRPr="00DF3116">
        <w:rPr>
          <w:sz w:val="24"/>
          <w:lang w:val="cs-CZ"/>
        </w:rPr>
        <w:t>.</w:t>
      </w:r>
    </w:p>
  </w:footnote>
  <w:footnote w:id="20">
    <w:p w14:paraId="1FEDF234" w14:textId="42CBF5F6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 xml:space="preserve">. 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 xml:space="preserve">. L, 2023/2721, 5.12.2023, ELI: </w:t>
      </w:r>
      <w:r>
        <w:fldChar w:fldCharType="begin"/>
      </w:r>
      <w:r w:rsidRPr="00F363C4">
        <w:rPr>
          <w:lang w:val="fi-FI"/>
        </w:rPr>
        <w:instrText>HYPERLINK "http://data.europa.eu/eli/dec/2023/2721/oj"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http://data.europa.eu/eli/dec/2023/2721/oj</w:t>
      </w:r>
      <w:r>
        <w:fldChar w:fldCharType="end"/>
      </w:r>
      <w:r w:rsidRPr="00DF3116">
        <w:rPr>
          <w:sz w:val="24"/>
          <w:lang w:val="cs-CZ"/>
        </w:rPr>
        <w:t xml:space="preserve">. </w:t>
      </w:r>
    </w:p>
  </w:footnote>
  <w:footnote w:id="21">
    <w:p w14:paraId="067188E4" w14:textId="2C41B2B9" w:rsidR="00DE0F44" w:rsidRPr="00DF3116" w:rsidRDefault="00DE0F44" w:rsidP="00DF3116">
      <w:pPr>
        <w:pStyle w:val="FootnoteText"/>
        <w:ind w:left="567" w:hanging="567"/>
        <w:rPr>
          <w:sz w:val="24"/>
          <w:lang w:val="cs-CZ"/>
        </w:rPr>
      </w:pPr>
      <w:r w:rsidRPr="00DF3116">
        <w:rPr>
          <w:rStyle w:val="FootnoteReference"/>
          <w:sz w:val="24"/>
          <w:lang w:val="cs-CZ"/>
        </w:rPr>
        <w:footnoteRef/>
      </w:r>
      <w:r w:rsidR="00DF3116" w:rsidRPr="00DF3116">
        <w:rPr>
          <w:sz w:val="24"/>
          <w:lang w:val="cs-CZ"/>
        </w:rPr>
        <w:t xml:space="preserve"> </w:t>
      </w:r>
      <w:r w:rsidR="00DF3116" w:rsidRPr="00DF3116">
        <w:rPr>
          <w:sz w:val="24"/>
          <w:lang w:val="cs-CZ"/>
        </w:rPr>
        <w:tab/>
      </w:r>
      <w:r w:rsidRPr="00DF3116">
        <w:rPr>
          <w:sz w:val="24"/>
          <w:lang w:val="cs-CZ"/>
        </w:rPr>
        <w:t>Nařízení Rady (ES) č. 2271/96 ze dne 22. listopadu 1996 o ochraně proti účinkům právních předpisů přijatých určitou třetí zemí uplatňovaných mimo její území, jakož i proti účinkům opatření na nich založených nebo z nich vyplývajících (</w:t>
      </w:r>
      <w:proofErr w:type="spellStart"/>
      <w:r w:rsidRPr="00DF3116">
        <w:rPr>
          <w:sz w:val="24"/>
          <w:lang w:val="cs-CZ"/>
        </w:rPr>
        <w:t>Úř</w:t>
      </w:r>
      <w:proofErr w:type="spellEnd"/>
      <w:r w:rsidRPr="00DF3116">
        <w:rPr>
          <w:sz w:val="24"/>
          <w:lang w:val="cs-CZ"/>
        </w:rPr>
        <w:t>. </w:t>
      </w:r>
      <w:proofErr w:type="spellStart"/>
      <w:r w:rsidRPr="00DF3116">
        <w:rPr>
          <w:sz w:val="24"/>
          <w:lang w:val="cs-CZ"/>
        </w:rPr>
        <w:t>věst</w:t>
      </w:r>
      <w:proofErr w:type="spellEnd"/>
      <w:r w:rsidRPr="00DF3116">
        <w:rPr>
          <w:sz w:val="24"/>
          <w:lang w:val="cs-CZ"/>
        </w:rPr>
        <w:t>. L 309, 29.11.1996, s. 1, ELI: </w:t>
      </w:r>
      <w:r>
        <w:fldChar w:fldCharType="begin"/>
      </w:r>
      <w:r w:rsidRPr="00F363C4">
        <w:rPr>
          <w:lang w:val="cs-CZ"/>
        </w:rPr>
        <w:instrText>HYPERLINK "http://data.europa.eu/eli/reg/1996/2271/oj"</w:instrText>
      </w:r>
      <w:r>
        <w:fldChar w:fldCharType="separate"/>
      </w:r>
      <w:r w:rsidRPr="00DF3116">
        <w:rPr>
          <w:rStyle w:val="Hyperlink"/>
          <w:sz w:val="24"/>
          <w:lang w:val="cs-CZ"/>
        </w:rPr>
        <w:t>http://data.europa.eu/</w:t>
      </w:r>
      <w:proofErr w:type="spellStart"/>
      <w:r w:rsidRPr="00DF3116">
        <w:rPr>
          <w:rStyle w:val="Hyperlink"/>
          <w:sz w:val="24"/>
          <w:lang w:val="cs-CZ"/>
        </w:rPr>
        <w:t>eli</w:t>
      </w:r>
      <w:proofErr w:type="spellEnd"/>
      <w:r w:rsidRPr="00DF3116">
        <w:rPr>
          <w:rStyle w:val="Hyperlink"/>
          <w:sz w:val="24"/>
          <w:lang w:val="cs-CZ"/>
        </w:rPr>
        <w:t>/</w:t>
      </w:r>
      <w:proofErr w:type="spellStart"/>
      <w:r w:rsidRPr="00DF3116">
        <w:rPr>
          <w:rStyle w:val="Hyperlink"/>
          <w:sz w:val="24"/>
          <w:lang w:val="cs-CZ"/>
        </w:rPr>
        <w:t>reg</w:t>
      </w:r>
      <w:proofErr w:type="spellEnd"/>
      <w:r w:rsidRPr="00DF3116">
        <w:rPr>
          <w:rStyle w:val="Hyperlink"/>
          <w:sz w:val="24"/>
          <w:lang w:val="cs-CZ"/>
        </w:rPr>
        <w:t>/1996/2271/oj</w:t>
      </w:r>
      <w:r>
        <w:fldChar w:fldCharType="end"/>
      </w:r>
      <w:r w:rsidRPr="00DF3116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869C" w14:textId="77777777" w:rsidR="00064002" w:rsidRPr="00DF31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1045" w14:textId="77777777" w:rsidR="00064002" w:rsidRPr="00DF31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4F77D" w14:textId="77777777" w:rsidR="00064002" w:rsidRPr="00DF31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8353583">
    <w:abstractNumId w:val="9"/>
  </w:num>
  <w:num w:numId="2" w16cid:durableId="883179275">
    <w:abstractNumId w:val="9"/>
  </w:num>
  <w:num w:numId="3" w16cid:durableId="1927495699">
    <w:abstractNumId w:val="7"/>
  </w:num>
  <w:num w:numId="4" w16cid:durableId="638608975">
    <w:abstractNumId w:val="7"/>
  </w:num>
  <w:num w:numId="5" w16cid:durableId="537015130">
    <w:abstractNumId w:val="6"/>
  </w:num>
  <w:num w:numId="6" w16cid:durableId="885145499">
    <w:abstractNumId w:val="6"/>
  </w:num>
  <w:num w:numId="7" w16cid:durableId="855339685">
    <w:abstractNumId w:val="5"/>
  </w:num>
  <w:num w:numId="8" w16cid:durableId="536360320">
    <w:abstractNumId w:val="5"/>
  </w:num>
  <w:num w:numId="9" w16cid:durableId="1442796462">
    <w:abstractNumId w:val="4"/>
  </w:num>
  <w:num w:numId="10" w16cid:durableId="174880434">
    <w:abstractNumId w:val="4"/>
  </w:num>
  <w:num w:numId="11" w16cid:durableId="1056585399">
    <w:abstractNumId w:val="8"/>
  </w:num>
  <w:num w:numId="12" w16cid:durableId="1915241481">
    <w:abstractNumId w:val="8"/>
  </w:num>
  <w:num w:numId="13" w16cid:durableId="2036228740">
    <w:abstractNumId w:val="3"/>
  </w:num>
  <w:num w:numId="14" w16cid:durableId="1827472783">
    <w:abstractNumId w:val="3"/>
  </w:num>
  <w:num w:numId="15" w16cid:durableId="1440568512">
    <w:abstractNumId w:val="2"/>
  </w:num>
  <w:num w:numId="16" w16cid:durableId="2145192399">
    <w:abstractNumId w:val="2"/>
  </w:num>
  <w:num w:numId="17" w16cid:durableId="803887375">
    <w:abstractNumId w:val="1"/>
  </w:num>
  <w:num w:numId="18" w16cid:durableId="813376461">
    <w:abstractNumId w:val="1"/>
  </w:num>
  <w:num w:numId="19" w16cid:durableId="64034252">
    <w:abstractNumId w:val="0"/>
  </w:num>
  <w:num w:numId="20" w16cid:durableId="1928880099">
    <w:abstractNumId w:val="0"/>
  </w:num>
  <w:num w:numId="21" w16cid:durableId="1830636418">
    <w:abstractNumId w:val="9"/>
  </w:num>
  <w:num w:numId="22" w16cid:durableId="1077050088">
    <w:abstractNumId w:val="7"/>
  </w:num>
  <w:num w:numId="23" w16cid:durableId="1697580894">
    <w:abstractNumId w:val="6"/>
  </w:num>
  <w:num w:numId="24" w16cid:durableId="955059641">
    <w:abstractNumId w:val="5"/>
  </w:num>
  <w:num w:numId="25" w16cid:durableId="100532615">
    <w:abstractNumId w:val="4"/>
  </w:num>
  <w:num w:numId="26" w16cid:durableId="1591543650">
    <w:abstractNumId w:val="8"/>
  </w:num>
  <w:num w:numId="27" w16cid:durableId="494339390">
    <w:abstractNumId w:val="3"/>
  </w:num>
  <w:num w:numId="28" w16cid:durableId="998075451">
    <w:abstractNumId w:val="2"/>
  </w:num>
  <w:num w:numId="29" w16cid:durableId="77101630">
    <w:abstractNumId w:val="1"/>
  </w:num>
  <w:num w:numId="30" w16cid:durableId="2094666239">
    <w:abstractNumId w:val="0"/>
  </w:num>
  <w:num w:numId="31" w16cid:durableId="1590115693">
    <w:abstractNumId w:val="9"/>
  </w:num>
  <w:num w:numId="32" w16cid:durableId="1244486482">
    <w:abstractNumId w:val="7"/>
  </w:num>
  <w:num w:numId="33" w16cid:durableId="1335063308">
    <w:abstractNumId w:val="6"/>
  </w:num>
  <w:num w:numId="34" w16cid:durableId="1350639791">
    <w:abstractNumId w:val="5"/>
  </w:num>
  <w:num w:numId="35" w16cid:durableId="327025868">
    <w:abstractNumId w:val="4"/>
  </w:num>
  <w:num w:numId="36" w16cid:durableId="1808547090">
    <w:abstractNumId w:val="8"/>
  </w:num>
  <w:num w:numId="37" w16cid:durableId="857499355">
    <w:abstractNumId w:val="3"/>
  </w:num>
  <w:num w:numId="38" w16cid:durableId="687606719">
    <w:abstractNumId w:val="2"/>
  </w:num>
  <w:num w:numId="39" w16cid:durableId="840782556">
    <w:abstractNumId w:val="1"/>
  </w:num>
  <w:num w:numId="40" w16cid:durableId="1853760687">
    <w:abstractNumId w:val="0"/>
  </w:num>
  <w:num w:numId="41" w16cid:durableId="2113818810">
    <w:abstractNumId w:val="10"/>
  </w:num>
  <w:num w:numId="42" w16cid:durableId="1756899116">
    <w:abstractNumId w:val="10"/>
  </w:num>
  <w:num w:numId="43" w16cid:durableId="779450083">
    <w:abstractNumId w:val="10"/>
  </w:num>
  <w:num w:numId="44" w16cid:durableId="20082875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6/2025"/>
    <w:docVar w:name="dvlangue" w:val="CS"/>
    <w:docVar w:name="dvnumam" w:val="0"/>
    <w:docVar w:name="dvpe" w:val="775.385"/>
    <w:docVar w:name="dvrapporteur" w:val="Zpravodaj: "/>
    <w:docVar w:name="dvtitre" w:val="Usnesení Evropského parlamentu ze dne 21. ledna 2026 o řešení beztrestnosti prostřednictvím sankcí EU, včetně globálního režimu sankcí EU v oblasti lidských práv (tzv. „Magnitského zákon Evropské unie“)(2025/2049(INI))"/>
  </w:docVars>
  <w:rsids>
    <w:rsidRoot w:val="00365B54"/>
    <w:rsid w:val="00002272"/>
    <w:rsid w:val="00064002"/>
    <w:rsid w:val="000677B9"/>
    <w:rsid w:val="000831BA"/>
    <w:rsid w:val="000A42CC"/>
    <w:rsid w:val="000E2ADD"/>
    <w:rsid w:val="000E7DD9"/>
    <w:rsid w:val="0010095E"/>
    <w:rsid w:val="00125B37"/>
    <w:rsid w:val="00187494"/>
    <w:rsid w:val="001F32AE"/>
    <w:rsid w:val="002767FF"/>
    <w:rsid w:val="002B18FE"/>
    <w:rsid w:val="002B5493"/>
    <w:rsid w:val="002C2044"/>
    <w:rsid w:val="002F6B16"/>
    <w:rsid w:val="00343214"/>
    <w:rsid w:val="00361C00"/>
    <w:rsid w:val="00365B54"/>
    <w:rsid w:val="00395FA1"/>
    <w:rsid w:val="003A039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A1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1C5"/>
    <w:rsid w:val="0091485F"/>
    <w:rsid w:val="00930C23"/>
    <w:rsid w:val="0093193B"/>
    <w:rsid w:val="009509D8"/>
    <w:rsid w:val="00950B64"/>
    <w:rsid w:val="00981893"/>
    <w:rsid w:val="00A1687D"/>
    <w:rsid w:val="00A43E52"/>
    <w:rsid w:val="00A4678D"/>
    <w:rsid w:val="00A71F1C"/>
    <w:rsid w:val="00A778C7"/>
    <w:rsid w:val="00AB441E"/>
    <w:rsid w:val="00AB6293"/>
    <w:rsid w:val="00AE0928"/>
    <w:rsid w:val="00AF024F"/>
    <w:rsid w:val="00AF3B82"/>
    <w:rsid w:val="00B12E95"/>
    <w:rsid w:val="00B22876"/>
    <w:rsid w:val="00B51F0C"/>
    <w:rsid w:val="00B558F0"/>
    <w:rsid w:val="00BA7F7F"/>
    <w:rsid w:val="00BD48FE"/>
    <w:rsid w:val="00BD7BD8"/>
    <w:rsid w:val="00BE3F7E"/>
    <w:rsid w:val="00BE6ADC"/>
    <w:rsid w:val="00C05BFE"/>
    <w:rsid w:val="00C23CD4"/>
    <w:rsid w:val="00C35C90"/>
    <w:rsid w:val="00C61C0C"/>
    <w:rsid w:val="00C941CB"/>
    <w:rsid w:val="00CC2357"/>
    <w:rsid w:val="00CF071A"/>
    <w:rsid w:val="00D058B8"/>
    <w:rsid w:val="00D56C11"/>
    <w:rsid w:val="00D75B79"/>
    <w:rsid w:val="00D834A0"/>
    <w:rsid w:val="00D872DF"/>
    <w:rsid w:val="00D91E21"/>
    <w:rsid w:val="00DA7FCD"/>
    <w:rsid w:val="00DE0F44"/>
    <w:rsid w:val="00DF3116"/>
    <w:rsid w:val="00DF3BD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3C4"/>
    <w:rsid w:val="00F5134D"/>
    <w:rsid w:val="00F74202"/>
    <w:rsid w:val="00F87713"/>
    <w:rsid w:val="00FB20E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A37E2"/>
  <w15:chartTrackingRefBased/>
  <w15:docId w15:val="{4DE89625-A2C2-45CB-97E3-BA7B52428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E0F44"/>
    <w:pPr>
      <w:spacing w:after="240"/>
      <w:ind w:left="567" w:hanging="567"/>
    </w:pPr>
  </w:style>
  <w:style w:type="paragraph" w:customStyle="1" w:styleId="EPComma">
    <w:name w:val="EPComma"/>
    <w:basedOn w:val="Normal"/>
    <w:rsid w:val="00DE0F44"/>
    <w:pPr>
      <w:spacing w:before="480" w:after="240"/>
    </w:pPr>
  </w:style>
  <w:style w:type="character" w:styleId="Hyperlink">
    <w:name w:val="Hyperlink"/>
    <w:basedOn w:val="DefaultParagraphFont"/>
    <w:rsid w:val="00DE0F4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75B79"/>
    <w:rPr>
      <w:sz w:val="24"/>
      <w:lang w:val="cs-CZ"/>
    </w:rPr>
  </w:style>
  <w:style w:type="character" w:styleId="FollowedHyperlink">
    <w:name w:val="FollowedHyperlink"/>
    <w:basedOn w:val="DefaultParagraphFont"/>
    <w:rsid w:val="00FB20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impl/2021/371/oj" TargetMode="External"/><Relationship Id="rId1" Type="http://schemas.openxmlformats.org/officeDocument/2006/relationships/hyperlink" Target="http://data.europa.eu/eli/dec/2020/19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3962</Words>
  <Characters>23318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SEMEDO Teresa</cp:lastModifiedBy>
  <cp:revision>3</cp:revision>
  <cp:lastPrinted>2004-11-19T15:42:00Z</cp:lastPrinted>
  <dcterms:created xsi:type="dcterms:W3CDTF">2026-03-03T11:02:00Z</dcterms:created>
  <dcterms:modified xsi:type="dcterms:W3CDTF">2026-05-27T07:20:00Z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A10-0266/2025</vt:lpwstr>
  </property>
  <property fmtid="{D5CDD505-2E9C-101B-9397-08002B2CF9AE}" pid="4" name="&lt;Type&gt;">
    <vt:lpwstr>RR</vt:lpwstr>
  </property>
</Properties>
</file>