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1C8F" w14:paraId="2497CE4B" w14:textId="77777777" w:rsidTr="0010095E">
        <w:trPr>
          <w:trHeight w:hRule="exact" w:val="1418"/>
        </w:trPr>
        <w:tc>
          <w:tcPr>
            <w:tcW w:w="6804" w:type="dxa"/>
            <w:shd w:val="clear" w:color="auto" w:fill="auto"/>
            <w:vAlign w:val="center"/>
          </w:tcPr>
          <w:p w14:paraId="277F5C4C" w14:textId="77777777" w:rsidR="00751A4A" w:rsidRPr="00661C8F" w:rsidRDefault="00981446" w:rsidP="0010095E">
            <w:pPr>
              <w:pStyle w:val="EPName"/>
            </w:pPr>
            <w:r w:rsidRPr="00661C8F">
              <w:t>Euroopan parlamentti</w:t>
            </w:r>
          </w:p>
          <w:p w14:paraId="5C04AA0C" w14:textId="77777777" w:rsidR="00751A4A" w:rsidRPr="00661C8F" w:rsidRDefault="005F1B17" w:rsidP="005F1B17">
            <w:pPr>
              <w:pStyle w:val="EPTerm"/>
              <w:rPr>
                <w:rStyle w:val="HideTWBExt"/>
                <w:noProof w:val="0"/>
                <w:vanish w:val="0"/>
                <w:color w:val="auto"/>
              </w:rPr>
            </w:pPr>
            <w:r w:rsidRPr="00661C8F">
              <w:t>2024</w:t>
            </w:r>
            <w:r w:rsidR="00817416" w:rsidRPr="00661C8F">
              <w:t>-202</w:t>
            </w:r>
            <w:r w:rsidRPr="00661C8F">
              <w:t>9</w:t>
            </w:r>
          </w:p>
        </w:tc>
        <w:tc>
          <w:tcPr>
            <w:tcW w:w="2268" w:type="dxa"/>
            <w:shd w:val="clear" w:color="auto" w:fill="auto"/>
          </w:tcPr>
          <w:p w14:paraId="39FC716A" w14:textId="77777777" w:rsidR="00751A4A" w:rsidRPr="00661C8F" w:rsidRDefault="00187494" w:rsidP="0010095E">
            <w:pPr>
              <w:pStyle w:val="EPLogo"/>
            </w:pPr>
            <w:r w:rsidRPr="00661C8F">
              <w:rPr>
                <w:noProof/>
                <w:lang w:eastAsia="ja-JP"/>
              </w:rPr>
              <w:drawing>
                <wp:inline distT="0" distB="0" distL="0" distR="0" wp14:anchorId="31F17D83" wp14:editId="1868E4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D1E477" w14:textId="77777777" w:rsidR="00D058B8" w:rsidRPr="00661C8F" w:rsidRDefault="00D058B8" w:rsidP="004C5D52">
      <w:pPr>
        <w:pStyle w:val="LineTop"/>
      </w:pPr>
    </w:p>
    <w:p w14:paraId="0536A58A" w14:textId="77777777" w:rsidR="00680577" w:rsidRPr="00661C8F" w:rsidRDefault="00981446" w:rsidP="00680577">
      <w:pPr>
        <w:pStyle w:val="EPBodyTA1"/>
      </w:pPr>
      <w:r w:rsidRPr="00661C8F">
        <w:t>HYVÄKSYTYT TEKSTIT</w:t>
      </w:r>
    </w:p>
    <w:p w14:paraId="1C795FCC" w14:textId="77777777" w:rsidR="00D058B8" w:rsidRPr="00661C8F" w:rsidRDefault="00D058B8" w:rsidP="00D058B8">
      <w:pPr>
        <w:pStyle w:val="LineBottom"/>
      </w:pPr>
    </w:p>
    <w:p w14:paraId="775CE594" w14:textId="6FBB2521" w:rsidR="00981446" w:rsidRPr="00661C8F" w:rsidRDefault="00981446" w:rsidP="00981446">
      <w:pPr>
        <w:pStyle w:val="ATHeading1"/>
      </w:pPr>
      <w:bookmarkStart w:id="0" w:name="TANumber"/>
      <w:r w:rsidRPr="00661C8F">
        <w:t>P10_TA(2026)00</w:t>
      </w:r>
      <w:bookmarkEnd w:id="0"/>
      <w:r w:rsidR="00AC34E5" w:rsidRPr="00661C8F">
        <w:t>15</w:t>
      </w:r>
    </w:p>
    <w:p w14:paraId="41E0621D" w14:textId="6B295E80" w:rsidR="00981446" w:rsidRPr="00661C8F" w:rsidRDefault="00280243" w:rsidP="00280243">
      <w:pPr>
        <w:pStyle w:val="ATHeading2"/>
      </w:pPr>
      <w:bookmarkStart w:id="1" w:name="title"/>
      <w:r w:rsidRPr="00661C8F">
        <w:rPr>
          <w:bCs/>
        </w:rPr>
        <w:t xml:space="preserve">Rankaisemattomuuden torjuminen EU:n pakotteilla, myös EU:n maailmanlaajuisen ihmisoikeuspakotejärjestelmän (EU:n </w:t>
      </w:r>
      <w:proofErr w:type="spellStart"/>
      <w:r w:rsidRPr="00661C8F">
        <w:rPr>
          <w:bCs/>
        </w:rPr>
        <w:t>Magnitski</w:t>
      </w:r>
      <w:proofErr w:type="spellEnd"/>
      <w:r w:rsidRPr="00661C8F">
        <w:rPr>
          <w:bCs/>
        </w:rPr>
        <w:t>-laki) avulla</w:t>
      </w:r>
      <w:bookmarkEnd w:id="1"/>
    </w:p>
    <w:p w14:paraId="5820DC68" w14:textId="77777777" w:rsidR="00981446" w:rsidRPr="00661C8F" w:rsidRDefault="00981446" w:rsidP="00981446">
      <w:pPr>
        <w:rPr>
          <w:i/>
          <w:vanish/>
        </w:rPr>
      </w:pPr>
      <w:r w:rsidRPr="00661C8F">
        <w:rPr>
          <w:i/>
        </w:rPr>
        <w:fldChar w:fldCharType="begin"/>
      </w:r>
      <w:r w:rsidRPr="00661C8F">
        <w:rPr>
          <w:i/>
        </w:rPr>
        <w:instrText xml:space="preserve"> TC"(</w:instrText>
      </w:r>
      <w:bookmarkStart w:id="2" w:name="DocNumber"/>
      <w:r w:rsidRPr="00661C8F">
        <w:rPr>
          <w:i/>
        </w:rPr>
        <w:instrText>A10-0266/2025</w:instrText>
      </w:r>
      <w:bookmarkEnd w:id="2"/>
      <w:r w:rsidRPr="00661C8F">
        <w:rPr>
          <w:i/>
        </w:rPr>
        <w:instrText xml:space="preserve"> - Esittelijä: Antonio López-Istúriz White)"\l3 \n&gt; \* MERGEFORMAT </w:instrText>
      </w:r>
      <w:r w:rsidRPr="00661C8F">
        <w:rPr>
          <w:i/>
        </w:rPr>
        <w:fldChar w:fldCharType="end"/>
      </w:r>
    </w:p>
    <w:p w14:paraId="7FB474DE" w14:textId="77777777" w:rsidR="00981446" w:rsidRPr="00661C8F" w:rsidRDefault="00981446" w:rsidP="00981446">
      <w:pPr>
        <w:rPr>
          <w:vanish/>
        </w:rPr>
      </w:pPr>
      <w:bookmarkStart w:id="3" w:name="Commission"/>
      <w:r w:rsidRPr="00661C8F">
        <w:rPr>
          <w:vanish/>
        </w:rPr>
        <w:t>Ulkoasiainvaliokunta</w:t>
      </w:r>
      <w:bookmarkEnd w:id="3"/>
    </w:p>
    <w:p w14:paraId="48F468DA" w14:textId="77777777" w:rsidR="00981446" w:rsidRPr="00661C8F" w:rsidRDefault="00981446" w:rsidP="00981446">
      <w:pPr>
        <w:rPr>
          <w:vanish/>
        </w:rPr>
      </w:pPr>
      <w:bookmarkStart w:id="4" w:name="PE"/>
      <w:r w:rsidRPr="00661C8F">
        <w:rPr>
          <w:vanish/>
        </w:rPr>
        <w:t>PE775.385</w:t>
      </w:r>
      <w:bookmarkEnd w:id="4"/>
    </w:p>
    <w:p w14:paraId="636744F1" w14:textId="1691AD9A" w:rsidR="00981446" w:rsidRPr="00661C8F" w:rsidRDefault="00981446" w:rsidP="00981446">
      <w:pPr>
        <w:pStyle w:val="ATHeading3"/>
      </w:pPr>
      <w:bookmarkStart w:id="5" w:name="Sujet"/>
      <w:r w:rsidRPr="00661C8F">
        <w:t xml:space="preserve">Euroopan parlamentin päätöslauselma </w:t>
      </w:r>
      <w:r w:rsidR="00563DC7" w:rsidRPr="00661C8F">
        <w:t>21</w:t>
      </w:r>
      <w:r w:rsidRPr="00661C8F">
        <w:t xml:space="preserve">. tammikuuta 2026 rankaisemattomuuden torjumisesta EU:n pakotteilla, myös EU:n maailmanlaajuisen ihmisoikeuspakotejärjestelmän (EU:n </w:t>
      </w:r>
      <w:proofErr w:type="spellStart"/>
      <w:r w:rsidRPr="00661C8F">
        <w:t>Magnitski</w:t>
      </w:r>
      <w:proofErr w:type="spellEnd"/>
      <w:r w:rsidRPr="00661C8F">
        <w:t>-laki) avulla</w:t>
      </w:r>
      <w:bookmarkEnd w:id="5"/>
      <w:r w:rsidRPr="00661C8F">
        <w:t xml:space="preserve"> </w:t>
      </w:r>
      <w:bookmarkStart w:id="6" w:name="References"/>
      <w:r w:rsidRPr="00661C8F">
        <w:t>(2025/2049(INI))</w:t>
      </w:r>
      <w:bookmarkEnd w:id="6"/>
    </w:p>
    <w:p w14:paraId="43A1D1B6" w14:textId="77777777" w:rsidR="006514FA" w:rsidRPr="00661C8F" w:rsidRDefault="006514FA" w:rsidP="00280243">
      <w:pPr>
        <w:pStyle w:val="EPComma"/>
        <w:widowControl/>
      </w:pPr>
      <w:r w:rsidRPr="00661C8F">
        <w:rPr>
          <w:i/>
          <w:iCs/>
        </w:rPr>
        <w:t>Euroopan parlamentti</w:t>
      </w:r>
      <w:r w:rsidRPr="00661C8F">
        <w:t>, joka</w:t>
      </w:r>
    </w:p>
    <w:p w14:paraId="739031E4" w14:textId="77777777" w:rsidR="00563DC7" w:rsidRPr="00661C8F" w:rsidRDefault="006514FA" w:rsidP="00280243">
      <w:pPr>
        <w:pStyle w:val="NormalHanging12a"/>
        <w:widowControl/>
      </w:pPr>
      <w:r w:rsidRPr="00661C8F">
        <w:t>–</w:t>
      </w:r>
      <w:r w:rsidRPr="00661C8F">
        <w:tab/>
        <w:t>ottaa huomioon 10. joulukuuta 1948 annetun ihmisoikeuksien yleismaailmallisen julistuksen,</w:t>
      </w:r>
    </w:p>
    <w:p w14:paraId="369DAEA1" w14:textId="77777777" w:rsidR="00563DC7" w:rsidRPr="00661C8F" w:rsidRDefault="006514FA" w:rsidP="00280243">
      <w:pPr>
        <w:pStyle w:val="NormalHanging12a"/>
        <w:widowControl/>
      </w:pPr>
      <w:r w:rsidRPr="00661C8F">
        <w:t>–</w:t>
      </w:r>
      <w:r w:rsidRPr="00661C8F">
        <w:tab/>
        <w:t>ottaa huomioon 4. marraskuuta 1950 tehdyn eurooppalaisen yleissopimuksen ihmisoikeuksien ja perusvapauksien suojaamiseksi,</w:t>
      </w:r>
    </w:p>
    <w:p w14:paraId="5D8207A3" w14:textId="7DD6DB08" w:rsidR="006514FA" w:rsidRPr="00661C8F" w:rsidRDefault="006514FA" w:rsidP="00280243">
      <w:pPr>
        <w:pStyle w:val="NormalHanging12a"/>
        <w:widowControl/>
      </w:pPr>
      <w:r w:rsidRPr="00661C8F">
        <w:t>–</w:t>
      </w:r>
      <w:r w:rsidRPr="00661C8F">
        <w:tab/>
        <w:t>ottaa huomioon 16. joulukuuta 1966 tehdyn kansalaisoikeuksia ja poliittisia oikeuksia koskevan kansainvälisen yleissopimuksen,</w:t>
      </w:r>
    </w:p>
    <w:p w14:paraId="72751D54" w14:textId="77777777" w:rsidR="00563DC7" w:rsidRPr="00661C8F" w:rsidRDefault="006514FA" w:rsidP="00280243">
      <w:pPr>
        <w:pStyle w:val="NormalHanging12a"/>
        <w:widowControl/>
      </w:pPr>
      <w:r w:rsidRPr="00661C8F">
        <w:t>–</w:t>
      </w:r>
      <w:r w:rsidRPr="00661C8F">
        <w:tab/>
        <w:t>ottaa huomioon 10. joulukuuta 1984 tehdyn kidutuksen ja muun julman, epäinhimillisen tai halventavan kohtelun tai rangaistuksen vastaisen YK:n yleissopimuksen,</w:t>
      </w:r>
    </w:p>
    <w:p w14:paraId="2856FBDB" w14:textId="76B0A9F5" w:rsidR="006514FA" w:rsidRPr="00661C8F" w:rsidRDefault="006514FA" w:rsidP="00280243">
      <w:pPr>
        <w:pStyle w:val="NormalHanging12a"/>
        <w:widowControl/>
      </w:pPr>
      <w:r w:rsidRPr="00661C8F">
        <w:t>–</w:t>
      </w:r>
      <w:r w:rsidRPr="00661C8F">
        <w:tab/>
        <w:t>ottaa huomioon Euroopan unionista tehdyn sopimuksen (SEU) ja erityisesti sen 2 artiklan, 3 artiklan 5 kohdan, 21, 23 ja 29 artiklan ja 31 artiklan 2 kohdan,</w:t>
      </w:r>
    </w:p>
    <w:p w14:paraId="2C08CFC2" w14:textId="798C442B" w:rsidR="006514FA" w:rsidRPr="00661C8F" w:rsidRDefault="006514FA" w:rsidP="00280243">
      <w:pPr>
        <w:pStyle w:val="NormalHanging12a"/>
        <w:widowControl/>
      </w:pPr>
      <w:r w:rsidRPr="00661C8F">
        <w:t>–</w:t>
      </w:r>
      <w:r w:rsidRPr="00661C8F">
        <w:tab/>
        <w:t>ottaa huomioon Euroopan unionin toiminnasta tehdyn sopimuksen 215 artiklan, joka koskee luonnollisiin tai oikeushenkilöihin, ryhmiin tai muihin kuin valtiollisiin yhteisöihin kohdistuvien rajoittavien toimenpiteiden hyväksymistä,</w:t>
      </w:r>
    </w:p>
    <w:p w14:paraId="69171F17" w14:textId="77777777" w:rsidR="006514FA" w:rsidRPr="00661C8F" w:rsidRDefault="006514FA" w:rsidP="00280243">
      <w:pPr>
        <w:pStyle w:val="NormalHanging12a"/>
        <w:widowControl/>
      </w:pPr>
      <w:r w:rsidRPr="00661C8F">
        <w:t>–</w:t>
      </w:r>
      <w:r w:rsidRPr="00661C8F">
        <w:tab/>
        <w:t>ottaa huomioon Euroopan unionin perusoikeuskirjan,</w:t>
      </w:r>
    </w:p>
    <w:p w14:paraId="3710987D" w14:textId="77777777" w:rsidR="006514FA" w:rsidRPr="00661C8F" w:rsidRDefault="006514FA" w:rsidP="00280243">
      <w:pPr>
        <w:pStyle w:val="NormalHanging12a"/>
        <w:widowControl/>
      </w:pPr>
      <w:r w:rsidRPr="00661C8F">
        <w:t>–</w:t>
      </w:r>
      <w:r w:rsidRPr="00661C8F">
        <w:tab/>
        <w:t>ottaa huomioon Lissabonin sopimukseen liitetyn julistuksen nro 25, joka koskee tarvetta suojella ja kunnioittaa EU:n rajoittavien toimenpiteiden tai EU:n terrorismintorjuntaan liittyvien toimien kohteena olevien henkilöiden tai yhteisöjen oikeutta lailla säädettyihin oikeusturvan takeisiin,</w:t>
      </w:r>
    </w:p>
    <w:p w14:paraId="12B6B2CD" w14:textId="77777777" w:rsidR="006514FA" w:rsidRPr="00661C8F" w:rsidRDefault="006514FA" w:rsidP="00280243">
      <w:pPr>
        <w:pStyle w:val="NormalHanging12a"/>
        <w:widowControl/>
      </w:pPr>
      <w:r w:rsidRPr="00661C8F">
        <w:t>–</w:t>
      </w:r>
      <w:r w:rsidRPr="00661C8F">
        <w:tab/>
        <w:t>ottaa huomioon työjärjestyksen 150 artiklan mukaisesti ihmisoikeuksien sekä demokratian ja oikeusvaltion periaatteiden loukkauksista antamansa päätöslauselmat (niin kutsutut kiireelliset päätöslauselmat),</w:t>
      </w:r>
    </w:p>
    <w:p w14:paraId="05F62F94" w14:textId="77777777" w:rsidR="006514FA" w:rsidRPr="00661C8F" w:rsidRDefault="006514FA" w:rsidP="00280243">
      <w:pPr>
        <w:pStyle w:val="NormalHanging12a"/>
        <w:widowControl/>
      </w:pPr>
      <w:r w:rsidRPr="00661C8F">
        <w:lastRenderedPageBreak/>
        <w:t>–</w:t>
      </w:r>
      <w:r w:rsidRPr="00661C8F">
        <w:tab/>
        <w:t xml:space="preserve">ottaa huomioon rajoittavista toimenpiteistä vakavien ihmisoikeusloukkausten ja </w:t>
      </w:r>
      <w:r w:rsidRPr="00661C8F">
        <w:noBreakHyphen/>
        <w:t>rikkomusten torjumiseksi 7. joulukuuta 2020 annetun neuvoston päätöksen (YUTP) 2020/1999</w:t>
      </w:r>
      <w:r w:rsidRPr="00661C8F">
        <w:rPr>
          <w:rStyle w:val="FootnoteReference"/>
        </w:rPr>
        <w:footnoteReference w:id="1"/>
      </w:r>
      <w:r w:rsidRPr="00661C8F">
        <w:t xml:space="preserve"> ja neuvoston asetuksen (EU) 2020/1998</w:t>
      </w:r>
      <w:r w:rsidRPr="00661C8F">
        <w:rPr>
          <w:rStyle w:val="FootnoteReference"/>
        </w:rPr>
        <w:footnoteReference w:id="2"/>
      </w:r>
      <w:r w:rsidRPr="00661C8F">
        <w:t>,</w:t>
      </w:r>
    </w:p>
    <w:p w14:paraId="508BF0B8" w14:textId="6A5CDFF6" w:rsidR="006514FA" w:rsidRPr="00661C8F" w:rsidRDefault="006514FA" w:rsidP="00280243">
      <w:pPr>
        <w:pStyle w:val="NormalHanging12a"/>
        <w:widowControl/>
      </w:pPr>
      <w:r w:rsidRPr="00661C8F">
        <w:t>–</w:t>
      </w:r>
      <w:r w:rsidRPr="00661C8F">
        <w:tab/>
        <w:t xml:space="preserve">ottaa huomioon rajoittavista toimenpiteistä vakavien ihmisoikeusloukkausten ja </w:t>
      </w:r>
      <w:r w:rsidRPr="00661C8F">
        <w:noBreakHyphen/>
        <w:t>rikkomusten torjumiseksi annetun asetuksen (EU) 2020/1998 täytäntöönpanosta 2. maaliskuuta 2021 annetun neuvoston täytäntöönpanoasetuksen (EU) 2021/371</w:t>
      </w:r>
      <w:r w:rsidRPr="00661C8F">
        <w:rPr>
          <w:rStyle w:val="FootnoteReference"/>
        </w:rPr>
        <w:footnoteReference w:id="3"/>
      </w:r>
      <w:r w:rsidRPr="00661C8F">
        <w:t>, 22. maaliskuuta 2021 annetun neuvoston täytäntöönpanoasetuksen (EU) 2021/478</w:t>
      </w:r>
      <w:r w:rsidRPr="00661C8F">
        <w:rPr>
          <w:rStyle w:val="FootnoteReference"/>
        </w:rPr>
        <w:footnoteReference w:id="4"/>
      </w:r>
      <w:r w:rsidRPr="00661C8F">
        <w:t xml:space="preserve"> ja 28. toukokuuta 2025 annetun neuvoston täytäntöönpanoasetuksen (EU) 202</w:t>
      </w:r>
      <w:r w:rsidR="0055177C">
        <w:t>5</w:t>
      </w:r>
      <w:r w:rsidRPr="00661C8F">
        <w:t>/1111</w:t>
      </w:r>
      <w:r w:rsidRPr="00661C8F">
        <w:rPr>
          <w:rStyle w:val="FootnoteReference"/>
        </w:rPr>
        <w:footnoteReference w:id="5"/>
      </w:r>
      <w:r w:rsidRPr="00661C8F">
        <w:t>,</w:t>
      </w:r>
    </w:p>
    <w:p w14:paraId="239EA647" w14:textId="77777777" w:rsidR="006514FA" w:rsidRPr="00661C8F" w:rsidRDefault="006514FA" w:rsidP="00280243">
      <w:pPr>
        <w:pStyle w:val="NormalHanging12a"/>
        <w:widowControl/>
      </w:pPr>
      <w:r w:rsidRPr="00661C8F">
        <w:t>–</w:t>
      </w:r>
      <w:r w:rsidRPr="00661C8F">
        <w:tab/>
        <w:t>ottaa huomioon neuvoston päätökset neuvoston päätöksen (YUTP) 2020/1999 muuttamisesta, mukaan lukien 2. maaliskuuta 2021 annettu neuvoston päätös (YUTP) 2021/372</w:t>
      </w:r>
      <w:r w:rsidRPr="00661C8F">
        <w:rPr>
          <w:rStyle w:val="FootnoteReference"/>
        </w:rPr>
        <w:footnoteReference w:id="6"/>
      </w:r>
      <w:r w:rsidRPr="00661C8F">
        <w:t>, 22. maaliskuuta 2021 annettu neuvoston päätös (YUTP) 2021/481</w:t>
      </w:r>
      <w:r w:rsidRPr="00661C8F">
        <w:rPr>
          <w:rStyle w:val="FootnoteReference"/>
        </w:rPr>
        <w:footnoteReference w:id="7"/>
      </w:r>
      <w:r w:rsidRPr="00661C8F">
        <w:t>, 13. joulukuuta 2021 annettu neuvoston päätös (YUTP) 2021/2197</w:t>
      </w:r>
      <w:r w:rsidRPr="00661C8F">
        <w:rPr>
          <w:rStyle w:val="FootnoteReference"/>
        </w:rPr>
        <w:footnoteReference w:id="8"/>
      </w:r>
      <w:r w:rsidRPr="00661C8F">
        <w:t>, 20. heinäkuuta 2023 annettu neuvoston päätös (YUTP) 2023/1504</w:t>
      </w:r>
      <w:r w:rsidRPr="00661C8F">
        <w:rPr>
          <w:rStyle w:val="FootnoteReference"/>
        </w:rPr>
        <w:footnoteReference w:id="9"/>
      </w:r>
      <w:r w:rsidRPr="00661C8F">
        <w:t>, 8. syyskuuta 2023 annettu neuvoston päätös (YUTP) 2023/1716</w:t>
      </w:r>
      <w:r w:rsidRPr="00661C8F">
        <w:rPr>
          <w:rStyle w:val="FootnoteReference"/>
        </w:rPr>
        <w:footnoteReference w:id="10"/>
      </w:r>
      <w:r w:rsidRPr="00661C8F">
        <w:t>, 4. huhtikuuta 2024 annettu neuvoston päätös (YUTP) 2024/1025</w:t>
      </w:r>
      <w:r w:rsidRPr="00661C8F">
        <w:rPr>
          <w:rStyle w:val="FootnoteReference"/>
        </w:rPr>
        <w:footnoteReference w:id="11"/>
      </w:r>
      <w:r w:rsidRPr="00661C8F">
        <w:t>, 4. huhtikuuta 2024 annettu neuvoston päätös (YUTP) 2024/1074</w:t>
      </w:r>
      <w:r w:rsidRPr="00661C8F">
        <w:rPr>
          <w:rStyle w:val="FootnoteReference"/>
        </w:rPr>
        <w:footnoteReference w:id="12"/>
      </w:r>
      <w:r w:rsidRPr="00661C8F">
        <w:t>, 19. huhtikuuta 2024 annettu neuvoston päätös (YUTP) 2024/1175</w:t>
      </w:r>
      <w:r w:rsidRPr="00661C8F">
        <w:rPr>
          <w:rStyle w:val="FootnoteReference"/>
        </w:rPr>
        <w:footnoteReference w:id="13"/>
      </w:r>
      <w:r w:rsidRPr="00661C8F">
        <w:t>, 15. heinäkuuta 2024 annettu neuvoston päätös (YUTP) 2024/1967</w:t>
      </w:r>
      <w:r w:rsidRPr="00661C8F">
        <w:rPr>
          <w:rStyle w:val="FootnoteReference"/>
        </w:rPr>
        <w:footnoteReference w:id="14"/>
      </w:r>
      <w:r w:rsidRPr="00661C8F">
        <w:t>, 2. joulukuuta 2024 annettu neuvoston päätös (YUTP) 2024/3004</w:t>
      </w:r>
      <w:r w:rsidRPr="00661C8F">
        <w:rPr>
          <w:rStyle w:val="FootnoteReference"/>
        </w:rPr>
        <w:footnoteReference w:id="15"/>
      </w:r>
      <w:r w:rsidRPr="00661C8F">
        <w:t>, 18. helmikuuta 2025 annettu neuvoston päätös (YUTP) 2025/346</w:t>
      </w:r>
      <w:r w:rsidRPr="00661C8F">
        <w:rPr>
          <w:rStyle w:val="FootnoteReference"/>
        </w:rPr>
        <w:footnoteReference w:id="16"/>
      </w:r>
      <w:r w:rsidRPr="00661C8F">
        <w:t xml:space="preserve"> ja 27. toukokuuta 2025 annettu neuvoston päätös (YUTP) 2025/1110</w:t>
      </w:r>
      <w:r w:rsidRPr="00661C8F">
        <w:rPr>
          <w:rStyle w:val="FootnoteReference"/>
        </w:rPr>
        <w:footnoteReference w:id="17"/>
      </w:r>
      <w:r w:rsidRPr="00661C8F">
        <w:t>,</w:t>
      </w:r>
    </w:p>
    <w:p w14:paraId="185DA6B2" w14:textId="77777777" w:rsidR="006514FA" w:rsidRPr="00661C8F" w:rsidRDefault="006514FA" w:rsidP="00280243">
      <w:pPr>
        <w:pStyle w:val="NormalHanging12a"/>
        <w:widowControl/>
      </w:pPr>
      <w:r w:rsidRPr="00661C8F">
        <w:t>–</w:t>
      </w:r>
      <w:r w:rsidRPr="00661C8F">
        <w:tab/>
        <w:t xml:space="preserve">ottaa huomioon 8. heinäkuuta 2021 antamansa päätöslauselman EU:n maailmanlaajuisesta ihmisoikeuspakotejärjestelmästä (EU:n </w:t>
      </w:r>
      <w:proofErr w:type="spellStart"/>
      <w:r w:rsidRPr="00661C8F">
        <w:t>Magnitski</w:t>
      </w:r>
      <w:proofErr w:type="spellEnd"/>
      <w:r w:rsidRPr="00661C8F">
        <w:t>-laki)</w:t>
      </w:r>
      <w:r w:rsidRPr="00661C8F">
        <w:rPr>
          <w:rStyle w:val="FootnoteReference"/>
        </w:rPr>
        <w:footnoteReference w:id="18"/>
      </w:r>
      <w:r w:rsidRPr="00661C8F">
        <w:t xml:space="preserve"> ja 2. huhtikuuta 2025 antamansa päätöslauselman ihmisoikeuksista ja demokratiasta maailmassa ja Euroopan unionin toiminnasta tällä alalla – vuosikertomus 2024</w:t>
      </w:r>
      <w:r w:rsidRPr="00661C8F">
        <w:rPr>
          <w:rStyle w:val="FootnoteReference"/>
        </w:rPr>
        <w:footnoteReference w:id="19"/>
      </w:r>
      <w:r w:rsidRPr="00661C8F">
        <w:t>,</w:t>
      </w:r>
    </w:p>
    <w:p w14:paraId="5BD0B748" w14:textId="77777777" w:rsidR="006514FA" w:rsidRPr="00661C8F" w:rsidRDefault="006514FA" w:rsidP="00280243">
      <w:pPr>
        <w:pStyle w:val="NormalHanging12a"/>
        <w:widowControl/>
      </w:pPr>
      <w:r w:rsidRPr="00661C8F">
        <w:t>–</w:t>
      </w:r>
      <w:r w:rsidRPr="00661C8F">
        <w:tab/>
        <w:t>ottaa huomioon 18. marraskuuta 2020 annetut neuvoston päätelmät ihmisoikeuksia ja demokratiaa koskevasta EU:n toimintasuunnitelmasta 2020–2024, jota on jatkettu vuoteen 2027 asti,</w:t>
      </w:r>
    </w:p>
    <w:p w14:paraId="71141CF8" w14:textId="77777777" w:rsidR="006514FA" w:rsidRPr="00661C8F" w:rsidRDefault="006514FA" w:rsidP="00280243">
      <w:pPr>
        <w:pStyle w:val="NormalHanging12a"/>
        <w:widowControl/>
      </w:pPr>
      <w:r w:rsidRPr="00661C8F">
        <w:lastRenderedPageBreak/>
        <w:t>–</w:t>
      </w:r>
      <w:r w:rsidRPr="00661C8F">
        <w:tab/>
        <w:t xml:space="preserve">ottaa huomioon rajoittavista toimenpiteistä vakavien ihmisoikeusloukkausten ja </w:t>
      </w:r>
      <w:r w:rsidRPr="00661C8F">
        <w:noBreakHyphen/>
        <w:t>rikkomusten torjumiseksi annetun päätöksen (YUTP) 2020/1999 muuttamisesta 4. joulukuuta 2023 annetun neuvoston päätöksen (YUTP) 2023/2721</w:t>
      </w:r>
      <w:r w:rsidRPr="00661C8F">
        <w:rPr>
          <w:rStyle w:val="FootnoteReference"/>
        </w:rPr>
        <w:footnoteReference w:id="20"/>
      </w:r>
      <w:r w:rsidRPr="00661C8F">
        <w:t xml:space="preserve">, jolla jatkettiin EU:n maailmanlaajuisen ihmisoikeuspakotejärjestelmän (EU:n </w:t>
      </w:r>
      <w:proofErr w:type="spellStart"/>
      <w:r w:rsidRPr="00661C8F">
        <w:t>Magnitski</w:t>
      </w:r>
      <w:proofErr w:type="spellEnd"/>
      <w:r w:rsidRPr="00661C8F">
        <w:t>-laki) voimassaoloa kolmella vuodella 8. joulukuuta 2026 saakka,</w:t>
      </w:r>
    </w:p>
    <w:p w14:paraId="2BA851CD" w14:textId="77777777" w:rsidR="006514FA" w:rsidRPr="00661C8F" w:rsidRDefault="006514FA" w:rsidP="00280243">
      <w:pPr>
        <w:pStyle w:val="NormalHanging12a"/>
        <w:widowControl/>
      </w:pPr>
      <w:r w:rsidRPr="00661C8F">
        <w:t>–</w:t>
      </w:r>
      <w:r w:rsidRPr="00661C8F">
        <w:tab/>
        <w:t>ottaa huomioon työjärjestyksen 55 artiklan,</w:t>
      </w:r>
    </w:p>
    <w:p w14:paraId="7356FB1D" w14:textId="77777777" w:rsidR="006514FA" w:rsidRPr="00661C8F" w:rsidRDefault="006514FA" w:rsidP="00280243">
      <w:pPr>
        <w:pStyle w:val="NormalHanging12a"/>
        <w:widowControl/>
      </w:pPr>
      <w:r w:rsidRPr="00661C8F">
        <w:t>–</w:t>
      </w:r>
      <w:r w:rsidRPr="00661C8F">
        <w:tab/>
        <w:t>ottaa huomioon ulkoasiainvaliokunnan mietinnön (A10-0266/2025),</w:t>
      </w:r>
    </w:p>
    <w:p w14:paraId="6AEC78F9" w14:textId="15201617" w:rsidR="006514FA" w:rsidRPr="00661C8F" w:rsidRDefault="006514FA" w:rsidP="00280243">
      <w:pPr>
        <w:pStyle w:val="NormalHanging12a"/>
        <w:widowControl/>
      </w:pPr>
      <w:r w:rsidRPr="00661C8F">
        <w:t>A.</w:t>
      </w:r>
      <w:r w:rsidRPr="00661C8F">
        <w:tab/>
        <w:t>ottaa huomioon, että SEU 21 artiklan mukaan unionin toiminta perustuu demokratiaan, oikeusvaltioon, ihmisoikeuksien ja perusvapauksien yleismaailmallisuuteen ja jakamattomuuteen, ihmisarvon kunnioittamiseen, tasa-arvon ja yhteisvastuun periaatteisiin sekä Yhdistyneiden kansakuntien peruskirjan periaatteiden ja kansainvälisen oikeuden noudattamiseen;</w:t>
      </w:r>
    </w:p>
    <w:p w14:paraId="0CE9E8F6" w14:textId="77777777" w:rsidR="006514FA" w:rsidRPr="00661C8F" w:rsidRDefault="006514FA" w:rsidP="00280243">
      <w:pPr>
        <w:pStyle w:val="NormalHanging12a"/>
        <w:widowControl/>
      </w:pPr>
      <w:r w:rsidRPr="00661C8F">
        <w:t>B.</w:t>
      </w:r>
      <w:r w:rsidRPr="00661C8F">
        <w:tab/>
        <w:t xml:space="preserve">ottaa huomioon, että joulukuussa 2020 hyväksytty EU:n maailmanlaajuinen ihmisoikeuspakotejärjestelmä eli EU:n </w:t>
      </w:r>
      <w:proofErr w:type="spellStart"/>
      <w:r w:rsidRPr="00661C8F">
        <w:t>Magnitski</w:t>
      </w:r>
      <w:proofErr w:type="spellEnd"/>
      <w:r w:rsidRPr="00661C8F">
        <w:t xml:space="preserve">-laki antaa EU:lle mahdollisuuden määrätä rajoittavia toimenpiteitä vakavista ihmisoikeusloukkauksista vastuussa oleville henkilöille ja yhteisöille kaikkialla maailmassa; ottaa huomioon, että tietyt EU:n jäsenvaltiot ovat hyväksyneet omia </w:t>
      </w:r>
      <w:proofErr w:type="spellStart"/>
      <w:r w:rsidRPr="00661C8F">
        <w:t>Magnitski</w:t>
      </w:r>
      <w:proofErr w:type="spellEnd"/>
      <w:r w:rsidRPr="00661C8F">
        <w:t>-lain tyyppisiä lakejaan ja että ne ovat tärkeitä EU:n pakotteita täydentäviä välineitä; ottaa huomioon, että Yhdysvallat, Kanada, Yhdistynyt kuningaskunta, Australia ja muut samanmieliset maat ovat ottaneet käyttöön samankaltaisia pakotejärjestelmiä; ottaa huomioon, että pakotteita koskeva yhteistyö ja koordinointi samanmielisten maiden välillä lisää pakotteiden tehokkuutta;</w:t>
      </w:r>
    </w:p>
    <w:p w14:paraId="049AECA1" w14:textId="6F7F23C2" w:rsidR="006514FA" w:rsidRPr="00661C8F" w:rsidRDefault="006514FA" w:rsidP="00280243">
      <w:pPr>
        <w:pStyle w:val="NormalHanging12a"/>
        <w:widowControl/>
      </w:pPr>
      <w:r w:rsidRPr="00661C8F">
        <w:t>C.</w:t>
      </w:r>
      <w:r w:rsidRPr="00661C8F">
        <w:tab/>
        <w:t xml:space="preserve">ottaa huomioon, että Euroopan ihmisoikeustuomioistuin katsoi seitsemän tuomarin asiassa </w:t>
      </w:r>
      <w:proofErr w:type="spellStart"/>
      <w:r w:rsidRPr="00661C8F">
        <w:t>Magnitski</w:t>
      </w:r>
      <w:proofErr w:type="spellEnd"/>
      <w:r w:rsidRPr="00661C8F">
        <w:t xml:space="preserve"> ym. v. Venäjä (asiat </w:t>
      </w:r>
      <w:r w:rsidR="00AA621A">
        <w:t xml:space="preserve">nro </w:t>
      </w:r>
      <w:r w:rsidRPr="00661C8F">
        <w:t xml:space="preserve">32631/09 ja 53799/12) 27. elokuuta 2019 yksimielisesti antamassa tuomiossa, että Venäjä oli vastuussa Sergei </w:t>
      </w:r>
      <w:proofErr w:type="spellStart"/>
      <w:r w:rsidRPr="00661C8F">
        <w:t>Magnitskin</w:t>
      </w:r>
      <w:proofErr w:type="spellEnd"/>
      <w:r w:rsidRPr="00661C8F">
        <w:t xml:space="preserve"> kuolemasta vankilassa ja että hän oli joutunut epäinhimillisenä ja halventavana kohteluna pidettävien tahallisten väkivallantekojen kohteeksi; ottaa huomioon, että Sergei </w:t>
      </w:r>
      <w:proofErr w:type="spellStart"/>
      <w:r w:rsidRPr="00661C8F">
        <w:t>Magnitskin</w:t>
      </w:r>
      <w:proofErr w:type="spellEnd"/>
      <w:r w:rsidRPr="00661C8F">
        <w:t xml:space="preserve"> vangitsemista, kiduttamista, laitonta kuolemanjälkeistä syytteeseen asettamista ja kuolemaa koskevista tutkimuksista huolimatta ketään ei ole asetettu rikosoikeudelliseen vastuuseen;</w:t>
      </w:r>
    </w:p>
    <w:p w14:paraId="46748600" w14:textId="77777777" w:rsidR="006514FA" w:rsidRPr="00661C8F" w:rsidRDefault="006514FA" w:rsidP="00280243">
      <w:pPr>
        <w:pStyle w:val="NormalHanging12a"/>
        <w:widowControl/>
      </w:pPr>
      <w:r w:rsidRPr="00661C8F">
        <w:t>D.</w:t>
      </w:r>
      <w:r w:rsidRPr="00661C8F">
        <w:tab/>
        <w:t xml:space="preserve">ottaa huomioon, että 8. heinäkuuta 2021 antamassaan päätöslauselmassa EU:n maailmanlaajuisesta ihmisoikeuspakotejärjestelmästä (EU:n </w:t>
      </w:r>
      <w:proofErr w:type="spellStart"/>
      <w:r w:rsidRPr="00661C8F">
        <w:t>Magnitski</w:t>
      </w:r>
      <w:proofErr w:type="spellEnd"/>
      <w:r w:rsidRPr="00661C8F">
        <w:t>-laki) parlamentti piti myönteisenä EU:n maailmanlaajuisen ihmisoikeuspakotejärjestelmän hyväksymistä, sillä se täydentää olennaisella tavalla EU:n ihmisoikeus- ja ulkopolitiikan välineistöä;</w:t>
      </w:r>
    </w:p>
    <w:p w14:paraId="7F457999" w14:textId="77777777" w:rsidR="006514FA" w:rsidRPr="00661C8F" w:rsidRDefault="006514FA" w:rsidP="00280243">
      <w:pPr>
        <w:pStyle w:val="NormalHanging12a"/>
        <w:widowControl/>
      </w:pPr>
      <w:r w:rsidRPr="00661C8F">
        <w:t>E.</w:t>
      </w:r>
      <w:r w:rsidRPr="00661C8F">
        <w:tab/>
        <w:t xml:space="preserve">ottaa huomioon, että EU:n </w:t>
      </w:r>
      <w:proofErr w:type="spellStart"/>
      <w:r w:rsidRPr="00661C8F">
        <w:t>Magnitski</w:t>
      </w:r>
      <w:proofErr w:type="spellEnd"/>
      <w:r w:rsidRPr="00661C8F">
        <w:t>-lakia sovelletaan monenlaisiin ihmisoikeusloukkauksiin ja että luetteloihin voidaan merkitä henkilöitä ja yhteisöjä, jotka ovat tekijöitä, tekojen mahdollistajia tai kolmansia osapuolia, jotka toimittavat materiaalia tai teknistä apua tukahduttavia toimia varten;</w:t>
      </w:r>
    </w:p>
    <w:p w14:paraId="3CCE7AB1" w14:textId="63258999" w:rsidR="00563DC7" w:rsidRPr="00661C8F" w:rsidRDefault="006514FA" w:rsidP="00280243">
      <w:pPr>
        <w:pStyle w:val="NormalHanging12a"/>
        <w:widowControl/>
      </w:pPr>
      <w:r w:rsidRPr="00661C8F">
        <w:t>F.</w:t>
      </w:r>
      <w:r w:rsidRPr="00661C8F">
        <w:tab/>
        <w:t>ottaa huomioon, että EU:n maailmanlaajuinen ihmisoikeuspakotejärjestelmä kohdistuu yksittäisiin tekijöihin ja yhteisöihin eikä laajoihin talouden aloihin ja että näin vähennetään koko väestölle aiheutuvia oheisvahinkoja välttämällä elintarvikkeiden, lääkkeiden tai julkisten palvelujen saatavuuden heikentyminen;</w:t>
      </w:r>
    </w:p>
    <w:p w14:paraId="4CDC5875" w14:textId="0AFC3C90" w:rsidR="006514FA" w:rsidRPr="00661C8F" w:rsidRDefault="006514FA" w:rsidP="00280243">
      <w:pPr>
        <w:pStyle w:val="NormalHanging12a"/>
        <w:widowControl/>
      </w:pPr>
      <w:r w:rsidRPr="00661C8F">
        <w:lastRenderedPageBreak/>
        <w:t>G.</w:t>
      </w:r>
      <w:r w:rsidRPr="00661C8F">
        <w:tab/>
        <w:t>ottaa huomioon, että EU:n maailmanlaajuinen ihmisoikeuspakotejärjestelmä kattaa myös laajalle levinneet loukkaukset tai rikkomukset sekä SEU 21 artiklassa vahvistettuihin yhteisen ulko- ja turvallisuuspolitiikan tavoitteisiin liittyvät järjestelmälliset tai vakavat huolenaiheet, joita ovat kidutus ja muu julma, epäinhimillinen tai halventava kohtelu tai rangaistus, orjuus, laittomat, mielivaltaiset tai sattumanvaraiset teloitukset, tahdonvastainen katoaminen, mielivaltaiset pidättämiset tai vangitsemiset, ihmiskauppa, seksuaalinen ja sukupuoleen perustuva väkivalta, rauhanomaiseen kokoontumis- ja yhdistymisvapauteen kohdistuvat loukkaukset tai rikkomukset, mielipiteen- ja sananvapauteen kohdistuvat loukkaukset tai rikkomukset sekä uskonnon- tai vakaumuksenvapauteen kohdistuvat loukkaukset tai rikkomukset;</w:t>
      </w:r>
    </w:p>
    <w:p w14:paraId="3C3A5446" w14:textId="77777777" w:rsidR="006514FA" w:rsidRPr="00661C8F" w:rsidRDefault="006514FA" w:rsidP="00280243">
      <w:pPr>
        <w:pStyle w:val="NormalHanging12a"/>
        <w:widowControl/>
      </w:pPr>
      <w:r w:rsidRPr="00661C8F">
        <w:t>H.</w:t>
      </w:r>
      <w:r w:rsidRPr="00661C8F">
        <w:tab/>
        <w:t>ottaa huomioon, että EU:n maailmanlaajuisen ihmisoikeuspakotejärjestelmän mukaiset luettelot ovat tapa antaa kansainvälistä näkyvyyttä ihmisoikeusrikkomusten uhreille;</w:t>
      </w:r>
    </w:p>
    <w:p w14:paraId="0129AAC9" w14:textId="77777777" w:rsidR="00563DC7" w:rsidRPr="00661C8F" w:rsidRDefault="006514FA" w:rsidP="00280243">
      <w:pPr>
        <w:pStyle w:val="NormalHanging12a"/>
        <w:widowControl/>
      </w:pPr>
      <w:r w:rsidRPr="00661C8F">
        <w:t>I.</w:t>
      </w:r>
      <w:r w:rsidRPr="00661C8F">
        <w:tab/>
        <w:t xml:space="preserve">ottaa huomioon, että valtion rajat ylittäviä tukahduttamistoimia ei ole vielä sisällytetty luetteloon vakavista ihmisoikeusloukkauksista, joista määrätään pakotteita EU:n </w:t>
      </w:r>
      <w:proofErr w:type="spellStart"/>
      <w:r w:rsidRPr="00661C8F">
        <w:t>Magnitski</w:t>
      </w:r>
      <w:proofErr w:type="spellEnd"/>
      <w:r w:rsidRPr="00661C8F">
        <w:t>-lain nojalla;</w:t>
      </w:r>
    </w:p>
    <w:p w14:paraId="6FB8F2D2" w14:textId="584599C9" w:rsidR="006514FA" w:rsidRPr="00661C8F" w:rsidRDefault="006514FA" w:rsidP="00280243">
      <w:pPr>
        <w:pStyle w:val="NormalHanging12a"/>
        <w:widowControl/>
      </w:pPr>
      <w:r w:rsidRPr="00661C8F">
        <w:t>J.</w:t>
      </w:r>
      <w:r w:rsidRPr="00661C8F">
        <w:tab/>
        <w:t>ottaa huomioon, että useissa parlamentin päätöslauselmissa on vaadittu käyttämään pakotevälineitä joustavammin ja useammin keskeisten kansainvälisten rikosten tai vakavien ihmisoikeusloukkausten yhteydessä;</w:t>
      </w:r>
    </w:p>
    <w:p w14:paraId="25485EE6" w14:textId="77777777" w:rsidR="006514FA" w:rsidRPr="00661C8F" w:rsidRDefault="006514FA" w:rsidP="00280243">
      <w:pPr>
        <w:pStyle w:val="NormalHanging12a"/>
        <w:widowControl/>
      </w:pPr>
      <w:r w:rsidRPr="00661C8F">
        <w:t>K.</w:t>
      </w:r>
      <w:r w:rsidRPr="00661C8F">
        <w:tab/>
        <w:t xml:space="preserve">ottaa huomioon, että 4. marraskuuta 2025 mennessä luetteloihin oli tehty EU:n </w:t>
      </w:r>
      <w:proofErr w:type="spellStart"/>
      <w:r w:rsidRPr="00661C8F">
        <w:t>Magnitski</w:t>
      </w:r>
      <w:proofErr w:type="spellEnd"/>
      <w:r w:rsidRPr="00661C8F">
        <w:t>-lain nojalla 168 merkintää (131 henkilöä ja 37 yhteisöä); ottaa huomioon, että tämän järjestelmän mukainen merkintöjen luettelo on kasvanut, mutta sen vaikutuksista ja tehokkuudesta ei tiedetä paljoakaan;</w:t>
      </w:r>
    </w:p>
    <w:p w14:paraId="646D53BA" w14:textId="77777777" w:rsidR="006514FA" w:rsidRPr="00661C8F" w:rsidRDefault="006514FA" w:rsidP="00280243">
      <w:pPr>
        <w:pStyle w:val="NormalHanging12a"/>
        <w:widowControl/>
      </w:pPr>
      <w:r w:rsidRPr="00661C8F">
        <w:t>L.</w:t>
      </w:r>
      <w:r w:rsidRPr="00661C8F">
        <w:tab/>
        <w:t xml:space="preserve">ottaa huomioon, että edistymisestä huolimatta ylikansallisten luettelojen maantieteellisessä ja temaattisessa kattavuudessa ja pakotteiden tavoitteiden mukaisten kriteerien määrittämisessä on edelleen merkittäviä puutteita; toteaa, että parlamentin useista kehotuksista huolimatta korruptiota ei vielä pidetä EU:n </w:t>
      </w:r>
      <w:proofErr w:type="spellStart"/>
      <w:r w:rsidRPr="00661C8F">
        <w:t>Magnitski</w:t>
      </w:r>
      <w:proofErr w:type="spellEnd"/>
      <w:r w:rsidRPr="00661C8F">
        <w:t>-laissa rikoksena;</w:t>
      </w:r>
    </w:p>
    <w:p w14:paraId="5131ECEC" w14:textId="77777777" w:rsidR="006514FA" w:rsidRPr="00661C8F" w:rsidRDefault="006514FA" w:rsidP="00280243">
      <w:pPr>
        <w:pStyle w:val="NormalHanging12a"/>
        <w:widowControl/>
      </w:pPr>
      <w:r w:rsidRPr="00661C8F">
        <w:t>M.</w:t>
      </w:r>
      <w:r w:rsidRPr="00661C8F">
        <w:tab/>
        <w:t>ottaa huomioon, että luetteloihin tehdyissä merkinnöissä on keskitytty ensisijaisesti fyysisen koskemattomuuden ja kansalaispoliittisten oikeuksien loukkauksiin, erityisesti niihin, jotka kohdistuvat autoritaaristen hallintojen etenkin miespuolisiin poliittisiin vastustajiin ja aktivisteihin, eikä niinkään keskeisiin kansainvälisiin rikoksiin, kuten kansanmurhaan ja rikoksiin ihmisyyttä vastaan, tai sosioekonomisten oikeuksien systeemisiin loukkauksiin;</w:t>
      </w:r>
    </w:p>
    <w:p w14:paraId="035AF839" w14:textId="77777777" w:rsidR="006514FA" w:rsidRPr="00661C8F" w:rsidRDefault="006514FA" w:rsidP="00280243">
      <w:pPr>
        <w:pStyle w:val="NormalHanging12a"/>
        <w:widowControl/>
      </w:pPr>
      <w:r w:rsidRPr="00661C8F">
        <w:t>N.</w:t>
      </w:r>
      <w:r w:rsidRPr="00661C8F">
        <w:tab/>
        <w:t>ottaa huomioon, että luettelot ovat suurelta osin maantieteellisesti keskittyneitä EU:n strategisten suhteiden ja geopoliittisten etujen mukaisesti, minkä vuoksi muita alueita ja toimintaympäristöjä ei ole käsitelty riittävästi;</w:t>
      </w:r>
    </w:p>
    <w:p w14:paraId="53F1580E" w14:textId="77777777" w:rsidR="006514FA" w:rsidRPr="00661C8F" w:rsidRDefault="006514FA" w:rsidP="00280243">
      <w:pPr>
        <w:pStyle w:val="NormalHanging12a"/>
        <w:widowControl/>
      </w:pPr>
      <w:r w:rsidRPr="00661C8F">
        <w:t>O.</w:t>
      </w:r>
      <w:r w:rsidRPr="00661C8F">
        <w:tab/>
        <w:t xml:space="preserve">ottaa huomioon, että mahdolliseen luetteloon merkitsemiseen tai luettelosta poistamiseen liittyvä luottamuksellisuus on keskeistä, jotta voidaan varmistaa EU:n </w:t>
      </w:r>
      <w:proofErr w:type="spellStart"/>
      <w:r w:rsidRPr="00661C8F">
        <w:t>Magnitski</w:t>
      </w:r>
      <w:proofErr w:type="spellEnd"/>
      <w:r w:rsidRPr="00661C8F">
        <w:t>-lain tehokkuus; katsoo, että parlamentilla olisi oltava rooli tässä prosessissa;</w:t>
      </w:r>
    </w:p>
    <w:p w14:paraId="6CCBF783" w14:textId="77777777" w:rsidR="006514FA" w:rsidRPr="00661C8F" w:rsidRDefault="006514FA" w:rsidP="00280243">
      <w:pPr>
        <w:pStyle w:val="NormalHanging12a"/>
        <w:widowControl/>
      </w:pPr>
      <w:r w:rsidRPr="00661C8F">
        <w:t>P.</w:t>
      </w:r>
      <w:r w:rsidRPr="00661C8F">
        <w:tab/>
        <w:t xml:space="preserve">ottaa huomioon, että EU:n </w:t>
      </w:r>
      <w:proofErr w:type="spellStart"/>
      <w:r w:rsidRPr="00661C8F">
        <w:t>Magnitski</w:t>
      </w:r>
      <w:proofErr w:type="spellEnd"/>
      <w:r w:rsidRPr="00661C8F">
        <w:t>-lakia on välttämätöntä valvoa parlamentaarisesti, jotta vahvistetaan sen legitiimiyttä; ottaa huomioon, että neuvosto ei edelleenkään ota riittävästi huomioon parlamentin päätöslauselmia, jotka sisältävät suosituksia uusista merkinnöistä luetteloihin;</w:t>
      </w:r>
    </w:p>
    <w:p w14:paraId="67E3420A" w14:textId="77777777" w:rsidR="006514FA" w:rsidRPr="00661C8F" w:rsidRDefault="006514FA" w:rsidP="00280243">
      <w:pPr>
        <w:pStyle w:val="NormalHanging12a"/>
        <w:widowControl/>
      </w:pPr>
      <w:r w:rsidRPr="00661C8F">
        <w:lastRenderedPageBreak/>
        <w:t>Q.</w:t>
      </w:r>
      <w:r w:rsidRPr="00661C8F">
        <w:tab/>
        <w:t xml:space="preserve">ottaa huomioon, että EU:n </w:t>
      </w:r>
      <w:proofErr w:type="spellStart"/>
      <w:r w:rsidRPr="00661C8F">
        <w:t>Magnitski</w:t>
      </w:r>
      <w:proofErr w:type="spellEnd"/>
      <w:r w:rsidRPr="00661C8F">
        <w:t>-laissa säädetään tällä hetkellä ainoastaan varojen jäädyttämisestä ja viisumikielloista;</w:t>
      </w:r>
    </w:p>
    <w:p w14:paraId="146977BD" w14:textId="77777777" w:rsidR="006514FA" w:rsidRPr="00661C8F" w:rsidRDefault="006514FA" w:rsidP="00280243">
      <w:pPr>
        <w:pStyle w:val="NormalHanging12a"/>
        <w:widowControl/>
      </w:pPr>
      <w:r w:rsidRPr="00661C8F">
        <w:t>R.</w:t>
      </w:r>
      <w:r w:rsidRPr="00661C8F">
        <w:tab/>
        <w:t>ottaa huomioon, että nykyistä varojen jäädyttämistä ja viisumikieltoja koskevaa järjestelmää voitaisiin täydentää lisätoimenpiteillä, kuten rahoituspalveluja, julkisia hankintoja ja EU:n rahoittamiin hankkeisiin osallistumista koskevilla rajoituksilla, ja että sen soveltamisalaa olisi laajennettava kattamaan ihmisoikeusloukkauksiin syyllistyneiden lähiomaiset;</w:t>
      </w:r>
    </w:p>
    <w:p w14:paraId="2D235C09" w14:textId="77777777" w:rsidR="006514FA" w:rsidRPr="00661C8F" w:rsidRDefault="006514FA" w:rsidP="00280243">
      <w:pPr>
        <w:pStyle w:val="NormalHanging12a"/>
        <w:widowControl/>
      </w:pPr>
      <w:r w:rsidRPr="00661C8F">
        <w:t>S.</w:t>
      </w:r>
      <w:r w:rsidRPr="00661C8F">
        <w:tab/>
        <w:t>ottaa huomioon, että komission ohjeet eivät edelleenkään selkeytä riittävästi niiden kieltojen soveltamisalaa, jotka koskevat kaikenlaisen, myös teknisen ja aineellisen, tuen antamista pakotteiden kohteena oleville henkilöille ja yhteisöille;</w:t>
      </w:r>
    </w:p>
    <w:p w14:paraId="408E9EF6" w14:textId="77777777" w:rsidR="006514FA" w:rsidRPr="00661C8F" w:rsidRDefault="006514FA" w:rsidP="00280243">
      <w:pPr>
        <w:pStyle w:val="NormalHanging12a"/>
        <w:widowControl/>
      </w:pPr>
      <w:r w:rsidRPr="00661C8F">
        <w:t>T.</w:t>
      </w:r>
      <w:r w:rsidRPr="00661C8F">
        <w:tab/>
        <w:t>ottaa huomioon, että jotkin täytäntöönpanon porsaanreiät luovat mahdollisuuksia pakotteiden kiertämiseen ja heikentävät pakotteiden tehokkuutta ja että tästä ovat esimerkkinä poikkeuslausekkeet, jotka mahdollistavat toimimisen sellaisten sopimusten nojalla, jotka on tehty ennen henkilön tai yhteisön merkitsemistä luetteloon;</w:t>
      </w:r>
    </w:p>
    <w:p w14:paraId="3A75071A" w14:textId="77777777" w:rsidR="006514FA" w:rsidRPr="00661C8F" w:rsidRDefault="006514FA" w:rsidP="00280243">
      <w:pPr>
        <w:pStyle w:val="NormalHanging12a"/>
        <w:widowControl/>
      </w:pPr>
      <w:r w:rsidRPr="00661C8F">
        <w:t>U.</w:t>
      </w:r>
      <w:r w:rsidRPr="00661C8F">
        <w:tab/>
        <w:t xml:space="preserve">ottaa huomioon, että EU:n nykyisiin maantieteellisiin pakotejärjestelmiin sisältyy laajempia rajoituksia, jotka voisivat täydentää EU:n </w:t>
      </w:r>
      <w:proofErr w:type="spellStart"/>
      <w:r w:rsidRPr="00661C8F">
        <w:t>Magnitski</w:t>
      </w:r>
      <w:proofErr w:type="spellEnd"/>
      <w:r w:rsidRPr="00661C8F">
        <w:t xml:space="preserve">-lakia </w:t>
      </w:r>
      <w:proofErr w:type="spellStart"/>
      <w:r w:rsidRPr="00661C8F">
        <w:t>ristiinluetteloinnin</w:t>
      </w:r>
      <w:proofErr w:type="spellEnd"/>
      <w:r w:rsidRPr="00661C8F">
        <w:t xml:space="preserve"> avulla;</w:t>
      </w:r>
    </w:p>
    <w:p w14:paraId="369E5214" w14:textId="77777777" w:rsidR="006514FA" w:rsidRPr="00661C8F" w:rsidRDefault="006514FA" w:rsidP="00280243">
      <w:pPr>
        <w:pStyle w:val="NormalHanging12a"/>
        <w:widowControl/>
      </w:pPr>
      <w:r w:rsidRPr="00661C8F">
        <w:t>V.</w:t>
      </w:r>
      <w:r w:rsidRPr="00661C8F">
        <w:tab/>
        <w:t xml:space="preserve">ottaa huomioon, että EU:n </w:t>
      </w:r>
      <w:proofErr w:type="spellStart"/>
      <w:r w:rsidRPr="00661C8F">
        <w:t>Magnitski</w:t>
      </w:r>
      <w:proofErr w:type="spellEnd"/>
      <w:r w:rsidRPr="00661C8F">
        <w:t>-laissa on keskitytty pitkälti alemman tason toimihenkilöihin ja virkamiehiin, kun taas todellisen poliittisen ja sotilaallisen vallan haltijat ovat usein jääneet luettelojen soveltamisalan ulkopuolelle;</w:t>
      </w:r>
    </w:p>
    <w:p w14:paraId="72BF96BD" w14:textId="77777777" w:rsidR="006514FA" w:rsidRPr="00661C8F" w:rsidRDefault="006514FA" w:rsidP="00280243">
      <w:pPr>
        <w:pStyle w:val="NormalHanging12a"/>
        <w:widowControl/>
      </w:pPr>
      <w:r w:rsidRPr="00661C8F">
        <w:t>W.</w:t>
      </w:r>
      <w:r w:rsidRPr="00661C8F">
        <w:tab/>
        <w:t xml:space="preserve">ottaa huomioon, että EU:n </w:t>
      </w:r>
      <w:proofErr w:type="spellStart"/>
      <w:r w:rsidRPr="00661C8F">
        <w:t>Magnitski</w:t>
      </w:r>
      <w:proofErr w:type="spellEnd"/>
      <w:r w:rsidRPr="00661C8F">
        <w:t>-lain mukaisiin luetteloihin ei tähän mennessä ole merkitty ainuttakaan toimijaa, joka on syyllistynyt johonkin Rooman perussäännössä tarkoitettuun keskeiseen kansainväliseen rikokseen;</w:t>
      </w:r>
    </w:p>
    <w:p w14:paraId="3B06C9D2" w14:textId="77777777" w:rsidR="006514FA" w:rsidRPr="00661C8F" w:rsidRDefault="006514FA" w:rsidP="00280243">
      <w:pPr>
        <w:pStyle w:val="NormalHanging12a"/>
        <w:widowControl/>
      </w:pPr>
      <w:r w:rsidRPr="00661C8F">
        <w:t>X.</w:t>
      </w:r>
      <w:r w:rsidRPr="00661C8F">
        <w:tab/>
        <w:t>ottaa huomioon, että kansalaisyhteiskunnan toimijat käyttävät edelleen epävirallisia kanavia ehdottaessaan EU:n toimielimille nimiä luetteloon, koska tätä varten ei ole jäsenneltyä mekanismia; ottaa huomioon, että Euroopan ulkosuhdehallinnolla (EUH) ei ole resursseja arvioida ja tutkia saamiaan tietoja ja reagoida niihin;</w:t>
      </w:r>
    </w:p>
    <w:p w14:paraId="0E794C31" w14:textId="77777777" w:rsidR="006514FA" w:rsidRPr="00661C8F" w:rsidRDefault="006514FA" w:rsidP="00280243">
      <w:pPr>
        <w:pStyle w:val="NormalHanging12a"/>
        <w:widowControl/>
      </w:pPr>
      <w:r w:rsidRPr="00661C8F">
        <w:t>Y.</w:t>
      </w:r>
      <w:r w:rsidRPr="00661C8F">
        <w:tab/>
        <w:t>katsoo, että avoimuuden parantaminen, koordinointi vastuuvelvollisuusmekanismien kanssa sekä kansainvälisten toimijoiden ja samanmielisten maiden kanssa ja luettelojen käyttöönotto Yhdistyneiden kansakuntien tasolla vahvistaisi pakotejärjestelmän tehokkuutta;</w:t>
      </w:r>
    </w:p>
    <w:p w14:paraId="5E6CB18A" w14:textId="77777777" w:rsidR="006514FA" w:rsidRPr="00661C8F" w:rsidRDefault="006514FA" w:rsidP="00280243">
      <w:pPr>
        <w:pStyle w:val="NormalHanging12a"/>
        <w:widowControl/>
      </w:pPr>
      <w:r w:rsidRPr="00661C8F">
        <w:t>Z.</w:t>
      </w:r>
      <w:r w:rsidRPr="00661C8F">
        <w:tab/>
        <w:t>ottaa huomioon, että jotkin jäsenvaltiot eivät ole noudattaneet EU:n pakotteita salliessaan pakotteiden kohteena olevien henkilöiden pääsyn EU:n alueelle; ottaa huomioon, että tällainen pakotteiden noudattamatta jättäminen heikentää huomattavasti EU:n uskottavuutta ja EU:n pakotejärjestelmien tehokkuutta;</w:t>
      </w:r>
    </w:p>
    <w:p w14:paraId="0AE3EEC0" w14:textId="77777777" w:rsidR="006514FA" w:rsidRPr="00661C8F" w:rsidRDefault="006514FA" w:rsidP="00280243">
      <w:pPr>
        <w:pStyle w:val="NormalHanging12a"/>
        <w:widowControl/>
      </w:pPr>
      <w:r w:rsidRPr="00661C8F">
        <w:t xml:space="preserve">AA. </w:t>
      </w:r>
      <w:r w:rsidRPr="00661C8F">
        <w:tab/>
        <w:t>ottaa huomioon, että täytäntöönpano tapahtuu suurelta osin kansallisella tasolla ja että kukin jäsenvaltio on vastuussa pakotteiden täytäntöönpanosta alueellaan; ottaa huomioon, että tämä voi johtaa heikkojen lenkkien syntymiseen, sillä henkilöt tai yritykset voivat yrittää kiertää pakotteita siirtämällä rahaa tai toimintaa sellaisiin jäsenvaltioihin, joissa täytäntöönpano on hitaampaa tai löyhempää; ottaa huomioon, että EU:n toimielimet ovat toistuvasti painottaneet, että tarvitaan yhtenäisempää ja koordinoidumpaa soveltamista, jotta pakotteet olisivat aidosti tehokkaita;</w:t>
      </w:r>
    </w:p>
    <w:p w14:paraId="654AF9A4" w14:textId="77777777" w:rsidR="006514FA" w:rsidRPr="00661C8F" w:rsidRDefault="006514FA" w:rsidP="00280243">
      <w:pPr>
        <w:pStyle w:val="NormalHanging12a"/>
        <w:widowControl/>
      </w:pPr>
      <w:r w:rsidRPr="00661C8F">
        <w:lastRenderedPageBreak/>
        <w:t>AB.</w:t>
      </w:r>
      <w:r w:rsidRPr="00661C8F">
        <w:tab/>
        <w:t xml:space="preserve">ottaa huomioon, että parlamentti on useissa päätöslauselmissaan kehottanut ottamaan käyttöön määräenemmistöpäätöksenteon EU:n </w:t>
      </w:r>
      <w:proofErr w:type="spellStart"/>
      <w:r w:rsidRPr="00661C8F">
        <w:t>Magnitski</w:t>
      </w:r>
      <w:proofErr w:type="spellEnd"/>
      <w:r w:rsidRPr="00661C8F">
        <w:t>-lain mukaisten pakotteiden hyväksymiseksi;</w:t>
      </w:r>
    </w:p>
    <w:p w14:paraId="0857E3C5" w14:textId="77777777" w:rsidR="006514FA" w:rsidRPr="00661C8F" w:rsidRDefault="006514FA" w:rsidP="00280243">
      <w:pPr>
        <w:pStyle w:val="NormalHanging12a"/>
        <w:widowControl/>
      </w:pPr>
      <w:r w:rsidRPr="00661C8F">
        <w:t>AC.</w:t>
      </w:r>
      <w:r w:rsidRPr="00661C8F">
        <w:tab/>
        <w:t xml:space="preserve">ottaa huomioon, että EU:n </w:t>
      </w:r>
      <w:proofErr w:type="spellStart"/>
      <w:r w:rsidRPr="00661C8F">
        <w:t>Magnitski</w:t>
      </w:r>
      <w:proofErr w:type="spellEnd"/>
      <w:r w:rsidRPr="00661C8F">
        <w:t>-lain voimassaolon jatkaminen joulukuuhun 2026 asti tarjoaa mahdollisuuden tarkastella järjestelmää uudelleen;</w:t>
      </w:r>
    </w:p>
    <w:p w14:paraId="2EC9B237" w14:textId="77777777" w:rsidR="006514FA" w:rsidRPr="00661C8F" w:rsidRDefault="006514FA" w:rsidP="00280243">
      <w:pPr>
        <w:pStyle w:val="NormalHanging12a"/>
        <w:widowControl/>
      </w:pPr>
      <w:r w:rsidRPr="00661C8F">
        <w:t>1.</w:t>
      </w:r>
      <w:r w:rsidRPr="00661C8F">
        <w:tab/>
        <w:t xml:space="preserve">toteaa jälleen kannattavansa EU:n </w:t>
      </w:r>
      <w:proofErr w:type="spellStart"/>
      <w:r w:rsidRPr="00661C8F">
        <w:t>Magnitski</w:t>
      </w:r>
      <w:proofErr w:type="spellEnd"/>
      <w:r w:rsidRPr="00661C8F">
        <w:t>-lakia, joka on merkittävä ulkopolitiikan väline ihmisoikeuksien edistämiseksi kaikkialla maailmassa ja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niihin yllyttäjät ja niiden välilliset tukijat sekä tällaisista loukkauksista suoraan tai välillisesti hyötyvät henkilöt ja heidän lähiomaisensa vastuuseen teoistaan;</w:t>
      </w:r>
      <w:r w:rsidRPr="00661C8F">
        <w:rPr>
          <w:color w:val="538135" w:themeColor="accent6" w:themeShade="BF"/>
        </w:rPr>
        <w:t xml:space="preserve"> </w:t>
      </w:r>
      <w:r w:rsidRPr="00661C8F">
        <w:t>korostaa, että väline on suunniteltu siten, että se ei vaikuta suuren yleisön ihmisoikeuksien toteutumiseen;</w:t>
      </w:r>
    </w:p>
    <w:p w14:paraId="0AC6C3EC" w14:textId="77777777" w:rsidR="006514FA" w:rsidRPr="00661C8F" w:rsidRDefault="006514FA" w:rsidP="00280243">
      <w:pPr>
        <w:pStyle w:val="NormalHanging12a"/>
        <w:widowControl/>
      </w:pPr>
      <w:r w:rsidRPr="00661C8F">
        <w:t>2.</w:t>
      </w:r>
      <w:r w:rsidRPr="00661C8F">
        <w:tab/>
        <w:t xml:space="preserve">vahvistaa horjumattoman sitoutumisensa vakavien ihmisoikeusloukkausten ja </w:t>
      </w:r>
      <w:r w:rsidRPr="00661C8F">
        <w:noBreakHyphen/>
        <w:t xml:space="preserve">rikkomusten rankaisemattomuuden torjumiseen kaikkialla maailmassa käyttämällä tehokkaasti EU:n nykyisiä pakotevälineitä, mukaan lukien EU:n </w:t>
      </w:r>
      <w:proofErr w:type="spellStart"/>
      <w:r w:rsidRPr="00661C8F">
        <w:t>Magnitski</w:t>
      </w:r>
      <w:proofErr w:type="spellEnd"/>
      <w:r w:rsidRPr="00661C8F">
        <w:t>-laki; vahvistaa horjumattoman sitoutumisensa kansainväliseen oikeusjärjestelmään, jolla on ennennäkemättömiä haasteita, kuten Kansainvälisen rikostuomioistuimen tuomareille ja henkilöstölle – joista osa on EU:n kansalaisia – määrätyt perusteettomat pakotteet; kehottaa tässä yhteydessä EU:ta ottamaan käyttöön ulkomaisen lainsäädännön vaikutukset estävän säädöksensä</w:t>
      </w:r>
      <w:r w:rsidRPr="00661C8F">
        <w:rPr>
          <w:rStyle w:val="FootnoteReference"/>
        </w:rPr>
        <w:footnoteReference w:id="21"/>
      </w:r>
      <w:r w:rsidRPr="00661C8F">
        <w:t xml:space="preserve"> näiden pakotteiden vaikutusten hillitsemiseksi;</w:t>
      </w:r>
    </w:p>
    <w:p w14:paraId="0656E358" w14:textId="77777777" w:rsidR="006514FA" w:rsidRPr="00661C8F" w:rsidRDefault="006514FA" w:rsidP="00280243">
      <w:pPr>
        <w:pStyle w:val="NormalHanging12a"/>
        <w:keepNext/>
        <w:widowControl/>
        <w:rPr>
          <w:b/>
          <w:bCs/>
          <w:i/>
          <w:iCs/>
          <w:szCs w:val="24"/>
        </w:rPr>
      </w:pPr>
      <w:r w:rsidRPr="00661C8F">
        <w:rPr>
          <w:b/>
          <w:i/>
        </w:rPr>
        <w:t>Politiikan johdonmukaisuus ja strateginen tehokkuus</w:t>
      </w:r>
    </w:p>
    <w:p w14:paraId="4E5C59B2" w14:textId="77777777" w:rsidR="006514FA" w:rsidRPr="00661C8F" w:rsidRDefault="006514FA" w:rsidP="00280243">
      <w:pPr>
        <w:pStyle w:val="NormalHanging12a"/>
        <w:widowControl/>
      </w:pPr>
      <w:r w:rsidRPr="00661C8F">
        <w:t>3.</w:t>
      </w:r>
      <w:r w:rsidRPr="00661C8F">
        <w:tab/>
        <w:t xml:space="preserve">kehottaa tekemään kattavan vaikutustenarvioinnin EU:n </w:t>
      </w:r>
      <w:proofErr w:type="spellStart"/>
      <w:r w:rsidRPr="00661C8F">
        <w:t>Magnitski</w:t>
      </w:r>
      <w:proofErr w:type="spellEnd"/>
      <w:r w:rsidRPr="00661C8F">
        <w:t xml:space="preserve">-laista ja sen vuorovaikutuksesta EU:n maakohtaisten pakotteiden ja muiden EU:n horisontaalisten rajoittavien toimenpiteiden kanssa, jotta voidaan arvioida sen johdonmukaisuutta, oikeasuhteisuutta ja tehokkuutta, myös luetteloon merkittyjen toiminnan muuttamisessa, tunnistaa operatiiviset puutteet ja varmistaa sen johdonmukainen ja strateginen soveltaminen maailmanlaajuisesti, ja kehottaa tarkistamaan EU:n </w:t>
      </w:r>
      <w:proofErr w:type="spellStart"/>
      <w:r w:rsidRPr="00661C8F">
        <w:t>Magnitski</w:t>
      </w:r>
      <w:proofErr w:type="spellEnd"/>
      <w:r w:rsidRPr="00661C8F">
        <w:t>-lakia tämän vaikutustenarvioinnin tulosten mukaisesti;</w:t>
      </w:r>
    </w:p>
    <w:p w14:paraId="47E9DA61" w14:textId="77777777" w:rsidR="006514FA" w:rsidRPr="00661C8F" w:rsidRDefault="006514FA" w:rsidP="00280243">
      <w:pPr>
        <w:pStyle w:val="NormalHanging12a"/>
        <w:widowControl/>
      </w:pPr>
      <w:r w:rsidRPr="00661C8F">
        <w:t>4.</w:t>
      </w:r>
      <w:r w:rsidRPr="00661C8F">
        <w:tab/>
        <w:t xml:space="preserve">vaatii tarkastelemaan EU:n </w:t>
      </w:r>
      <w:proofErr w:type="spellStart"/>
      <w:r w:rsidRPr="00661C8F">
        <w:t>Magnitski</w:t>
      </w:r>
      <w:proofErr w:type="spellEnd"/>
      <w:r w:rsidRPr="00661C8F">
        <w:t>-lain perusteella laadittuja luetteloita jatkuvasti ja järjestelmällisesti vähintään 12 kuukauden välein, jotta varmistetaan niiden johdonmukaisuus, oikeasuhteisuus ja yhdenmukaisuus uusimpien tietojen sekä tuomioistuinten päätösten kanssa;</w:t>
      </w:r>
    </w:p>
    <w:p w14:paraId="716B9779" w14:textId="77777777" w:rsidR="006514FA" w:rsidRPr="00661C8F" w:rsidRDefault="006514FA" w:rsidP="00280243">
      <w:pPr>
        <w:pStyle w:val="NormalHanging12a"/>
        <w:widowControl/>
      </w:pPr>
      <w:r w:rsidRPr="00661C8F">
        <w:t>5.</w:t>
      </w:r>
      <w:r w:rsidRPr="00661C8F">
        <w:tab/>
        <w:t>katsoo, että luettelosta poistamista koskevista kriteereistä olisi annettava enemmän tietoa, jotta voidaan parantaa oikeudellista selkeyttä, oikeudenmukaista menettelyä, avoimuutta ja vastuuvelvollisuutta;</w:t>
      </w:r>
    </w:p>
    <w:p w14:paraId="479EEDCD" w14:textId="77777777" w:rsidR="006514FA" w:rsidRPr="00661C8F" w:rsidRDefault="006514FA" w:rsidP="00280243">
      <w:pPr>
        <w:pStyle w:val="NormalHanging12a"/>
        <w:widowControl/>
      </w:pPr>
      <w:r w:rsidRPr="00661C8F">
        <w:t>6.</w:t>
      </w:r>
      <w:r w:rsidRPr="00661C8F">
        <w:tab/>
        <w:t xml:space="preserve">toteaa jälleen, että on tärkeää, että EU:n </w:t>
      </w:r>
      <w:proofErr w:type="spellStart"/>
      <w:r w:rsidRPr="00661C8F">
        <w:t>Magnitski</w:t>
      </w:r>
      <w:proofErr w:type="spellEnd"/>
      <w:r w:rsidRPr="00661C8F">
        <w:t xml:space="preserve">-laki on johdonmukainen EU:n maakohtaisten ja horisontaalisten rajoittavien toimenpiteiden, alakohtaisten </w:t>
      </w:r>
      <w:r w:rsidRPr="00661C8F">
        <w:lastRenderedPageBreak/>
        <w:t>toimenpiteiden ja asevientikieltojen sekä nykyisten kansainvälisten pakotekehysten kanssa ja täydentää niitä;</w:t>
      </w:r>
    </w:p>
    <w:p w14:paraId="56800467" w14:textId="77777777" w:rsidR="00563DC7" w:rsidRPr="00661C8F" w:rsidRDefault="006514FA" w:rsidP="00280243">
      <w:pPr>
        <w:pStyle w:val="NormalHanging12a"/>
        <w:widowControl/>
      </w:pPr>
      <w:r w:rsidRPr="00661C8F">
        <w:t>7.</w:t>
      </w:r>
      <w:r w:rsidRPr="00661C8F">
        <w:tab/>
        <w:t xml:space="preserve">kannustaa neuvostoa yhdenmukaistamaan EU:n </w:t>
      </w:r>
      <w:proofErr w:type="spellStart"/>
      <w:r w:rsidRPr="00661C8F">
        <w:t>Magnitski</w:t>
      </w:r>
      <w:proofErr w:type="spellEnd"/>
      <w:r w:rsidRPr="00661C8F">
        <w:t>-lain mukaiset luettelot samanmielisten kumppaneiden, erityisesti G7-ryhmään kuuluvien kumppaneiden, ja YK:n turvallisuusneuvoston, pakoteluettelojen kanssa, kun se on poliittisesti ja oikeudellisesti mahdollista, jotta voidaan parantaa maailmanlaajuista legitimiteettiä ja tehokkuutta;</w:t>
      </w:r>
    </w:p>
    <w:p w14:paraId="52CA8B38" w14:textId="368990AD" w:rsidR="006514FA" w:rsidRPr="00661C8F" w:rsidRDefault="006514FA" w:rsidP="00280243">
      <w:pPr>
        <w:pStyle w:val="NormalHanging12a"/>
        <w:widowControl/>
      </w:pPr>
      <w:r w:rsidRPr="00661C8F">
        <w:t>8.</w:t>
      </w:r>
      <w:r w:rsidRPr="00661C8F">
        <w:tab/>
        <w:t xml:space="preserve">kehottaa komissiota ja jäsenvaltioita lisäämään synergioita EU:n </w:t>
      </w:r>
      <w:proofErr w:type="spellStart"/>
      <w:r w:rsidRPr="00661C8F">
        <w:t>Magnitski</w:t>
      </w:r>
      <w:proofErr w:type="spellEnd"/>
      <w:r w:rsidRPr="00661C8F">
        <w:t>-lain ja YK:n, Kansainvälisen rikostuomioistuimen ja alueellisten ihmisoikeustuomioistuinten kaltaisten kansainvälisten vastuumekanismien välillä, jotta parannetaan vakavien ihmisoikeusloukkausten vastaisten EU:n toimien tehokkuutta;</w:t>
      </w:r>
    </w:p>
    <w:p w14:paraId="3F4BCF9E" w14:textId="77777777" w:rsidR="006514FA" w:rsidRPr="00661C8F" w:rsidRDefault="006514FA" w:rsidP="00280243">
      <w:pPr>
        <w:pStyle w:val="NormalHanging12a"/>
        <w:widowControl/>
      </w:pPr>
      <w:r w:rsidRPr="00661C8F">
        <w:t>9.</w:t>
      </w:r>
      <w:r w:rsidRPr="00661C8F">
        <w:tab/>
        <w:t xml:space="preserve">korostaa, että on tärkeää, että EU:n ehdokasmaat ja mahdolliset ehdokasmaat yhdenmukaistavat toimintansa EU:n </w:t>
      </w:r>
      <w:proofErr w:type="spellStart"/>
      <w:r w:rsidRPr="00661C8F">
        <w:t>Magnitski</w:t>
      </w:r>
      <w:proofErr w:type="spellEnd"/>
      <w:r w:rsidRPr="00661C8F">
        <w:t>-lain kanssa, kuten ne ovat yhdenmukaistaneet sen laajemmin EU:n yhteisen ulko- ja turvallisuuspolitiikan kanssa;</w:t>
      </w:r>
    </w:p>
    <w:p w14:paraId="5A68A5EE" w14:textId="77777777" w:rsidR="006514FA" w:rsidRPr="00661C8F" w:rsidRDefault="006514FA" w:rsidP="00280243">
      <w:pPr>
        <w:pStyle w:val="NormalHanging12a"/>
        <w:widowControl/>
      </w:pPr>
      <w:r w:rsidRPr="00661C8F">
        <w:t>10.</w:t>
      </w:r>
      <w:r w:rsidRPr="00661C8F">
        <w:tab/>
        <w:t xml:space="preserve">tukee täysin kohdennettujen korruption vastaisten pakotteiden määräämistä EU:n kehyksen puitteissa, mikä on ollut parlamentin pitkäaikainen prioriteetti, joko sisällyttämällä tämän EU:n </w:t>
      </w:r>
      <w:proofErr w:type="spellStart"/>
      <w:r w:rsidRPr="00661C8F">
        <w:t>Magnitski</w:t>
      </w:r>
      <w:proofErr w:type="spellEnd"/>
      <w:r w:rsidRPr="00661C8F">
        <w:t>-lakiin tai käyttämällä eri järjestelmää; suosittelee, että järjestelmän soveltamisalaa laajennetaan kattamaan laajamittaiset korruptiotapaukset ja valtiollisten hankintasopimusten väärinkäyttö, jotka ylläpitävät suoraan autoritaarisia hallintoja ja joissa siten yhdistyvät ihmisoikeusrikkomukset ja kleptokraattiset käytännöt; painottaa lisäksi, että korruption vastaisissa pakotteissa olisi otettava huomioon laajempi systeeminen asiayhteys ja niiden olisi liityttävä tiiviisti asianomaisia toimijoita koskeviin kattaviin strategioihin; pitää myönteisenä, että komissio on esittänyt ehdotuksen korruption vastaisesta pakotejärjestelmästä; pitää valitettavana, että jotkin jäsenvaltiot ovat pysäyttäneet asian käsittelyn neuvostossa;</w:t>
      </w:r>
    </w:p>
    <w:p w14:paraId="7BB28AE0" w14:textId="77777777" w:rsidR="006514FA" w:rsidRPr="00661C8F" w:rsidRDefault="006514FA" w:rsidP="00280243">
      <w:pPr>
        <w:pStyle w:val="NormalHanging12a"/>
        <w:widowControl/>
      </w:pPr>
      <w:r w:rsidRPr="00661C8F">
        <w:t xml:space="preserve">11. </w:t>
      </w:r>
      <w:r w:rsidRPr="00661C8F">
        <w:tab/>
        <w:t xml:space="preserve">korostaa, että EU:n </w:t>
      </w:r>
      <w:proofErr w:type="spellStart"/>
      <w:r w:rsidRPr="00661C8F">
        <w:t>Magnitski</w:t>
      </w:r>
      <w:proofErr w:type="spellEnd"/>
      <w:r w:rsidRPr="00661C8F">
        <w:t>-lailla olisi puututtava myös digitaalisen valvonnan, vakoiluohjelmien viennin ja muiden tukahduttamistoimiin käytettävien teknologioiden mahdollistamiin ihmisoikeusloukkauksiin ja tahallisiin ympäristöä tuhoaviin tekoihin, joilla on selvästi tarkoitus aiheuttaa vahinkoa siviiliväestölle; kehottaa laatimaan nimenomaisia luetteloita henkilöistä, jotka ovat osallistuneet tällaisiin rikkomuksiin;</w:t>
      </w:r>
    </w:p>
    <w:p w14:paraId="0B86B767" w14:textId="77777777" w:rsidR="006514FA" w:rsidRPr="00661C8F" w:rsidRDefault="006514FA" w:rsidP="00280243">
      <w:pPr>
        <w:pStyle w:val="NormalHanging12a"/>
        <w:widowControl/>
      </w:pPr>
      <w:r w:rsidRPr="00661C8F">
        <w:t xml:space="preserve">12. </w:t>
      </w:r>
      <w:r w:rsidRPr="00661C8F">
        <w:tab/>
        <w:t xml:space="preserve">suhtautuu myönteisesti siihen, että EU:n </w:t>
      </w:r>
      <w:proofErr w:type="spellStart"/>
      <w:r w:rsidRPr="00661C8F">
        <w:t>Magnitski</w:t>
      </w:r>
      <w:proofErr w:type="spellEnd"/>
      <w:r w:rsidRPr="00661C8F">
        <w:t>-lakia on sovellettu äskettäin toimijoihin, jotka ovat vastuussa toisinajattelijoihin ja ihmisoikeuksien puolustajiin kohdistetuista valtion rajat ylittävistä tukahduttamistoimista, ja kehottaa merkitsemään luetteloihin muitakin toimijoita, jotta voidaan ottaa huomioon tämä kasvava maailmanlaajuinen suuntaus ja arvioida järjestelmällisesti valtion rajat ylittäviä tukahduttamistoimia, mukaan lukien digitaalinen valvonta, maanpaossa olevien häirintä sekä rajat ylittävä pelottelu, disinformaatio ja oikeudellinen väärinkäyttö; kehottaa neuvostoa hyväksymään selkeän määritelmän valtion rajat ylittäville tukahduttamistoimille, jotta varmistetaan johdonmukaiset seuraamukset myös muille kuin valtiollisille sijaistoimijoille, kuten yksityisille turvallisuusalan yrityksille ja maahanmuuttajajärjestöille; kehottaa EU:ta tehostamaan pakotteiden soveltamista henkilöihin ja yhteisöihin, joiden on uskottavasti osoitettu olevan vastuussa ihmisoikeuksien puolustajiin kohdistetuista valtion rajat ylittävistä tukahduttamistoimista, mukaan lukien sukulaisten häirintä, digitaaliset hyökkäykset ja pelottelu ulkomailla;</w:t>
      </w:r>
    </w:p>
    <w:p w14:paraId="4A369FFE" w14:textId="77777777" w:rsidR="006514FA" w:rsidRPr="00661C8F" w:rsidRDefault="006514FA" w:rsidP="00280243">
      <w:pPr>
        <w:pStyle w:val="NormalHanging12a"/>
        <w:widowControl/>
      </w:pPr>
      <w:r w:rsidRPr="00661C8F">
        <w:lastRenderedPageBreak/>
        <w:t>13.</w:t>
      </w:r>
      <w:r w:rsidRPr="00661C8F">
        <w:tab/>
        <w:t>kehottaa jäsenvaltioita pidättymään kahdenvälisistä poliittisista tai diplomaattisista toimista, jotka heikentävät niiden sitoutumista kansainvälisiin rikosoikeusmekanismeihin, Rooman perussääntö mukaan luettuna, ja ihmisoikeuksien puolustamiseen tai ovat ristiriidassa pakotteita koskevan EU:n yhtenäisen kannan kanssa; jos tätä suositusta ei oteta huomioon, pyytää komission varapuheenjohtajaa / unionin ulkoasioiden ja turvallisuuspolitiikan korkeaa edustajaa kehottamaan asianomaisia jäsenvaltioita yhdenmukaistamaan toimensa ja säilyttämään EU:n yhtenäisyyden; kehottaa jäsenvaltioita tehostamaan koordinointia ja hyödyntämään omia välineitään, kuten tuomioistuimen yleistoimivaltaa ja kansallisia pakotteita, koordinoidusti ja EU:n yhteisiä tavoitteita tukevalla tavalla, jotta saadaan aikaan merkittäviä muutoksia ja autetaan saavuttamaan EU:n pakotteiden tavoitteet;</w:t>
      </w:r>
    </w:p>
    <w:p w14:paraId="2CA4A83E" w14:textId="77777777" w:rsidR="006514FA" w:rsidRPr="00661C8F" w:rsidRDefault="006514FA" w:rsidP="00280243">
      <w:pPr>
        <w:pStyle w:val="NormalHanging12a"/>
        <w:widowControl/>
      </w:pPr>
      <w:r w:rsidRPr="00661C8F">
        <w:t>14.</w:t>
      </w:r>
      <w:r w:rsidRPr="00661C8F">
        <w:tab/>
        <w:t>tuomitsee sen, että jotkin EU:n jäsenvaltiot eivät ole noudattaneet EU:n pakotteita, koska ne ovat sallineet pakotteiden kohteena olevien henkilöiden pääsyn EU:n alueelle ja siten vahingoittaneet pakotteiden uskottavuutta ja tehokkuutta; kehottaa kaikkia EU:n jäsenvaltioita noudattamaan EU:n pakotteita kaikilta osin ja ehdoitta; kehottaa komissiota perussopimusten valvojana varmistamaan, että EU:n jäsenvaltiot noudattavat pakotteita, ja puuttumaan tiukasti ja ilman syrjintää tapauksiin, joissa jäsenvaltiot eivät niitä noudata;</w:t>
      </w:r>
    </w:p>
    <w:p w14:paraId="15112BF5" w14:textId="77777777" w:rsidR="00563DC7" w:rsidRPr="00661C8F" w:rsidRDefault="006514FA" w:rsidP="00280243">
      <w:pPr>
        <w:pStyle w:val="NormalHanging12a"/>
        <w:widowControl/>
      </w:pPr>
      <w:r w:rsidRPr="00661C8F">
        <w:t>15.</w:t>
      </w:r>
      <w:r w:rsidRPr="00661C8F">
        <w:tab/>
        <w:t>korostaa, että EU:n rajoittavat toimenpiteet voivat olla täysin tehokkaita vain, jos niitä tulkitaan ja ne pannaan täytäntöön yhdenmukaisesti, nopeasti ja yhtenäisesti kaikissa jäsenvaltioissa; panee merkille jäsenvaltioiden väliset erot pakotteiden täytäntöönpanoa koskevissa oikeudellisissa kehyksissä, hallintorakenteissa ja operatiivisissa resursseissa; kehottaa sen vuoksi komissiota ja jäsenvaltioita ryhtymään tarvittaviin toimiin yhdenmukaisemman ja koordinoidumman soveltamisen varmistamiseksi muun muassa vahvistamalla valmiuksia varojen jäädyttämiseen, parantamalla tietojenvaihtoa ja kehittämällä yhteisiä EU:n tason valvonta- ja täytäntöönpanomekanismeja;</w:t>
      </w:r>
    </w:p>
    <w:p w14:paraId="30B0FEC0" w14:textId="0835DAA2" w:rsidR="006514FA" w:rsidRPr="00661C8F" w:rsidRDefault="006514FA" w:rsidP="00280243">
      <w:pPr>
        <w:pStyle w:val="NormalHanging12a"/>
        <w:widowControl/>
      </w:pPr>
      <w:r w:rsidRPr="00661C8F">
        <w:t>16.</w:t>
      </w:r>
      <w:r w:rsidRPr="00661C8F">
        <w:tab/>
        <w:t xml:space="preserve">kehottaa </w:t>
      </w:r>
      <w:proofErr w:type="spellStart"/>
      <w:r w:rsidRPr="00661C8F">
        <w:t>EUH:ta</w:t>
      </w:r>
      <w:proofErr w:type="spellEnd"/>
      <w:r w:rsidRPr="00661C8F">
        <w:t xml:space="preserve"> määrittelemään lailliset väylät EU:n </w:t>
      </w:r>
      <w:proofErr w:type="spellStart"/>
      <w:r w:rsidRPr="00661C8F">
        <w:t>Magnitski</w:t>
      </w:r>
      <w:proofErr w:type="spellEnd"/>
      <w:r w:rsidRPr="00661C8F">
        <w:t>-lain mukaisten pakotteiden kohteena olevien henkilöiden jäädytetyistä varoista kertyneiden korkojen hyödyntämiseksi, jotta korot hyödyttäisivät niiden vakavien ihmisoikeusloukkausten uhreja, joista pakotteiden kohteena olevat henkilöt ovat vastuussa; kannustaa lisäksi EU:ta tutkimaan mahdollisuutta ottaa käyttöön erityinen menettely, joka koskee rikoksella hankittuja varoja;</w:t>
      </w:r>
    </w:p>
    <w:p w14:paraId="1129E7FD" w14:textId="77777777" w:rsidR="006514FA" w:rsidRPr="00661C8F" w:rsidRDefault="006514FA" w:rsidP="00280243">
      <w:pPr>
        <w:pStyle w:val="NormalHanging12a"/>
        <w:widowControl/>
      </w:pPr>
      <w:r w:rsidRPr="00661C8F">
        <w:t>17.</w:t>
      </w:r>
      <w:r w:rsidRPr="00661C8F">
        <w:tab/>
        <w:t xml:space="preserve">suhtautuu erittäin myönteisesti siihen, että neuvosto on hyväksynyt EU:n </w:t>
      </w:r>
      <w:proofErr w:type="spellStart"/>
      <w:r w:rsidRPr="00661C8F">
        <w:t>Magnitski</w:t>
      </w:r>
      <w:proofErr w:type="spellEnd"/>
      <w:r w:rsidRPr="00661C8F">
        <w:t>-lain mukaiset temaattiset pakotepaketit; kehottaa neuvostoa hyväksymään järjestelmällisesti ja ennakoivasti vastaavia kohdennettuja toimenpiteitä, joilla puututaan muihin erityisiin ja vakaviin ihmisoikeusloukkauksiin, kuten kidutukseen, tahdonvastaiseen katoamiseen, mielivaltaisiin pidätyksiin sekä kansalaisyhteiskunnan ja ihmisoikeuksien puolustajien vastaisiin tukahduttamistoimiin;</w:t>
      </w:r>
    </w:p>
    <w:p w14:paraId="0FB59F64" w14:textId="77777777" w:rsidR="006514FA" w:rsidRPr="00661C8F" w:rsidRDefault="006514FA" w:rsidP="00280243">
      <w:pPr>
        <w:pStyle w:val="NormalHanging12a"/>
        <w:widowControl/>
        <w:rPr>
          <w:bCs/>
          <w:iCs/>
        </w:rPr>
      </w:pPr>
      <w:r w:rsidRPr="00661C8F">
        <w:t xml:space="preserve">18. </w:t>
      </w:r>
      <w:r w:rsidRPr="00661C8F">
        <w:tab/>
        <w:t>kehottaa jälleen neuvostoa siirtymään asteittain määräenemmistöpäätöksiin niillä yhteisen ulko- ja turvallisuuspolitiikan osa-alueilla, joilla ei ole sotilaallista tai puolustukseen liittyvää merkitystä, kuten pakotteiden yhteydessä;</w:t>
      </w:r>
    </w:p>
    <w:p w14:paraId="45B087EF" w14:textId="77777777" w:rsidR="006514FA" w:rsidRPr="00661C8F" w:rsidRDefault="006514FA" w:rsidP="00280243">
      <w:pPr>
        <w:pStyle w:val="NormalHanging12a"/>
        <w:keepNext/>
        <w:widowControl/>
        <w:rPr>
          <w:b/>
          <w:bCs/>
          <w:i/>
          <w:iCs/>
          <w:szCs w:val="24"/>
        </w:rPr>
      </w:pPr>
      <w:r w:rsidRPr="00661C8F">
        <w:rPr>
          <w:b/>
          <w:i/>
        </w:rPr>
        <w:t>Rankaisemattomuuden torjunnan tehostaminen</w:t>
      </w:r>
    </w:p>
    <w:p w14:paraId="205BB60A" w14:textId="77777777" w:rsidR="006514FA" w:rsidRPr="00661C8F" w:rsidRDefault="006514FA" w:rsidP="00280243">
      <w:pPr>
        <w:pStyle w:val="NormalHanging12a"/>
        <w:widowControl/>
      </w:pPr>
      <w:r w:rsidRPr="00661C8F">
        <w:t>19.</w:t>
      </w:r>
      <w:r w:rsidRPr="00661C8F">
        <w:tab/>
        <w:t xml:space="preserve">vaatii, että EU:n pakotejärjestelmän on oltava johdonmukainen kansainvälisen rikosoikeuden, kansainvälisen humanitaarisen oikeuden sekä oikeusvaltioperiaatteeseen </w:t>
      </w:r>
      <w:r w:rsidRPr="00661C8F">
        <w:lastRenderedPageBreak/>
        <w:t>ja perusvapauksiin liittyvien EU:n politiikkojen kanssa ja täydennettävä niitä, jotta voidaan vahvistaa rankaisemattomuuden torjuntaa maailmanlaajuisesti;</w:t>
      </w:r>
    </w:p>
    <w:p w14:paraId="79636BC8" w14:textId="77777777" w:rsidR="006514FA" w:rsidRPr="00661C8F" w:rsidRDefault="006514FA" w:rsidP="00280243">
      <w:pPr>
        <w:pStyle w:val="NormalHanging12a"/>
        <w:widowControl/>
      </w:pPr>
      <w:r w:rsidRPr="00661C8F">
        <w:t>20.</w:t>
      </w:r>
      <w:r w:rsidRPr="00661C8F">
        <w:tab/>
        <w:t xml:space="preserve">kehottaa EU:ta sovittamaan EU:n </w:t>
      </w:r>
      <w:proofErr w:type="spellStart"/>
      <w:r w:rsidRPr="00661C8F">
        <w:t>Magnitski</w:t>
      </w:r>
      <w:proofErr w:type="spellEnd"/>
      <w:r w:rsidRPr="00661C8F">
        <w:t>-lain mukaiset luettelot strategisesti yhteen kansallisten ja kansainvälisten rikosoikeudellisten toimien kanssa, myös merkitsemällä luetteloihin kansainvälisten tuomioistuinten, kuten Kansainvälisen rikostuomioistuimen, syytteeseen asettamat henkilöt ja keskeisiin kansainvälisiin rikoksiin syyllistyneet henkilöt sekä muut toimijat, jotka estävät tällaiset vastuuseen saattamista koskevat menettelyt;</w:t>
      </w:r>
    </w:p>
    <w:p w14:paraId="762AC2CD" w14:textId="77777777" w:rsidR="006514FA" w:rsidRPr="00661C8F" w:rsidRDefault="006514FA" w:rsidP="00280243">
      <w:pPr>
        <w:pStyle w:val="NormalHanging12a"/>
        <w:widowControl/>
      </w:pPr>
      <w:r w:rsidRPr="00661C8F">
        <w:t>21.</w:t>
      </w:r>
      <w:r w:rsidRPr="00661C8F">
        <w:tab/>
        <w:t>korostaa, että pakotteilla olisi myös pyrittävä varmistamaan, että vakaviin ihmisoikeusloukkauksiin ja korruptioon syyllistyneet eivät jää nimettömiksi vaan syyllisten nimet tuodaan julki;</w:t>
      </w:r>
    </w:p>
    <w:p w14:paraId="61802915" w14:textId="77777777" w:rsidR="006514FA" w:rsidRPr="00661C8F" w:rsidRDefault="006514FA" w:rsidP="00280243">
      <w:pPr>
        <w:pStyle w:val="NormalHanging12a"/>
        <w:widowControl/>
      </w:pPr>
      <w:r w:rsidRPr="00661C8F">
        <w:t>22.</w:t>
      </w:r>
      <w:r w:rsidRPr="00661C8F">
        <w:tab/>
        <w:t xml:space="preserve">kehottaa neuvostoa varmistamaan, että kaikkia maailman alueita kohdellaan yhtä tasapuolisesti ja sitoutuneesti, ja korjaamaan nykyistä maantieteellistä ja temaattista epätasapainoa EU:n </w:t>
      </w:r>
      <w:proofErr w:type="spellStart"/>
      <w:r w:rsidRPr="00661C8F">
        <w:t>Magnitski</w:t>
      </w:r>
      <w:proofErr w:type="spellEnd"/>
      <w:r w:rsidRPr="00661C8F">
        <w:t>-lain mukaisissa luetteloissa laajentamalla luetteloon merkitsemistä nykyisen maantieteellisen keskittymän ulkopuolelle kaikkiin vakavista ihmisoikeusloukkauksista vastuussa oleviin henkilöihin ja yhteisöihin heidän alkuperämaastaan riippumatta;</w:t>
      </w:r>
    </w:p>
    <w:p w14:paraId="0CB4F927" w14:textId="77777777" w:rsidR="006514FA" w:rsidRPr="00661C8F" w:rsidRDefault="006514FA" w:rsidP="00280243">
      <w:pPr>
        <w:pStyle w:val="NormalHanging12a"/>
        <w:widowControl/>
      </w:pPr>
      <w:r w:rsidRPr="00661C8F">
        <w:t>23.</w:t>
      </w:r>
      <w:r w:rsidRPr="00661C8F">
        <w:tab/>
        <w:t>kehottaa neuvostoa kiinnittämään erityistä huomiota seksuaalisen ja sukupuoleen perustuvan väkivallan, syrjivien toimintapolitiikkojen sekä naispuolisten johtajien, toimittajien ja aktivistien vainon kaltaisiin loukkauksiin, jotta ne otetaan asianmukaisesti huomioon luettelojen tulevissa merkinnöissä;</w:t>
      </w:r>
    </w:p>
    <w:p w14:paraId="1D564D60" w14:textId="77777777" w:rsidR="00563DC7" w:rsidRPr="00661C8F" w:rsidRDefault="006514FA" w:rsidP="00280243">
      <w:pPr>
        <w:pStyle w:val="NormalHanging12a"/>
        <w:widowControl/>
      </w:pPr>
      <w:r w:rsidRPr="00661C8F">
        <w:t>24.</w:t>
      </w:r>
      <w:r w:rsidRPr="00661C8F">
        <w:tab/>
        <w:t xml:space="preserve">panee merkille, että tähän mennessä merkittävä osa EU:n </w:t>
      </w:r>
      <w:proofErr w:type="spellStart"/>
      <w:r w:rsidRPr="00661C8F">
        <w:t>Magnitski</w:t>
      </w:r>
      <w:proofErr w:type="spellEnd"/>
      <w:r w:rsidRPr="00661C8F">
        <w:t>-lain nojalla määrättyjen pakotteiden kohteena olevista henkilöistä on osallistunut valtion sortokoneistoon mutta ei ole tehnyt päätöksiä ja että vain vähemmistö luetteloon merkityistä toimii poliittisissa tai sotilaallisissa johtotehtävissä; kehottaa neuvostoa laajentamaan merkintöjä siten, että alemman tason tehtävissä toimivien henkilöiden lisäksi luetteloihin merkitään myös poliittisia ja sotilaallisia johtajia, jotta voidaan määrätä seuraamuksia niille, jotka ovat vastuussa vakaviin ihmisoikeusloukkauksiin johtaneista päätöksistä;</w:t>
      </w:r>
    </w:p>
    <w:p w14:paraId="0DFAB0EB" w14:textId="4ED004D5" w:rsidR="006514FA" w:rsidRPr="00661C8F" w:rsidRDefault="006514FA" w:rsidP="00280243">
      <w:pPr>
        <w:pStyle w:val="NormalHanging12a"/>
        <w:widowControl/>
      </w:pPr>
      <w:r w:rsidRPr="00661C8F">
        <w:t>25.</w:t>
      </w:r>
      <w:r w:rsidRPr="00661C8F">
        <w:tab/>
        <w:t xml:space="preserve">kehottaa lisäämään ja tehostamaan viestintää määrätyistä pakotteista, jotta voidaan levittää EU:n yleistä ihmisoikeuksia puolustavaa ja rankaisemattomuutta vastustavaa kantaa, koska joissakin tapauksissa pakotteiden kohteena olevat henkilöt kuvataan kansallisessa propagandassa sankareina ja sortoa harjoittavat hallinnot jopa palkitsevat heitä; toteaa, että EU:n </w:t>
      </w:r>
      <w:proofErr w:type="spellStart"/>
      <w:r w:rsidRPr="00661C8F">
        <w:t>Magnitski</w:t>
      </w:r>
      <w:proofErr w:type="spellEnd"/>
      <w:r w:rsidRPr="00661C8F">
        <w:t>-lain pelotevaikutus toimii tehokkaimmin sellaisia henkilöitä ja yhteisöjä vastaan, joilla on EU:ssa omaisuutta tai jotka voivat matkustaa EU:hun;</w:t>
      </w:r>
    </w:p>
    <w:p w14:paraId="6561E9E8" w14:textId="77777777" w:rsidR="006514FA" w:rsidRPr="00661C8F" w:rsidRDefault="006514FA" w:rsidP="00280243">
      <w:pPr>
        <w:pStyle w:val="NormalHanging12a"/>
        <w:widowControl/>
      </w:pPr>
      <w:r w:rsidRPr="00661C8F">
        <w:t>26.</w:t>
      </w:r>
      <w:r w:rsidRPr="00661C8F">
        <w:tab/>
        <w:t xml:space="preserve">tuomitsee kaikki vastapakotteet, joita kohdistetaan EU:hun tai sen toimielimiin, jäsenvaltioihin, elimiin tai kansalaisiin yksinomaan sen </w:t>
      </w:r>
      <w:proofErr w:type="gramStart"/>
      <w:r w:rsidRPr="00661C8F">
        <w:t>johdosta</w:t>
      </w:r>
      <w:proofErr w:type="gramEnd"/>
      <w:r w:rsidRPr="00661C8F">
        <w:t xml:space="preserve">, että EU:n </w:t>
      </w:r>
      <w:proofErr w:type="spellStart"/>
      <w:r w:rsidRPr="00661C8F">
        <w:t>Magnitski</w:t>
      </w:r>
      <w:proofErr w:type="spellEnd"/>
      <w:r w:rsidRPr="00661C8F">
        <w:noBreakHyphen/>
        <w:t>lailla pyritään edistämään ja vaalimaan ihmisoikeuksia, demokratiaa ja oikeusvaltioperiaatetta;</w:t>
      </w:r>
    </w:p>
    <w:p w14:paraId="78574E82" w14:textId="77777777" w:rsidR="006514FA" w:rsidRPr="00661C8F" w:rsidRDefault="006514FA" w:rsidP="00280243">
      <w:pPr>
        <w:pStyle w:val="NormalHanging12a"/>
        <w:keepNext/>
        <w:widowControl/>
        <w:rPr>
          <w:b/>
          <w:bCs/>
          <w:i/>
          <w:iCs/>
          <w:szCs w:val="24"/>
        </w:rPr>
      </w:pPr>
      <w:r w:rsidRPr="00661C8F">
        <w:rPr>
          <w:b/>
          <w:i/>
        </w:rPr>
        <w:lastRenderedPageBreak/>
        <w:t>Avoimuus, vastuuvelvollisuus ja kansalaisyhteiskunnan rooli</w:t>
      </w:r>
    </w:p>
    <w:p w14:paraId="486BBA47" w14:textId="77777777" w:rsidR="006514FA" w:rsidRPr="00661C8F" w:rsidRDefault="006514FA" w:rsidP="00280243">
      <w:pPr>
        <w:pStyle w:val="NormalHanging12a"/>
        <w:widowControl/>
      </w:pPr>
      <w:r w:rsidRPr="00661C8F">
        <w:t>27.</w:t>
      </w:r>
      <w:r w:rsidRPr="00661C8F">
        <w:tab/>
        <w:t>suosittelee lisäämään pakoteprosessin avoimuutta ja antamaan siitä selkeitä suuntaviivoja ja samalla kunnioittamaan luetteloon merkittyjen henkilöiden oikeutta tehokkaaseen oikeudelliseen valvontaan;</w:t>
      </w:r>
    </w:p>
    <w:p w14:paraId="67D602BE" w14:textId="77777777" w:rsidR="006514FA" w:rsidRPr="00661C8F" w:rsidRDefault="006514FA" w:rsidP="00280243">
      <w:pPr>
        <w:pStyle w:val="NormalHanging12a"/>
        <w:widowControl/>
      </w:pPr>
      <w:r w:rsidRPr="00661C8F">
        <w:t>28.</w:t>
      </w:r>
      <w:r w:rsidRPr="00661C8F">
        <w:tab/>
        <w:t>suosittelee, että luetteloon merkittyjen henkilöiden ja yhteisöjen toiminnan kestävä, osoitettavissa oleva, aito ja pysyvä muuttuminen, kuten jatkuva yhteistyö kansainvälisen oikeuden mekanismien kanssa, tunnustetaan virallisesti luettelosta poistamista edistäväksi kriteeriksi, jolla kannustetaan vastuuvelvollisuuteen ja sääntöjen noudattamiseen;</w:t>
      </w:r>
    </w:p>
    <w:p w14:paraId="183421C5" w14:textId="77777777" w:rsidR="006514FA" w:rsidRPr="00661C8F" w:rsidRDefault="006514FA" w:rsidP="00280243">
      <w:pPr>
        <w:pStyle w:val="NormalHanging12a"/>
        <w:widowControl/>
      </w:pPr>
      <w:r w:rsidRPr="00661C8F">
        <w:t>29.</w:t>
      </w:r>
      <w:r w:rsidRPr="00661C8F">
        <w:tab/>
        <w:t xml:space="preserve">ehdottaa, että perustetaan jäsennelty ja läpinäkyvä kuulemismekanismi, jonka avulla kansalaisyhteiskunta voi tehdä ilmoituksia ja osallistua pakoteprosessiin, ja että tämän yhteydessä otetaan käyttöön väärinkäytösten paljastajien suojatoimenpiteitä ja perustetaan myös asiaa koskeva </w:t>
      </w:r>
      <w:proofErr w:type="spellStart"/>
      <w:r w:rsidRPr="00661C8F">
        <w:t>EUH:n</w:t>
      </w:r>
      <w:proofErr w:type="spellEnd"/>
      <w:r w:rsidRPr="00661C8F">
        <w:t xml:space="preserve"> yhteyspiste; suosittelee ottamaan käyttöön talousarviomäärärahat, joilla vahvistetaan </w:t>
      </w:r>
      <w:proofErr w:type="spellStart"/>
      <w:r w:rsidRPr="00661C8F">
        <w:t>EUH:n</w:t>
      </w:r>
      <w:proofErr w:type="spellEnd"/>
      <w:r w:rsidRPr="00661C8F">
        <w:t xml:space="preserve"> valmiuksia arvioida, tutkia ja käsitellä järjestelmällisesti kansalaisyhteiskunnalta saatuja tietoja ja ehdotuksia ja reagoida niihin;</w:t>
      </w:r>
    </w:p>
    <w:p w14:paraId="230047E1" w14:textId="77777777" w:rsidR="006514FA" w:rsidRPr="00661C8F" w:rsidRDefault="006514FA" w:rsidP="00280243">
      <w:pPr>
        <w:pStyle w:val="NormalHanging12a"/>
        <w:widowControl/>
      </w:pPr>
      <w:r w:rsidRPr="00661C8F">
        <w:t>30.</w:t>
      </w:r>
      <w:r w:rsidRPr="00661C8F">
        <w:tab/>
        <w:t xml:space="preserve">kehottaa neuvostoa ja komission varapuheenjohtajaa / unionin ulkoasioiden ja turvallisuuspolitiikan korkeaa edustajaa suunnittelemaan Euroopan parlamentille täydentävän roolin, jossa tämä kerää ja ehdottaa pakotejärjestelmässä huomioon otettavia vakavia ihmisoikeusloukkauksia, ja antamaan parlamentille vuosittain kertomuksen päätöksistä, jotka koskevat EU:n </w:t>
      </w:r>
      <w:proofErr w:type="spellStart"/>
      <w:r w:rsidRPr="00661C8F">
        <w:t>Magnitski</w:t>
      </w:r>
      <w:proofErr w:type="spellEnd"/>
      <w:r w:rsidRPr="00661C8F">
        <w:t>-lain mukaisia pakotteita, mukaan lukien pakotteiden kiertäminen; kehottaa neuvostoa tarkastelemaan perusteellisesti parlamentin päätöslauselmiin sisältyviä luetteloihin tehtäviä merkintöjä koskevia suosituksia;</w:t>
      </w:r>
    </w:p>
    <w:p w14:paraId="5CD236E3" w14:textId="77777777" w:rsidR="006514FA" w:rsidRPr="00661C8F" w:rsidRDefault="006514FA" w:rsidP="00280243">
      <w:pPr>
        <w:pStyle w:val="NormalHanging12a"/>
        <w:keepNext/>
        <w:widowControl/>
        <w:rPr>
          <w:b/>
          <w:bCs/>
          <w:i/>
          <w:iCs/>
          <w:szCs w:val="24"/>
        </w:rPr>
      </w:pPr>
      <w:r w:rsidRPr="00661C8F">
        <w:rPr>
          <w:b/>
          <w:i/>
        </w:rPr>
        <w:t>Pakotteiden kiertämisen estäminen ja täytäntöönpanovälineiden vahvistaminen</w:t>
      </w:r>
    </w:p>
    <w:p w14:paraId="2F8B166F" w14:textId="77777777" w:rsidR="00563DC7" w:rsidRPr="00661C8F" w:rsidRDefault="006514FA" w:rsidP="00280243">
      <w:pPr>
        <w:pStyle w:val="NormalHanging12a"/>
        <w:widowControl/>
      </w:pPr>
      <w:r w:rsidRPr="00661C8F">
        <w:t>31.</w:t>
      </w:r>
      <w:r w:rsidRPr="00661C8F">
        <w:tab/>
        <w:t xml:space="preserve">kehottaa tarkistamaan EU:n </w:t>
      </w:r>
      <w:proofErr w:type="spellStart"/>
      <w:r w:rsidRPr="00661C8F">
        <w:t>Magnitski</w:t>
      </w:r>
      <w:proofErr w:type="spellEnd"/>
      <w:r w:rsidRPr="00661C8F">
        <w:t>-lakia pakotteiden kiertämisen estämiseksi antamalla nimenomaiset ja päivitetyt ohjeet, jotka koskevat kieltoa tarjota taloudellisia resursseja sekä teknistä ja aineellista tukea luetteloon merkityille henkilöille ja yhteisöille ja joissa selvennetään, että kielto antaa teknistä ja aineellista tukea sisältää muun kuin taloudellisen avun, kuten tieto- ja viestintätekniikan infrastruktuurin, ohjelmistot, oikeudellisen avun ja tukahduttamistoimiin käytetyt kybervälineet; korostaa tarvetta vahvistaa EU:n pakotejärjestelmää laajentamalla ja monipuolistamalla toissijaisten pakotteiden käyttöä toimenpiteiden kohdentamiseksi valtion virkamiehiin, yhteisöihin, yrityksiin ja henkilöihin, jotka mahdollistavat osaltaan pakotteiden rikkomisen ja kiertämisen ja siten sen, että autoritaariset hallinnot pystyvät jatkamaan vakavia ihmisoikeusloukkauksia;</w:t>
      </w:r>
    </w:p>
    <w:p w14:paraId="4F6A7213" w14:textId="12E3283B" w:rsidR="006514FA" w:rsidRPr="00661C8F" w:rsidRDefault="006514FA" w:rsidP="00280243">
      <w:pPr>
        <w:pStyle w:val="NormalHanging12a"/>
        <w:widowControl/>
      </w:pPr>
      <w:r w:rsidRPr="00661C8F">
        <w:t>32.</w:t>
      </w:r>
      <w:r w:rsidRPr="00661C8F">
        <w:tab/>
        <w:t xml:space="preserve">kehottaa komissiota tehostamaan yhteistyötä Euroopan pankkiviranomaisen, Euroopan arvopaperimarkkinaviranomaisen, rahanpesuntorjuntaviranomaisen ja kansallisten rahanpesun selvittelykeskusten kanssa, jotta voidaan selvittää järjestelmällisesti, käytetäänkö läpinäkymättömiä rahoitustuotteita, </w:t>
      </w:r>
      <w:proofErr w:type="spellStart"/>
      <w:r w:rsidRPr="00661C8F">
        <w:t>kryptovaroja</w:t>
      </w:r>
      <w:proofErr w:type="spellEnd"/>
      <w:r w:rsidRPr="00661C8F">
        <w:t xml:space="preserve"> ja </w:t>
      </w:r>
      <w:proofErr w:type="spellStart"/>
      <w:r w:rsidRPr="00661C8F">
        <w:t>offshore</w:t>
      </w:r>
      <w:proofErr w:type="spellEnd"/>
      <w:r w:rsidRPr="00661C8F">
        <w:t>-rakenteita pakotteiden kiertämiseen;</w:t>
      </w:r>
    </w:p>
    <w:p w14:paraId="41A71480" w14:textId="77777777" w:rsidR="006514FA" w:rsidRPr="00661C8F" w:rsidRDefault="006514FA" w:rsidP="00280243">
      <w:pPr>
        <w:pStyle w:val="NormalHanging12a"/>
        <w:widowControl/>
      </w:pPr>
      <w:r w:rsidRPr="00661C8F">
        <w:t>33.</w:t>
      </w:r>
      <w:r w:rsidRPr="00661C8F">
        <w:tab/>
        <w:t xml:space="preserve">kannustaa mahdollistamaan yhteisöjen </w:t>
      </w:r>
      <w:proofErr w:type="spellStart"/>
      <w:r w:rsidRPr="00661C8F">
        <w:t>ristiinluetteloinnin</w:t>
      </w:r>
      <w:proofErr w:type="spellEnd"/>
      <w:r w:rsidRPr="00661C8F">
        <w:t xml:space="preserve"> EU:n </w:t>
      </w:r>
      <w:proofErr w:type="spellStart"/>
      <w:r w:rsidRPr="00661C8F">
        <w:t>Magnitski</w:t>
      </w:r>
      <w:proofErr w:type="spellEnd"/>
      <w:r w:rsidRPr="00661C8F">
        <w:t>-lain ja mahdollisten maantieteellisten pakotejärjestelmien mukaisissa luetteloissa;</w:t>
      </w:r>
    </w:p>
    <w:p w14:paraId="41CA44EC" w14:textId="77777777" w:rsidR="006514FA" w:rsidRPr="00661C8F" w:rsidRDefault="006514FA" w:rsidP="00280243">
      <w:pPr>
        <w:pStyle w:val="NormalHanging12a"/>
        <w:widowControl/>
      </w:pPr>
      <w:r w:rsidRPr="00661C8F">
        <w:lastRenderedPageBreak/>
        <w:t>34.</w:t>
      </w:r>
      <w:r w:rsidRPr="00661C8F">
        <w:tab/>
        <w:t>kehottaa neuvostoa tarkistamaan poikkeuslausekkeita sen varmistamiseksi, että sopimukset, jotka on tehty ennen henkilön merkitsemistä luetteloon, eivät tuota hyötyä heidän perheenjäsenilleen tai liikekumppaneilleen tai pakotteiden kohteena olevan henkilön määräysvallassa oleville yhteisöille;</w:t>
      </w:r>
    </w:p>
    <w:p w14:paraId="07C2E416" w14:textId="77777777" w:rsidR="006514FA" w:rsidRPr="00661C8F" w:rsidRDefault="006514FA" w:rsidP="00280243">
      <w:pPr>
        <w:pStyle w:val="NormalHanging12a"/>
        <w:widowControl/>
        <w:jc w:val="center"/>
      </w:pPr>
      <w:r w:rsidRPr="00661C8F">
        <w:t>°</w:t>
      </w:r>
    </w:p>
    <w:p w14:paraId="5AB4C501" w14:textId="77777777" w:rsidR="006514FA" w:rsidRPr="00661C8F" w:rsidRDefault="006514FA" w:rsidP="00280243">
      <w:pPr>
        <w:pStyle w:val="NormalHanging12a"/>
        <w:widowControl/>
        <w:jc w:val="center"/>
      </w:pPr>
      <w:r w:rsidRPr="00661C8F">
        <w:t>°</w:t>
      </w:r>
      <w:r w:rsidRPr="00661C8F">
        <w:tab/>
        <w:t>°</w:t>
      </w:r>
    </w:p>
    <w:p w14:paraId="0199EEE2" w14:textId="1305F40F" w:rsidR="00E365E1" w:rsidRPr="00661C8F" w:rsidRDefault="006514FA" w:rsidP="00AC34E5">
      <w:pPr>
        <w:pStyle w:val="NormalHanging12a"/>
        <w:widowControl/>
      </w:pPr>
      <w:r w:rsidRPr="00661C8F">
        <w:t>35.</w:t>
      </w:r>
      <w:r w:rsidRPr="00661C8F">
        <w:tab/>
        <w:t>kehottaa puhemiestä välittämään tämän päätöslauselman neuvostolle, komissiolle sekä komission varapuheenjohtajalle / unionin ulkoasioiden ja turvallisuuspolitiikan korkealle edustajalle.</w:t>
      </w:r>
    </w:p>
    <w:sectPr w:rsidR="00E365E1" w:rsidRPr="00661C8F" w:rsidSect="009211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0B6FD" w14:textId="77777777" w:rsidR="00981446" w:rsidRPr="00921191" w:rsidRDefault="00981446">
      <w:r w:rsidRPr="00921191">
        <w:separator/>
      </w:r>
    </w:p>
  </w:endnote>
  <w:endnote w:type="continuationSeparator" w:id="0">
    <w:p w14:paraId="04FD3D9C" w14:textId="77777777" w:rsidR="00981446" w:rsidRPr="00921191" w:rsidRDefault="00981446">
      <w:r w:rsidRPr="009211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71D3F" w14:textId="77777777" w:rsidR="00981446" w:rsidRPr="00921191" w:rsidRDefault="00981446">
      <w:r w:rsidRPr="00921191">
        <w:separator/>
      </w:r>
    </w:p>
  </w:footnote>
  <w:footnote w:type="continuationSeparator" w:id="0">
    <w:p w14:paraId="569F0E80" w14:textId="77777777" w:rsidR="00981446" w:rsidRPr="00921191" w:rsidRDefault="00981446">
      <w:r w:rsidRPr="00921191">
        <w:continuationSeparator/>
      </w:r>
    </w:p>
  </w:footnote>
  <w:footnote w:id="1">
    <w:p w14:paraId="504AA5CF" w14:textId="39EF5482" w:rsidR="006514FA" w:rsidRPr="00921191" w:rsidRDefault="006514FA" w:rsidP="00AC34E5">
      <w:pPr>
        <w:widowControl/>
        <w:ind w:left="567" w:hanging="567"/>
      </w:pPr>
      <w:r w:rsidRPr="00921191">
        <w:rPr>
          <w:rStyle w:val="FootnoteReference"/>
        </w:rPr>
        <w:footnoteRef/>
      </w:r>
      <w:r w:rsidR="00921191" w:rsidRPr="00921191">
        <w:tab/>
      </w:r>
      <w:r w:rsidRPr="00921191">
        <w:t xml:space="preserve">EUVL L 410 I, 7.12.2020, s. 13, ELI: </w:t>
      </w:r>
      <w:hyperlink r:id="rId1" w:history="1">
        <w:r w:rsidRPr="00921191">
          <w:rPr>
            <w:rStyle w:val="Hyperlink"/>
            <w:color w:val="0563C1"/>
          </w:rPr>
          <w:t>http://data.europa.eu/eli/dec/2020/1999/oj</w:t>
        </w:r>
      </w:hyperlink>
      <w:r w:rsidRPr="00921191">
        <w:t>.</w:t>
      </w:r>
    </w:p>
  </w:footnote>
  <w:footnote w:id="2">
    <w:p w14:paraId="5AC7DD73" w14:textId="2D89CB5B"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410 I, 7.12.2020, s. 1, ELI: </w:t>
      </w:r>
      <w:hyperlink r:id="rId2" w:history="1">
        <w:r w:rsidRPr="00921191">
          <w:rPr>
            <w:rStyle w:val="Hyperlink"/>
            <w:color w:val="0563C1"/>
            <w:sz w:val="24"/>
            <w:lang w:val="fi-FI"/>
          </w:rPr>
          <w:t>http://data.europa.eu/eli/reg/2020/1998/oj</w:t>
        </w:r>
      </w:hyperlink>
      <w:r w:rsidRPr="00921191">
        <w:rPr>
          <w:sz w:val="24"/>
          <w:lang w:val="fi-FI"/>
        </w:rPr>
        <w:t>.</w:t>
      </w:r>
    </w:p>
  </w:footnote>
  <w:footnote w:id="3">
    <w:p w14:paraId="40876A28" w14:textId="1A4B2A84" w:rsidR="006514FA" w:rsidRPr="00921191" w:rsidRDefault="006514FA" w:rsidP="00AC34E5">
      <w:pPr>
        <w:widowControl/>
        <w:ind w:left="567" w:hanging="567"/>
      </w:pPr>
      <w:r w:rsidRPr="00921191">
        <w:rPr>
          <w:rStyle w:val="FootnoteReference"/>
        </w:rPr>
        <w:footnoteRef/>
      </w:r>
      <w:r w:rsidR="00921191" w:rsidRPr="00921191">
        <w:tab/>
      </w:r>
      <w:r w:rsidRPr="00921191">
        <w:t xml:space="preserve">EUVL L 71 I, 2.3.2021, s. 1, ELI: </w:t>
      </w:r>
      <w:hyperlink r:id="rId3" w:history="1">
        <w:r w:rsidRPr="00921191">
          <w:rPr>
            <w:rStyle w:val="Hyperlink"/>
            <w:color w:val="0563C1"/>
          </w:rPr>
          <w:t>http://data.europa.eu/eli/reg_impl/2021/371/oj</w:t>
        </w:r>
      </w:hyperlink>
      <w:r w:rsidRPr="00921191">
        <w:t>.</w:t>
      </w:r>
    </w:p>
  </w:footnote>
  <w:footnote w:id="4">
    <w:p w14:paraId="26005128" w14:textId="50AAD63B"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99 I, 22.3.2021, s. 1, ELI: </w:t>
      </w:r>
      <w:hyperlink r:id="rId4" w:history="1">
        <w:r w:rsidRPr="00921191">
          <w:rPr>
            <w:rStyle w:val="Hyperlink"/>
            <w:color w:val="0563C1"/>
            <w:sz w:val="24"/>
            <w:lang w:val="fi-FI"/>
          </w:rPr>
          <w:t>http://data.europa.eu/eli/reg_impl/2021/478/oj</w:t>
        </w:r>
      </w:hyperlink>
      <w:r w:rsidRPr="00921191">
        <w:rPr>
          <w:sz w:val="24"/>
          <w:lang w:val="fi-FI"/>
        </w:rPr>
        <w:t>.</w:t>
      </w:r>
    </w:p>
  </w:footnote>
  <w:footnote w:id="5">
    <w:p w14:paraId="75363016" w14:textId="44E96BD3"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2025/1111, 28.5.2025, ELI: </w:t>
      </w:r>
      <w:hyperlink r:id="rId5" w:history="1">
        <w:r w:rsidRPr="00921191">
          <w:rPr>
            <w:rStyle w:val="Hyperlink"/>
            <w:color w:val="0563C1"/>
            <w:sz w:val="24"/>
            <w:lang w:val="fi-FI"/>
          </w:rPr>
          <w:t>http://data.europa.eu/eli/reg_impl/2025/1111/oj</w:t>
        </w:r>
      </w:hyperlink>
      <w:r w:rsidRPr="00921191">
        <w:rPr>
          <w:sz w:val="24"/>
          <w:lang w:val="fi-FI"/>
        </w:rPr>
        <w:t>.</w:t>
      </w:r>
    </w:p>
  </w:footnote>
  <w:footnote w:id="6">
    <w:p w14:paraId="3ADFC3EA" w14:textId="49DA680D"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71 I, 2.3.2021, s. 6, ELI: </w:t>
      </w:r>
      <w:hyperlink r:id="rId6" w:history="1">
        <w:r w:rsidRPr="00921191">
          <w:rPr>
            <w:rStyle w:val="Hyperlink"/>
            <w:color w:val="0563C1"/>
            <w:sz w:val="24"/>
            <w:lang w:val="fi-FI"/>
          </w:rPr>
          <w:t>http://data.europa.eu/eli/dec/2021/372/oj</w:t>
        </w:r>
      </w:hyperlink>
      <w:r w:rsidRPr="00921191">
        <w:rPr>
          <w:sz w:val="24"/>
          <w:lang w:val="fi-FI"/>
        </w:rPr>
        <w:t>.</w:t>
      </w:r>
    </w:p>
  </w:footnote>
  <w:footnote w:id="7">
    <w:p w14:paraId="356BAEAB" w14:textId="5AD691DD"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99 I, 22.3.2021, s. 25, ELI: </w:t>
      </w:r>
      <w:hyperlink r:id="rId7" w:history="1">
        <w:r w:rsidRPr="00921191">
          <w:rPr>
            <w:rStyle w:val="Hyperlink"/>
            <w:color w:val="0563C1"/>
            <w:sz w:val="24"/>
            <w:lang w:val="fi-FI"/>
          </w:rPr>
          <w:t>http://data.europa.eu/eli/dec/2021/481/oj</w:t>
        </w:r>
      </w:hyperlink>
      <w:r w:rsidRPr="00921191">
        <w:rPr>
          <w:sz w:val="24"/>
          <w:lang w:val="fi-FI"/>
        </w:rPr>
        <w:t>.</w:t>
      </w:r>
    </w:p>
  </w:footnote>
  <w:footnote w:id="8">
    <w:p w14:paraId="7F18949C" w14:textId="74A6AEA3"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445 I, 13.12.2021, s. 17, ELI: </w:t>
      </w:r>
      <w:hyperlink r:id="rId8" w:history="1">
        <w:r w:rsidRPr="00921191">
          <w:rPr>
            <w:rStyle w:val="Hyperlink"/>
            <w:color w:val="0563C1"/>
            <w:sz w:val="24"/>
            <w:lang w:val="fi-FI"/>
          </w:rPr>
          <w:t>http://data.europa.eu/eli/dec/2021/2197/oj</w:t>
        </w:r>
      </w:hyperlink>
      <w:r w:rsidRPr="00921191">
        <w:rPr>
          <w:sz w:val="24"/>
          <w:lang w:val="fi-FI"/>
        </w:rPr>
        <w:t>.</w:t>
      </w:r>
    </w:p>
  </w:footnote>
  <w:footnote w:id="9">
    <w:p w14:paraId="6D0A113E" w14:textId="39869DE0"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183 I, 20.7.2023, s. 60, ELI: </w:t>
      </w:r>
      <w:hyperlink r:id="rId9" w:history="1">
        <w:r w:rsidRPr="00921191">
          <w:rPr>
            <w:rStyle w:val="Hyperlink"/>
            <w:color w:val="0563C1"/>
            <w:sz w:val="24"/>
            <w:lang w:val="fi-FI"/>
          </w:rPr>
          <w:t>http://data.europa.eu/eli/dec/2023/1504/oj</w:t>
        </w:r>
      </w:hyperlink>
      <w:r w:rsidRPr="00921191">
        <w:rPr>
          <w:sz w:val="24"/>
          <w:lang w:val="fi-FI"/>
        </w:rPr>
        <w:t>.</w:t>
      </w:r>
    </w:p>
  </w:footnote>
  <w:footnote w:id="10">
    <w:p w14:paraId="36445902" w14:textId="06ADD4F4"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221 I, 8.9.2023, s. 6, ELI: </w:t>
      </w:r>
      <w:hyperlink r:id="rId10" w:history="1">
        <w:r w:rsidRPr="00921191">
          <w:rPr>
            <w:rStyle w:val="Hyperlink"/>
            <w:sz w:val="24"/>
            <w:lang w:val="fi-FI"/>
          </w:rPr>
          <w:t>http://data.europa.eu/eli/dec/2023/1716/oj</w:t>
        </w:r>
      </w:hyperlink>
      <w:r w:rsidRPr="00921191">
        <w:rPr>
          <w:sz w:val="24"/>
          <w:lang w:val="fi-FI"/>
        </w:rPr>
        <w:t>.</w:t>
      </w:r>
    </w:p>
  </w:footnote>
  <w:footnote w:id="11">
    <w:p w14:paraId="77176156" w14:textId="55CF535B"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2024/1025, 5.4.2024, ELI: </w:t>
      </w:r>
      <w:hyperlink r:id="rId11" w:history="1">
        <w:r w:rsidRPr="00921191">
          <w:rPr>
            <w:rStyle w:val="Hyperlink"/>
            <w:sz w:val="24"/>
            <w:lang w:val="fi-FI"/>
          </w:rPr>
          <w:t>http://data.europa.eu/eli/dec/2024/1025/oj</w:t>
        </w:r>
      </w:hyperlink>
      <w:r w:rsidRPr="00921191">
        <w:rPr>
          <w:sz w:val="24"/>
          <w:lang w:val="fi-FI"/>
        </w:rPr>
        <w:t>.</w:t>
      </w:r>
    </w:p>
  </w:footnote>
  <w:footnote w:id="12">
    <w:p w14:paraId="56FE289C" w14:textId="688F53D7"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2024/1074, 12.4.2024, ELI: </w:t>
      </w:r>
      <w:hyperlink r:id="rId12" w:history="1">
        <w:r w:rsidRPr="00921191">
          <w:rPr>
            <w:rStyle w:val="Hyperlink"/>
            <w:sz w:val="24"/>
            <w:lang w:val="fi-FI"/>
          </w:rPr>
          <w:t>http://data.europa.eu/eli/dec/2024/1074/oj</w:t>
        </w:r>
      </w:hyperlink>
      <w:r w:rsidRPr="00921191">
        <w:rPr>
          <w:sz w:val="24"/>
          <w:lang w:val="fi-FI"/>
        </w:rPr>
        <w:t>.</w:t>
      </w:r>
    </w:p>
  </w:footnote>
  <w:footnote w:id="13">
    <w:p w14:paraId="6F68D8FD" w14:textId="5D905FAE"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2024/1175, 19.4.2024, ELI: </w:t>
      </w:r>
      <w:hyperlink r:id="rId13" w:history="1">
        <w:r w:rsidRPr="00921191">
          <w:rPr>
            <w:rStyle w:val="Hyperlink"/>
            <w:sz w:val="24"/>
            <w:lang w:val="fi-FI"/>
          </w:rPr>
          <w:t>http://data.europa.eu/eli/dec/2024/1175/oj</w:t>
        </w:r>
      </w:hyperlink>
      <w:r w:rsidRPr="00921191">
        <w:rPr>
          <w:sz w:val="24"/>
          <w:lang w:val="fi-FI"/>
        </w:rPr>
        <w:t>.</w:t>
      </w:r>
    </w:p>
  </w:footnote>
  <w:footnote w:id="14">
    <w:p w14:paraId="24594677" w14:textId="06B38ABA"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2024/1967, 15.7.2024, ELI: </w:t>
      </w:r>
      <w:hyperlink r:id="rId14" w:history="1">
        <w:r w:rsidRPr="00921191">
          <w:rPr>
            <w:rStyle w:val="Hyperlink"/>
            <w:sz w:val="24"/>
            <w:lang w:val="fi-FI"/>
          </w:rPr>
          <w:t>http://data.europa.eu/eli/dec/2024/1967/oj</w:t>
        </w:r>
      </w:hyperlink>
      <w:r w:rsidRPr="00921191">
        <w:rPr>
          <w:sz w:val="24"/>
          <w:lang w:val="fi-FI"/>
        </w:rPr>
        <w:t>.</w:t>
      </w:r>
    </w:p>
  </w:footnote>
  <w:footnote w:id="15">
    <w:p w14:paraId="0FF11415" w14:textId="30DDC65B"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2024/3004, 3.12.2024, ELI: </w:t>
      </w:r>
      <w:hyperlink r:id="rId15" w:history="1">
        <w:r w:rsidRPr="00921191">
          <w:rPr>
            <w:rStyle w:val="Hyperlink"/>
            <w:sz w:val="24"/>
            <w:lang w:val="fi-FI"/>
          </w:rPr>
          <w:t>http://data.europa.eu/eli/dec/2024/3004/oj</w:t>
        </w:r>
      </w:hyperlink>
      <w:r w:rsidRPr="00921191">
        <w:rPr>
          <w:sz w:val="24"/>
          <w:lang w:val="fi-FI"/>
        </w:rPr>
        <w:t>.</w:t>
      </w:r>
    </w:p>
  </w:footnote>
  <w:footnote w:id="16">
    <w:p w14:paraId="2E9C1CBB" w14:textId="470F6128"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2025/346, 19.2.2025, ELI: </w:t>
      </w:r>
      <w:hyperlink r:id="rId16" w:history="1">
        <w:r w:rsidRPr="00921191">
          <w:rPr>
            <w:rStyle w:val="Hyperlink"/>
            <w:sz w:val="24"/>
            <w:lang w:val="fi-FI"/>
          </w:rPr>
          <w:t>http://data.europa.eu/eli/dec/2025/346/oj</w:t>
        </w:r>
      </w:hyperlink>
      <w:r w:rsidRPr="00921191">
        <w:rPr>
          <w:sz w:val="24"/>
          <w:lang w:val="fi-FI"/>
        </w:rPr>
        <w:t>.</w:t>
      </w:r>
    </w:p>
  </w:footnote>
  <w:footnote w:id="17">
    <w:p w14:paraId="36070721" w14:textId="340F1C0A"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2025/1110, 28.5.2025, ELI: </w:t>
      </w:r>
      <w:hyperlink r:id="rId17" w:history="1">
        <w:r w:rsidRPr="00921191">
          <w:rPr>
            <w:rStyle w:val="Hyperlink"/>
            <w:sz w:val="24"/>
            <w:lang w:val="fi-FI"/>
          </w:rPr>
          <w:t>http://data.europa.eu/eli/dec/2025/1110/oj</w:t>
        </w:r>
      </w:hyperlink>
      <w:r w:rsidRPr="00921191">
        <w:rPr>
          <w:sz w:val="24"/>
          <w:lang w:val="fi-FI"/>
        </w:rPr>
        <w:t>.</w:t>
      </w:r>
    </w:p>
  </w:footnote>
  <w:footnote w:id="18">
    <w:p w14:paraId="46A9449F" w14:textId="42B383AC"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EUVL C 99, 1.3.2022, s. 152.</w:t>
      </w:r>
    </w:p>
  </w:footnote>
  <w:footnote w:id="19">
    <w:p w14:paraId="66BA541D" w14:textId="29D05F93"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00563DC7">
        <w:rPr>
          <w:sz w:val="24"/>
          <w:lang w:val="fi-FI"/>
        </w:rPr>
        <w:t>EUVL</w:t>
      </w:r>
      <w:r w:rsidR="00563DC7" w:rsidRPr="0033303E">
        <w:rPr>
          <w:sz w:val="24"/>
          <w:lang w:val="fi-FI"/>
        </w:rPr>
        <w:t xml:space="preserve"> C, C/2025/4390, 9.9.2025, ELI: </w:t>
      </w:r>
      <w:r w:rsidR="00563DC7" w:rsidRPr="0033303E">
        <w:rPr>
          <w:rStyle w:val="Hyperlink"/>
          <w:szCs w:val="24"/>
          <w:lang w:val="fi-FI"/>
        </w:rPr>
        <w:t>http://data.europa.eu/eli/C/2025/4390/oj</w:t>
      </w:r>
      <w:r w:rsidRPr="00921191">
        <w:rPr>
          <w:sz w:val="24"/>
          <w:lang w:val="fi-FI"/>
        </w:rPr>
        <w:t>.</w:t>
      </w:r>
    </w:p>
  </w:footnote>
  <w:footnote w:id="20">
    <w:p w14:paraId="1539B9E6" w14:textId="59FFC080"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 xml:space="preserve">EUVL L, 2023/2721, 5.12.2023, ELI: </w:t>
      </w:r>
      <w:hyperlink r:id="rId18" w:history="1">
        <w:r w:rsidRPr="00921191">
          <w:rPr>
            <w:rStyle w:val="Hyperlink"/>
            <w:sz w:val="24"/>
            <w:lang w:val="fi-FI"/>
          </w:rPr>
          <w:t>http://data.europa.eu/eli/dec/2023/2721/oj</w:t>
        </w:r>
      </w:hyperlink>
      <w:r w:rsidRPr="00921191">
        <w:rPr>
          <w:sz w:val="24"/>
          <w:lang w:val="fi-FI"/>
        </w:rPr>
        <w:t>.</w:t>
      </w:r>
    </w:p>
  </w:footnote>
  <w:footnote w:id="21">
    <w:p w14:paraId="629D6C77" w14:textId="5385F86A" w:rsidR="006514FA" w:rsidRPr="00921191" w:rsidRDefault="006514FA" w:rsidP="00AC34E5">
      <w:pPr>
        <w:pStyle w:val="FootnoteText"/>
        <w:keepLines w:val="0"/>
        <w:ind w:left="567" w:hanging="567"/>
        <w:rPr>
          <w:sz w:val="24"/>
          <w:lang w:val="fi-FI"/>
        </w:rPr>
      </w:pPr>
      <w:r w:rsidRPr="00921191">
        <w:rPr>
          <w:rStyle w:val="FootnoteReference"/>
          <w:sz w:val="24"/>
          <w:lang w:val="fi-FI"/>
        </w:rPr>
        <w:footnoteRef/>
      </w:r>
      <w:r w:rsidR="00921191" w:rsidRPr="00921191">
        <w:rPr>
          <w:sz w:val="24"/>
          <w:lang w:val="fi-FI"/>
        </w:rPr>
        <w:tab/>
      </w:r>
      <w:r w:rsidRPr="00921191">
        <w:rPr>
          <w:sz w:val="24"/>
          <w:lang w:val="fi-FI"/>
        </w:rPr>
        <w:t>Neuvoston asetus (EY) N:o 2271/96, annettu 22. marraskuuta 1996, tietyn kolmannen maan lainsäädännön soveltamisen ekstraterritoriaalisilta vaikutuksilta sekä siihen perustuvilta tai siitä aiheutuvilta toimilta suojautumisesta (EYVL L 309, 29.11.1996, s. 1, ELI: </w:t>
      </w:r>
      <w:hyperlink r:id="rId19" w:history="1">
        <w:r w:rsidRPr="00921191">
          <w:rPr>
            <w:rStyle w:val="Hyperlink"/>
            <w:sz w:val="24"/>
            <w:lang w:val="fi-FI"/>
          </w:rPr>
          <w:t>http://data.europa.eu/eli/reg/1996/2271/oj</w:t>
        </w:r>
      </w:hyperlink>
      <w:r w:rsidRPr="00921191">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1837385">
    <w:abstractNumId w:val="9"/>
  </w:num>
  <w:num w:numId="2" w16cid:durableId="1413814689">
    <w:abstractNumId w:val="9"/>
  </w:num>
  <w:num w:numId="3" w16cid:durableId="1243183072">
    <w:abstractNumId w:val="7"/>
  </w:num>
  <w:num w:numId="4" w16cid:durableId="1586841717">
    <w:abstractNumId w:val="7"/>
  </w:num>
  <w:num w:numId="5" w16cid:durableId="824708309">
    <w:abstractNumId w:val="6"/>
  </w:num>
  <w:num w:numId="6" w16cid:durableId="36201835">
    <w:abstractNumId w:val="6"/>
  </w:num>
  <w:num w:numId="7" w16cid:durableId="194969847">
    <w:abstractNumId w:val="5"/>
  </w:num>
  <w:num w:numId="8" w16cid:durableId="845169515">
    <w:abstractNumId w:val="5"/>
  </w:num>
  <w:num w:numId="9" w16cid:durableId="2043631867">
    <w:abstractNumId w:val="4"/>
  </w:num>
  <w:num w:numId="10" w16cid:durableId="1237208822">
    <w:abstractNumId w:val="4"/>
  </w:num>
  <w:num w:numId="11" w16cid:durableId="1967656812">
    <w:abstractNumId w:val="8"/>
  </w:num>
  <w:num w:numId="12" w16cid:durableId="144395635">
    <w:abstractNumId w:val="8"/>
  </w:num>
  <w:num w:numId="13" w16cid:durableId="759067039">
    <w:abstractNumId w:val="3"/>
  </w:num>
  <w:num w:numId="14" w16cid:durableId="1940872687">
    <w:abstractNumId w:val="3"/>
  </w:num>
  <w:num w:numId="15" w16cid:durableId="1378815780">
    <w:abstractNumId w:val="2"/>
  </w:num>
  <w:num w:numId="16" w16cid:durableId="177233289">
    <w:abstractNumId w:val="2"/>
  </w:num>
  <w:num w:numId="17" w16cid:durableId="1051227731">
    <w:abstractNumId w:val="1"/>
  </w:num>
  <w:num w:numId="18" w16cid:durableId="574045721">
    <w:abstractNumId w:val="1"/>
  </w:num>
  <w:num w:numId="19" w16cid:durableId="615018183">
    <w:abstractNumId w:val="0"/>
  </w:num>
  <w:num w:numId="20" w16cid:durableId="1984389809">
    <w:abstractNumId w:val="0"/>
  </w:num>
  <w:num w:numId="21" w16cid:durableId="248084091">
    <w:abstractNumId w:val="9"/>
  </w:num>
  <w:num w:numId="22" w16cid:durableId="154150016">
    <w:abstractNumId w:val="7"/>
  </w:num>
  <w:num w:numId="23" w16cid:durableId="2010477368">
    <w:abstractNumId w:val="6"/>
  </w:num>
  <w:num w:numId="24" w16cid:durableId="929236198">
    <w:abstractNumId w:val="5"/>
  </w:num>
  <w:num w:numId="25" w16cid:durableId="1256330927">
    <w:abstractNumId w:val="4"/>
  </w:num>
  <w:num w:numId="26" w16cid:durableId="1753234529">
    <w:abstractNumId w:val="8"/>
  </w:num>
  <w:num w:numId="27" w16cid:durableId="133523837">
    <w:abstractNumId w:val="3"/>
  </w:num>
  <w:num w:numId="28" w16cid:durableId="2117601203">
    <w:abstractNumId w:val="2"/>
  </w:num>
  <w:num w:numId="29" w16cid:durableId="1060328030">
    <w:abstractNumId w:val="1"/>
  </w:num>
  <w:num w:numId="30" w16cid:durableId="1436242735">
    <w:abstractNumId w:val="0"/>
  </w:num>
  <w:num w:numId="31" w16cid:durableId="1790322428">
    <w:abstractNumId w:val="9"/>
  </w:num>
  <w:num w:numId="32" w16cid:durableId="533883062">
    <w:abstractNumId w:val="7"/>
  </w:num>
  <w:num w:numId="33" w16cid:durableId="1021929069">
    <w:abstractNumId w:val="6"/>
  </w:num>
  <w:num w:numId="34" w16cid:durableId="1973247752">
    <w:abstractNumId w:val="5"/>
  </w:num>
  <w:num w:numId="35" w16cid:durableId="1461144509">
    <w:abstractNumId w:val="4"/>
  </w:num>
  <w:num w:numId="36" w16cid:durableId="140999965">
    <w:abstractNumId w:val="8"/>
  </w:num>
  <w:num w:numId="37" w16cid:durableId="735318764">
    <w:abstractNumId w:val="3"/>
  </w:num>
  <w:num w:numId="38" w16cid:durableId="1819031992">
    <w:abstractNumId w:val="2"/>
  </w:num>
  <w:num w:numId="39" w16cid:durableId="1132871269">
    <w:abstractNumId w:val="1"/>
  </w:num>
  <w:num w:numId="40" w16cid:durableId="1440181615">
    <w:abstractNumId w:val="0"/>
  </w:num>
  <w:num w:numId="41" w16cid:durableId="896286414">
    <w:abstractNumId w:val="10"/>
  </w:num>
  <w:num w:numId="42" w16cid:durableId="1637176508">
    <w:abstractNumId w:val="10"/>
  </w:num>
  <w:num w:numId="43" w16cid:durableId="1616475736">
    <w:abstractNumId w:val="10"/>
  </w:num>
  <w:num w:numId="44" w16cid:durableId="1854951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FI"/>
    <w:docVar w:name="dvnumam" w:val="0"/>
    <w:docVar w:name="dvpe" w:val="775.385"/>
    <w:docVar w:name="dvrapporteur" w:val="Esittelijä: "/>
    <w:docVar w:name="dvtitre" w:val="Euroopan parlamentin päätöslauselma xx. tammikuuta 2026 rankaisemattomuuden torjumisesta EU:n pakotteilla, myös EU:n maailmanlaajuisen ihmisoikeuspakotejärjestelmän (EU:n Magnitski-laki) avulla(2025/2049(INI))"/>
  </w:docVars>
  <w:rsids>
    <w:rsidRoot w:val="00981446"/>
    <w:rsid w:val="00002272"/>
    <w:rsid w:val="00064002"/>
    <w:rsid w:val="000677B9"/>
    <w:rsid w:val="000831BA"/>
    <w:rsid w:val="000A42CC"/>
    <w:rsid w:val="000E7A0C"/>
    <w:rsid w:val="000E7DD9"/>
    <w:rsid w:val="0010095E"/>
    <w:rsid w:val="00125B37"/>
    <w:rsid w:val="00187494"/>
    <w:rsid w:val="001B742B"/>
    <w:rsid w:val="001C6C44"/>
    <w:rsid w:val="001F32AE"/>
    <w:rsid w:val="002767FF"/>
    <w:rsid w:val="00280243"/>
    <w:rsid w:val="002B18FE"/>
    <w:rsid w:val="002B5493"/>
    <w:rsid w:val="00302D9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77C"/>
    <w:rsid w:val="00560270"/>
    <w:rsid w:val="00563DC7"/>
    <w:rsid w:val="005C2568"/>
    <w:rsid w:val="005F1B17"/>
    <w:rsid w:val="006037C0"/>
    <w:rsid w:val="006514FA"/>
    <w:rsid w:val="00661C8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191"/>
    <w:rsid w:val="00930C23"/>
    <w:rsid w:val="0093193B"/>
    <w:rsid w:val="009509D8"/>
    <w:rsid w:val="00950B64"/>
    <w:rsid w:val="00981446"/>
    <w:rsid w:val="00981893"/>
    <w:rsid w:val="00A1687D"/>
    <w:rsid w:val="00A43E52"/>
    <w:rsid w:val="00A4678D"/>
    <w:rsid w:val="00A74AFD"/>
    <w:rsid w:val="00A778C7"/>
    <w:rsid w:val="00AA621A"/>
    <w:rsid w:val="00AB441E"/>
    <w:rsid w:val="00AB6293"/>
    <w:rsid w:val="00AC34E5"/>
    <w:rsid w:val="00AE0928"/>
    <w:rsid w:val="00AF3B82"/>
    <w:rsid w:val="00B12E95"/>
    <w:rsid w:val="00B22876"/>
    <w:rsid w:val="00B505D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63454B"/>
  <w15:chartTrackingRefBased/>
  <w15:docId w15:val="{9E43828C-280A-4330-BB90-8FD073B3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514FA"/>
    <w:pPr>
      <w:spacing w:after="240"/>
      <w:ind w:left="567" w:hanging="567"/>
    </w:pPr>
  </w:style>
  <w:style w:type="paragraph" w:customStyle="1" w:styleId="EPComma">
    <w:name w:val="EPComma"/>
    <w:basedOn w:val="Normal"/>
    <w:rsid w:val="006514FA"/>
    <w:pPr>
      <w:spacing w:before="480" w:after="240"/>
    </w:pPr>
  </w:style>
  <w:style w:type="character" w:styleId="Hyperlink">
    <w:name w:val="Hyperlink"/>
    <w:basedOn w:val="DefaultParagraphFont"/>
    <w:rsid w:val="006514FA"/>
    <w:rPr>
      <w:color w:val="0563C1" w:themeColor="hyperlink"/>
      <w:u w:val="single"/>
    </w:rPr>
  </w:style>
  <w:style w:type="paragraph" w:styleId="Footer">
    <w:name w:val="footer"/>
    <w:basedOn w:val="Normal"/>
    <w:link w:val="FooterChar"/>
    <w:rsid w:val="00280243"/>
    <w:pPr>
      <w:tabs>
        <w:tab w:val="center" w:pos="4513"/>
        <w:tab w:val="right" w:pos="9026"/>
      </w:tabs>
    </w:pPr>
  </w:style>
  <w:style w:type="character" w:customStyle="1" w:styleId="FooterChar">
    <w:name w:val="Footer Char"/>
    <w:basedOn w:val="DefaultParagraphFont"/>
    <w:link w:val="Footer"/>
    <w:rsid w:val="00280243"/>
    <w:rPr>
      <w:sz w:val="24"/>
      <w:lang w:val="fi-FI"/>
    </w:rPr>
  </w:style>
  <w:style w:type="paragraph" w:styleId="Revision">
    <w:name w:val="Revision"/>
    <w:hidden/>
    <w:uiPriority w:val="99"/>
    <w:semiHidden/>
    <w:rsid w:val="00563DC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dec/2023/2721/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reg/1996/227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3107</Words>
  <Characters>27090</Characters>
  <Application>Microsoft Office Word</Application>
  <DocSecurity>0</DocSecurity>
  <Lines>1425</Lines>
  <Paragraphs>915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2026-02-26T10:59:00Z</dcterms:created>
  <dcterms:modified xsi:type="dcterms:W3CDTF">2026-02-26T10:59:00Z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A10-0266/2025</vt:lpwstr>
  </property>
  <property fmtid="{D5CDD505-2E9C-101B-9397-08002B2CF9AE}" pid="4" name="&lt;Type&gt;">
    <vt:lpwstr>RR</vt:lpwstr>
  </property>
</Properties>
</file>