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5894" w14:paraId="29BCD7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76389D" w14:textId="05413DEE" w:rsidR="00751A4A" w:rsidRPr="003B5894" w:rsidRDefault="00737E1B" w:rsidP="0010095E">
            <w:pPr>
              <w:pStyle w:val="EPName"/>
            </w:pPr>
            <w:r w:rsidRPr="003B5894">
              <w:t>Europski parlament</w:t>
            </w:r>
          </w:p>
          <w:p w14:paraId="46668732" w14:textId="77777777" w:rsidR="00751A4A" w:rsidRPr="003B58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5894">
              <w:t>2024</w:t>
            </w:r>
            <w:r w:rsidR="00817416" w:rsidRPr="003B5894">
              <w:t>-202</w:t>
            </w:r>
            <w:r w:rsidRPr="003B5894">
              <w:t>9</w:t>
            </w:r>
          </w:p>
        </w:tc>
        <w:tc>
          <w:tcPr>
            <w:tcW w:w="2268" w:type="dxa"/>
            <w:shd w:val="clear" w:color="auto" w:fill="auto"/>
          </w:tcPr>
          <w:p w14:paraId="665D70CA" w14:textId="77777777" w:rsidR="00751A4A" w:rsidRPr="003B5894" w:rsidRDefault="00187494" w:rsidP="0010095E">
            <w:pPr>
              <w:pStyle w:val="EPLogo"/>
            </w:pPr>
            <w:r w:rsidRPr="003B5894">
              <w:rPr>
                <w:noProof/>
                <w:lang w:eastAsia="ja-JP"/>
              </w:rPr>
              <w:drawing>
                <wp:inline distT="0" distB="0" distL="0" distR="0" wp14:anchorId="3ECB5608" wp14:editId="19B053B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9A218A" w14:textId="77777777" w:rsidR="00D058B8" w:rsidRPr="003B5894" w:rsidRDefault="00D058B8" w:rsidP="004C5D52">
      <w:pPr>
        <w:pStyle w:val="LineTop"/>
      </w:pPr>
    </w:p>
    <w:p w14:paraId="500597EE" w14:textId="77930E31" w:rsidR="00680577" w:rsidRPr="003B5894" w:rsidRDefault="00737E1B" w:rsidP="00680577">
      <w:pPr>
        <w:pStyle w:val="EPBodyTA1"/>
      </w:pPr>
      <w:r w:rsidRPr="003B5894">
        <w:t>USVOJENI TEKSTOVI</w:t>
      </w:r>
    </w:p>
    <w:p w14:paraId="01A2556A" w14:textId="77777777" w:rsidR="00D058B8" w:rsidRPr="003B5894" w:rsidRDefault="00D058B8" w:rsidP="00D058B8">
      <w:pPr>
        <w:pStyle w:val="LineBottom"/>
      </w:pPr>
    </w:p>
    <w:p w14:paraId="72F20388" w14:textId="45EC0C48" w:rsidR="00737E1B" w:rsidRPr="003B5894" w:rsidRDefault="00737E1B" w:rsidP="00737E1B">
      <w:pPr>
        <w:pStyle w:val="ATHeading1"/>
      </w:pPr>
      <w:bookmarkStart w:id="0" w:name="TANumber"/>
      <w:r w:rsidRPr="003B5894">
        <w:t>P10_TA(2026)00</w:t>
      </w:r>
      <w:r w:rsidR="00580E57">
        <w:t>15</w:t>
      </w:r>
      <w:bookmarkEnd w:id="0"/>
    </w:p>
    <w:p w14:paraId="0F51CB42" w14:textId="540DF594" w:rsidR="00737E1B" w:rsidRPr="003B5894" w:rsidRDefault="00CA5AFC" w:rsidP="00737E1B">
      <w:pPr>
        <w:pStyle w:val="ATHeading2"/>
      </w:pPr>
      <w:bookmarkStart w:id="1" w:name="title"/>
      <w:r w:rsidRPr="00CA5AFC">
        <w:rPr>
          <w:bCs/>
        </w:rPr>
        <w:t xml:space="preserve">Rješavanje problema nekažnjavanja s pomoću sankcija EU-a, uključujući globalni režim sankcija EU-a u području ljudskih prava (tzv. </w:t>
      </w:r>
      <w:r>
        <w:rPr>
          <w:bCs/>
        </w:rPr>
        <w:t>„</w:t>
      </w:r>
      <w:r w:rsidRPr="00CA5AFC">
        <w:rPr>
          <w:bCs/>
        </w:rPr>
        <w:t xml:space="preserve">europski Zakon </w:t>
      </w:r>
      <w:proofErr w:type="spellStart"/>
      <w:r w:rsidRPr="00CA5AFC">
        <w:rPr>
          <w:bCs/>
        </w:rPr>
        <w:t>Magnicki</w:t>
      </w:r>
      <w:proofErr w:type="spellEnd"/>
      <w:r>
        <w:rPr>
          <w:bCs/>
        </w:rPr>
        <w:t>“</w:t>
      </w:r>
      <w:r w:rsidRPr="00CA5AFC">
        <w:rPr>
          <w:bCs/>
        </w:rPr>
        <w:t>)</w:t>
      </w:r>
      <w:bookmarkEnd w:id="1"/>
    </w:p>
    <w:p w14:paraId="01B92DC6" w14:textId="77777777" w:rsidR="00737E1B" w:rsidRPr="003B5894" w:rsidRDefault="00737E1B" w:rsidP="00737E1B">
      <w:pPr>
        <w:rPr>
          <w:i/>
          <w:vanish/>
        </w:rPr>
      </w:pPr>
      <w:r w:rsidRPr="003B5894">
        <w:rPr>
          <w:i/>
        </w:rPr>
        <w:fldChar w:fldCharType="begin"/>
      </w:r>
      <w:r w:rsidRPr="003B5894">
        <w:rPr>
          <w:i/>
        </w:rPr>
        <w:instrText xml:space="preserve"> TC"(</w:instrText>
      </w:r>
      <w:bookmarkStart w:id="2" w:name="DocNumber"/>
      <w:r w:rsidRPr="003B5894">
        <w:rPr>
          <w:i/>
        </w:rPr>
        <w:instrText>A10-0266/2025</w:instrText>
      </w:r>
      <w:bookmarkEnd w:id="2"/>
      <w:r w:rsidRPr="003B5894">
        <w:rPr>
          <w:i/>
        </w:rPr>
        <w:instrText xml:space="preserve"> - Izvjestitelj: Antonio López-Istúriz White)"\l3 \n&gt; \* MERGEFORMAT </w:instrText>
      </w:r>
      <w:r w:rsidRPr="003B5894">
        <w:rPr>
          <w:i/>
        </w:rPr>
        <w:fldChar w:fldCharType="end"/>
      </w:r>
    </w:p>
    <w:p w14:paraId="5035CF1A" w14:textId="77777777" w:rsidR="00737E1B" w:rsidRPr="003B5894" w:rsidRDefault="00737E1B" w:rsidP="00737E1B">
      <w:pPr>
        <w:rPr>
          <w:vanish/>
        </w:rPr>
      </w:pPr>
      <w:bookmarkStart w:id="3" w:name="Commission"/>
      <w:r w:rsidRPr="003B5894">
        <w:rPr>
          <w:vanish/>
        </w:rPr>
        <w:t>Odbor za vanjske poslove</w:t>
      </w:r>
      <w:bookmarkEnd w:id="3"/>
    </w:p>
    <w:p w14:paraId="2C3ABB30" w14:textId="77777777" w:rsidR="00737E1B" w:rsidRPr="003B5894" w:rsidRDefault="00737E1B" w:rsidP="00737E1B">
      <w:pPr>
        <w:rPr>
          <w:vanish/>
        </w:rPr>
      </w:pPr>
      <w:bookmarkStart w:id="4" w:name="PE"/>
      <w:r w:rsidRPr="003B5894">
        <w:rPr>
          <w:vanish/>
        </w:rPr>
        <w:t>PE775.385</w:t>
      </w:r>
      <w:bookmarkEnd w:id="4"/>
    </w:p>
    <w:p w14:paraId="5A80353D" w14:textId="2720ADE8" w:rsidR="00737E1B" w:rsidRPr="003B5894" w:rsidRDefault="00737E1B" w:rsidP="00737E1B">
      <w:pPr>
        <w:pStyle w:val="ATHeading3"/>
      </w:pPr>
      <w:bookmarkStart w:id="5" w:name="Sujet"/>
      <w:r w:rsidRPr="003B5894">
        <w:t xml:space="preserve">Rezolucija Europskog parlamenta od </w:t>
      </w:r>
      <w:r w:rsidR="00CA5AFC">
        <w:t>21. siječnja</w:t>
      </w:r>
      <w:r w:rsidRPr="003B5894">
        <w:t xml:space="preserve"> 2026. o rješavanju problema nekažnjavanja s pomoću sankcija EU-a, uključujući globalni režim sankcija EU-a u području ljudskih prava (tzv. </w:t>
      </w:r>
      <w:r w:rsidR="00CA5AFC">
        <w:t>„</w:t>
      </w:r>
      <w:r w:rsidRPr="003B5894">
        <w:t xml:space="preserve">europski Zakon </w:t>
      </w:r>
      <w:proofErr w:type="spellStart"/>
      <w:r w:rsidRPr="003B5894">
        <w:t>Magnicki</w:t>
      </w:r>
      <w:proofErr w:type="spellEnd"/>
      <w:r w:rsidR="00CA5AFC">
        <w:t>“</w:t>
      </w:r>
      <w:r w:rsidRPr="003B5894">
        <w:t>)</w:t>
      </w:r>
      <w:bookmarkEnd w:id="5"/>
      <w:r w:rsidRPr="003B5894">
        <w:t xml:space="preserve"> </w:t>
      </w:r>
      <w:bookmarkStart w:id="6" w:name="References"/>
      <w:r w:rsidRPr="003B5894">
        <w:t>(2025/2049(INI))</w:t>
      </w:r>
      <w:bookmarkEnd w:id="6"/>
    </w:p>
    <w:p w14:paraId="6929C85F" w14:textId="77777777" w:rsidR="00265D5E" w:rsidRPr="003B5894" w:rsidRDefault="00265D5E" w:rsidP="00265D5E">
      <w:pPr>
        <w:pStyle w:val="EPComma"/>
      </w:pPr>
      <w:r w:rsidRPr="003B5894">
        <w:rPr>
          <w:i/>
        </w:rPr>
        <w:t>Europski parlament</w:t>
      </w:r>
      <w:r w:rsidRPr="003B5894">
        <w:t>,</w:t>
      </w:r>
    </w:p>
    <w:p w14:paraId="02F8DC40" w14:textId="77777777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 xml:space="preserve">uzimajući u obzir Opću deklaraciju o ljudskim pravima od 10. prosinca 1948., </w:t>
      </w:r>
    </w:p>
    <w:p w14:paraId="202640C5" w14:textId="77777777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 xml:space="preserve">uzimajući u obzir Europsku konvenciju za zaštitu ljudskih prava i temeljnih sloboda od 4. studenog 1950., </w:t>
      </w:r>
    </w:p>
    <w:p w14:paraId="768F7DE9" w14:textId="6E1172CE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>uzimajući u obzir Međunarodni pakt o građanskim i političkim pravima od 16. prosinca 1966.,</w:t>
      </w:r>
    </w:p>
    <w:p w14:paraId="79DE5B43" w14:textId="77777777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 xml:space="preserve">uzimajući u obzir Konvenciju UN-a protiv mučenja i drugih okrutnih, neljudskih ili ponižavajućih postupaka ili kažnjavanja od 10. prosinca 1984., </w:t>
      </w:r>
    </w:p>
    <w:p w14:paraId="626010D9" w14:textId="57115175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>uzimajući u obzir Ugovor o Europskoj uniji (UEU), a posebno njegov član</w:t>
      </w:r>
      <w:r w:rsidR="00B72D6D">
        <w:t>ak</w:t>
      </w:r>
      <w:r w:rsidRPr="003B5894">
        <w:t xml:space="preserve"> 2., </w:t>
      </w:r>
      <w:r w:rsidR="00B72D6D">
        <w:t xml:space="preserve">članak </w:t>
      </w:r>
      <w:r w:rsidRPr="003B5894">
        <w:t xml:space="preserve">3. stavak 5., </w:t>
      </w:r>
      <w:r w:rsidR="00B72D6D">
        <w:t xml:space="preserve">članke </w:t>
      </w:r>
      <w:r w:rsidRPr="003B5894">
        <w:t>21., 23.</w:t>
      </w:r>
      <w:r w:rsidR="00B72D6D">
        <w:t xml:space="preserve"> i</w:t>
      </w:r>
      <w:r w:rsidRPr="003B5894">
        <w:t xml:space="preserve"> 29. </w:t>
      </w:r>
      <w:r w:rsidR="00B72D6D">
        <w:t>te</w:t>
      </w:r>
      <w:r w:rsidRPr="003B5894">
        <w:t xml:space="preserve"> </w:t>
      </w:r>
      <w:r w:rsidR="00B72D6D">
        <w:t xml:space="preserve">članak </w:t>
      </w:r>
      <w:r w:rsidRPr="003B5894">
        <w:t>31. stavak 2.,</w:t>
      </w:r>
    </w:p>
    <w:p w14:paraId="1A734A3F" w14:textId="0F0311C0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>uzimajući u obzir članak 215. Ugovora o funkcioniranju Europske unije, koji se odnosi na donošenje mjera ograničavanja protiv fizičkih ili pravnih osoba i skupina ili nedržavnih subjekata,</w:t>
      </w:r>
    </w:p>
    <w:p w14:paraId="53F41E90" w14:textId="77777777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>uzimajući u obzir Povelju Europske unije o temeljnim pravima,</w:t>
      </w:r>
    </w:p>
    <w:p w14:paraId="574565AF" w14:textId="77777777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 xml:space="preserve">uzimajući u obzir izjavu br. 25 priloženu Ugovoru iz Lisabona koja se odnosi na nužnost zaštite i poštovanja odgovarajućih </w:t>
      </w:r>
      <w:proofErr w:type="spellStart"/>
      <w:r w:rsidRPr="003B5894">
        <w:t>postupovnih</w:t>
      </w:r>
      <w:proofErr w:type="spellEnd"/>
      <w:r w:rsidRPr="003B5894">
        <w:t xml:space="preserve"> prava pojedinaca ili subjekata podvrgnutih mjerama ograničavanja EU-a ili mjerama EU-a za borbu protiv terorizma,</w:t>
      </w:r>
    </w:p>
    <w:p w14:paraId="1C5ACF94" w14:textId="77777777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>uzimajući u obzir svoje rezolucije o kršenju ljudskih prava, demokraciji i vladavini prava (tzv. „hitne rezolucije”) koje se donose u skladu s člankom 150. Poslovnika,</w:t>
      </w:r>
    </w:p>
    <w:p w14:paraId="62DA34E9" w14:textId="77777777" w:rsidR="00265D5E" w:rsidRPr="003B5894" w:rsidRDefault="00265D5E" w:rsidP="00265D5E">
      <w:pPr>
        <w:pStyle w:val="NormalHanging12a"/>
      </w:pPr>
      <w:r w:rsidRPr="003B5894">
        <w:lastRenderedPageBreak/>
        <w:t>–</w:t>
      </w:r>
      <w:r w:rsidRPr="003B5894">
        <w:tab/>
        <w:t>uzimajući u obzir Odluku Vijeća (ZVSP) 2020/1999</w:t>
      </w:r>
      <w:r w:rsidRPr="003B5894">
        <w:rPr>
          <w:rStyle w:val="FootnoteReference"/>
        </w:rPr>
        <w:footnoteReference w:id="1"/>
      </w:r>
      <w:r w:rsidRPr="003B5894">
        <w:t xml:space="preserve"> i Uredbu Vijeća (EU) 2020/1998</w:t>
      </w:r>
      <w:r w:rsidRPr="003B5894">
        <w:rPr>
          <w:rStyle w:val="FootnoteReference"/>
        </w:rPr>
        <w:footnoteReference w:id="2"/>
      </w:r>
      <w:r w:rsidRPr="003B5894">
        <w:t xml:space="preserve"> od 7. prosinca 2020. o mjerama ograničavanja zbog teških kršenja i povreda ljudskih prava,</w:t>
      </w:r>
    </w:p>
    <w:p w14:paraId="682CA7CF" w14:textId="77777777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>uzimajući u obzir provedbene uredbe Vijeća (EU) 2021/371 od 2. ožujka 2021.</w:t>
      </w:r>
      <w:r w:rsidRPr="003B5894">
        <w:rPr>
          <w:rStyle w:val="FootnoteReference"/>
        </w:rPr>
        <w:footnoteReference w:id="3"/>
      </w:r>
      <w:r w:rsidRPr="003B5894">
        <w:t xml:space="preserve"> , (EU) 2021/478 od 22. ožujka 2021.</w:t>
      </w:r>
      <w:r w:rsidRPr="003B5894">
        <w:rPr>
          <w:rStyle w:val="FootnoteReference"/>
        </w:rPr>
        <w:footnoteReference w:id="4"/>
      </w:r>
      <w:r w:rsidRPr="003B5894">
        <w:t xml:space="preserve"> i (EU) 2025/1111 od 28. svibnja 2025.</w:t>
      </w:r>
      <w:r w:rsidRPr="003B5894">
        <w:rPr>
          <w:rStyle w:val="FootnoteReference"/>
        </w:rPr>
        <w:footnoteReference w:id="5"/>
      </w:r>
      <w:r w:rsidRPr="003B5894">
        <w:t xml:space="preserve"> o provedbi Uredbe (EU) 2020/1998 o mjerama ograničavanja zbog teških kršenja i povreda ljudskih prava,</w:t>
      </w:r>
    </w:p>
    <w:p w14:paraId="142E8FE3" w14:textId="77777777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>uzimajući u obzir odluke Vijeća o izmjeni Odluke Vijeća (ZVSP) 2020/1999, uključujući odluke Vijeća (ZVSP) 2021/372 od 2. ožujka 2021.</w:t>
      </w:r>
      <w:r w:rsidRPr="003B5894">
        <w:rPr>
          <w:rStyle w:val="FootnoteReference"/>
        </w:rPr>
        <w:footnoteReference w:id="6"/>
      </w:r>
      <w:r w:rsidRPr="003B5894">
        <w:t>, (ZVSP) 2021/481 od 22. ožujka 2021.</w:t>
      </w:r>
      <w:r w:rsidRPr="003B5894">
        <w:rPr>
          <w:rStyle w:val="FootnoteReference"/>
        </w:rPr>
        <w:footnoteReference w:id="7"/>
      </w:r>
      <w:r w:rsidRPr="003B5894">
        <w:t>, (ZVSP) 2021/2197 od 13. prosinca 2021.</w:t>
      </w:r>
      <w:r w:rsidRPr="003B5894">
        <w:rPr>
          <w:rStyle w:val="FootnoteReference"/>
        </w:rPr>
        <w:footnoteReference w:id="8"/>
      </w:r>
      <w:r w:rsidRPr="003B5894">
        <w:t>, (ZVSP) 2023/1504 od 20. srpnja 2023.</w:t>
      </w:r>
      <w:r w:rsidRPr="003B5894">
        <w:rPr>
          <w:rStyle w:val="FootnoteReference"/>
        </w:rPr>
        <w:footnoteReference w:id="9"/>
      </w:r>
      <w:r w:rsidRPr="003B5894">
        <w:t>, (ZVSP) 2023/1716 od 8. rujna 2023.</w:t>
      </w:r>
      <w:r w:rsidRPr="003B5894">
        <w:rPr>
          <w:rStyle w:val="FootnoteReference"/>
        </w:rPr>
        <w:footnoteReference w:id="10"/>
      </w:r>
      <w:r w:rsidRPr="003B5894">
        <w:t>, (ZVSP) 2024/1025 od 4. travnja 2024.</w:t>
      </w:r>
      <w:r w:rsidRPr="003B5894">
        <w:rPr>
          <w:rStyle w:val="FootnoteReference"/>
        </w:rPr>
        <w:footnoteReference w:id="11"/>
      </w:r>
      <w:r w:rsidRPr="003B5894">
        <w:t>, (ZVSP) 2024/1074 od 4. travnja 2024.</w:t>
      </w:r>
      <w:r w:rsidRPr="003B5894">
        <w:rPr>
          <w:rStyle w:val="FootnoteReference"/>
        </w:rPr>
        <w:footnoteReference w:id="12"/>
      </w:r>
      <w:r w:rsidRPr="003B5894">
        <w:t>, (ZVSP) 2024/1175 od 19. travnja 2024.</w:t>
      </w:r>
      <w:r w:rsidRPr="003B5894">
        <w:rPr>
          <w:rStyle w:val="FootnoteReference"/>
        </w:rPr>
        <w:footnoteReference w:id="13"/>
      </w:r>
      <w:r w:rsidRPr="003B5894">
        <w:t>, 2024/1967 od 15. srpnja 2024.</w:t>
      </w:r>
      <w:r w:rsidRPr="003B5894">
        <w:rPr>
          <w:rStyle w:val="FootnoteReference"/>
        </w:rPr>
        <w:footnoteReference w:id="14"/>
      </w:r>
      <w:r w:rsidRPr="003B5894">
        <w:t>, (ZVSP) 2024/3004 od 2. prosinca 2024.</w:t>
      </w:r>
      <w:r w:rsidRPr="003B5894">
        <w:rPr>
          <w:rStyle w:val="FootnoteReference"/>
        </w:rPr>
        <w:footnoteReference w:id="15"/>
      </w:r>
      <w:r w:rsidRPr="003B5894">
        <w:t>, (ZVSP) 2025/346 od 18. veljače 2025.</w:t>
      </w:r>
      <w:r w:rsidRPr="003B5894">
        <w:rPr>
          <w:rStyle w:val="FootnoteReference"/>
        </w:rPr>
        <w:footnoteReference w:id="16"/>
      </w:r>
      <w:r w:rsidRPr="003B5894">
        <w:t xml:space="preserve"> i (ZVSP) 2025/1110 od 27. svibnja 2025.</w:t>
      </w:r>
      <w:r w:rsidRPr="003B5894">
        <w:rPr>
          <w:rStyle w:val="FootnoteReference"/>
        </w:rPr>
        <w:footnoteReference w:id="17"/>
      </w:r>
      <w:r w:rsidRPr="003B5894">
        <w:t>,</w:t>
      </w:r>
    </w:p>
    <w:p w14:paraId="5952A937" w14:textId="77777777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 xml:space="preserve">uzimajući u obzir svoju Rezoluciju od 8. srpnja 2021. o globalnom režimu sankcija EU-a u području ljudskih prava (europski Zakon </w:t>
      </w:r>
      <w:proofErr w:type="spellStart"/>
      <w:r w:rsidRPr="003B5894">
        <w:t>Magnicki</w:t>
      </w:r>
      <w:proofErr w:type="spellEnd"/>
      <w:r w:rsidRPr="003B5894">
        <w:t>)</w:t>
      </w:r>
      <w:r w:rsidRPr="003B5894">
        <w:rPr>
          <w:rStyle w:val="FootnoteReference"/>
        </w:rPr>
        <w:footnoteReference w:id="18"/>
      </w:r>
      <w:r w:rsidRPr="003B5894">
        <w:t xml:space="preserve"> i svoju Rezoluciju od 2. travnja 2025. o ljudskim pravima i demokraciji u svijetu i politici Europske unije u tom području – godišnje izvješće za 2024.</w:t>
      </w:r>
      <w:r w:rsidRPr="003B5894">
        <w:rPr>
          <w:rStyle w:val="FootnoteReference"/>
        </w:rPr>
        <w:footnoteReference w:id="19"/>
      </w:r>
      <w:r w:rsidRPr="003B5894">
        <w:t>,</w:t>
      </w:r>
    </w:p>
    <w:p w14:paraId="53329432" w14:textId="77777777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>uzimajući u obzir zaključke Vijeća od 18. studenoga 2020. o Akcijskom planu EU-a za ljudska prava i demokraciju za razdoblje 2020. – 2024., koji je produljen do 2027.,</w:t>
      </w:r>
    </w:p>
    <w:p w14:paraId="566C2D9C" w14:textId="77777777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>uzimajući u obzir Odluku Vijeća (ZVSP) 2023/2721 od 4. prosinca 2023. o izmjeni Odluke (ZVSP) 2020/1999 o mjerama ograničavanja zbog teških kršenja i povreda ljudskih prava</w:t>
      </w:r>
      <w:r w:rsidRPr="003B5894">
        <w:rPr>
          <w:rStyle w:val="FootnoteReference"/>
        </w:rPr>
        <w:footnoteReference w:id="20"/>
      </w:r>
      <w:r w:rsidRPr="003B5894">
        <w:t xml:space="preserve">, kojom je globalni režim sankcija EU-a u području ljudskih prava (europski Zakon </w:t>
      </w:r>
      <w:proofErr w:type="spellStart"/>
      <w:r w:rsidRPr="003B5894">
        <w:t>Magnicki</w:t>
      </w:r>
      <w:proofErr w:type="spellEnd"/>
      <w:r w:rsidRPr="003B5894">
        <w:t>) produljen za tri godine, do 8. prosinca 2026.,</w:t>
      </w:r>
    </w:p>
    <w:p w14:paraId="0F1EA5A6" w14:textId="77777777" w:rsidR="00265D5E" w:rsidRPr="003B5894" w:rsidRDefault="00265D5E" w:rsidP="00265D5E">
      <w:pPr>
        <w:pStyle w:val="NormalHanging12a"/>
      </w:pPr>
      <w:r w:rsidRPr="003B5894">
        <w:lastRenderedPageBreak/>
        <w:t>–</w:t>
      </w:r>
      <w:r w:rsidRPr="003B5894">
        <w:tab/>
        <w:t>uzimajući u obzir članak 55. Poslovnika,</w:t>
      </w:r>
    </w:p>
    <w:p w14:paraId="25C57AF7" w14:textId="77777777" w:rsidR="00265D5E" w:rsidRPr="003B5894" w:rsidRDefault="00265D5E" w:rsidP="00265D5E">
      <w:pPr>
        <w:pStyle w:val="NormalHanging12a"/>
      </w:pPr>
      <w:r w:rsidRPr="003B5894">
        <w:t>–</w:t>
      </w:r>
      <w:r w:rsidRPr="003B5894">
        <w:tab/>
        <w:t>uzimajući u obzir izvješće Odbora za vanjske poslove (A10</w:t>
      </w:r>
      <w:r w:rsidRPr="003B5894">
        <w:noBreakHyphen/>
        <w:t>0266/2025),</w:t>
      </w:r>
    </w:p>
    <w:p w14:paraId="240B2F46" w14:textId="77777777" w:rsidR="00265D5E" w:rsidRPr="003B5894" w:rsidRDefault="00265D5E" w:rsidP="00265D5E">
      <w:pPr>
        <w:pStyle w:val="NormalHanging12a"/>
      </w:pPr>
      <w:r w:rsidRPr="003B5894">
        <w:t>A.</w:t>
      </w:r>
      <w:r w:rsidRPr="003B5894">
        <w:tab/>
        <w:t>budući da se u članku 21. UEU-a navodi da se Unija u svojem djelovanju rukovodi načelima demokracije, vladavine prava, univerzalnosti i nedjeljivosti ljudskih prava i temeljnih sloboda, poštovanja ljudskog dostojanstva, jednakosti i solidarnosti te poštovanjem načela Povelje Ujedinjenih naroda i međunarodnog prava;</w:t>
      </w:r>
    </w:p>
    <w:p w14:paraId="5C21463A" w14:textId="77777777" w:rsidR="00265D5E" w:rsidRPr="003B5894" w:rsidRDefault="00265D5E" w:rsidP="00265D5E">
      <w:pPr>
        <w:pStyle w:val="NormalHanging12a"/>
      </w:pPr>
      <w:r w:rsidRPr="003B5894">
        <w:t>B.</w:t>
      </w:r>
      <w:r w:rsidRPr="003B5894">
        <w:tab/>
        <w:t xml:space="preserve">budući da globalni režim sankcija EU-a u području ljudskih prava (europski Zakon </w:t>
      </w:r>
      <w:proofErr w:type="spellStart"/>
      <w:r w:rsidRPr="003B5894">
        <w:t>Magnicki</w:t>
      </w:r>
      <w:proofErr w:type="spellEnd"/>
      <w:r w:rsidRPr="003B5894">
        <w:t xml:space="preserve">), donesen u prosincu 2020., omogućuje EU-u da uvede mjere ograničavanja protiv pojedinaca i subjekata odgovornih za teška kršenja ljudskih prava diljem svijeta; budući da su određene države članice EU-a donijele vlastito nacionalno zakonodavstvo po uzoru na zakon </w:t>
      </w:r>
      <w:proofErr w:type="spellStart"/>
      <w:r w:rsidRPr="003B5894">
        <w:t>Magnicki</w:t>
      </w:r>
      <w:proofErr w:type="spellEnd"/>
      <w:r w:rsidRPr="003B5894">
        <w:t xml:space="preserve"> i da su to važni alati kojima se dopunjuju sankcije EU-a; budući da su slične režime sankcija donijele Sjedinjene Države, Kanada, Ujedinjena Kraljevina, Australija i druge zemlje sličnih nazora; budući da suradnja i koordinacija zemalja sličnih nazora u pogledu sankcija povećava njihovu djelotvornost;</w:t>
      </w:r>
    </w:p>
    <w:p w14:paraId="039008F3" w14:textId="46B67E12" w:rsidR="00265D5E" w:rsidRPr="003B5894" w:rsidRDefault="00265D5E" w:rsidP="00265D5E">
      <w:pPr>
        <w:pStyle w:val="NormalHanging12a"/>
      </w:pPr>
      <w:r w:rsidRPr="003B5894">
        <w:t>C.</w:t>
      </w:r>
      <w:r w:rsidRPr="003B5894">
        <w:tab/>
        <w:t xml:space="preserve">budući da je Europski sud za ljudska prava u jednoglasnoj presudi sedam sudaca u predmetu </w:t>
      </w:r>
      <w:proofErr w:type="spellStart"/>
      <w:r w:rsidRPr="003B5894">
        <w:rPr>
          <w:i/>
        </w:rPr>
        <w:t>Magnicki</w:t>
      </w:r>
      <w:proofErr w:type="spellEnd"/>
      <w:r w:rsidRPr="003B5894">
        <w:rPr>
          <w:i/>
        </w:rPr>
        <w:t xml:space="preserve"> i drugi protiv Rusije</w:t>
      </w:r>
      <w:r w:rsidRPr="003B5894">
        <w:t xml:space="preserve"> (zahtjevi br. 32631/09 i 53799/12) 27. kolovoza 2019. presudio da je Rusija odgovorna za smrt Sergeja </w:t>
      </w:r>
      <w:proofErr w:type="spellStart"/>
      <w:r w:rsidRPr="003B5894">
        <w:t>Magnickog</w:t>
      </w:r>
      <w:proofErr w:type="spellEnd"/>
      <w:r w:rsidRPr="003B5894">
        <w:t xml:space="preserve"> u zatvoru i da je bio izložen namjernom nasilju koje predstavlja nečovječno i ponižavajuće postupanje; budući da, unatoč istragama njegova pritvaranja, mučenja, nezakonitog </w:t>
      </w:r>
      <w:proofErr w:type="spellStart"/>
      <w:r w:rsidRPr="003B5894">
        <w:t>postumnog</w:t>
      </w:r>
      <w:proofErr w:type="spellEnd"/>
      <w:r w:rsidRPr="003B5894">
        <w:t xml:space="preserve"> kaznenog progona i smrti, nitko nije kazneno odgovarao;</w:t>
      </w:r>
    </w:p>
    <w:p w14:paraId="47B3F8A4" w14:textId="77777777" w:rsidR="00265D5E" w:rsidRPr="003B5894" w:rsidRDefault="00265D5E" w:rsidP="00265D5E">
      <w:pPr>
        <w:pStyle w:val="NormalHanging12a"/>
      </w:pPr>
      <w:r w:rsidRPr="003B5894">
        <w:t>D.</w:t>
      </w:r>
      <w:r w:rsidRPr="003B5894">
        <w:tab/>
        <w:t xml:space="preserve">budući da je u svojoj Rezoluciji od 8. srpnja 2021. o globalnom režimu sankcija EU-a u području ljudskih prava (europski Zakon </w:t>
      </w:r>
      <w:proofErr w:type="spellStart"/>
      <w:r w:rsidRPr="003B5894">
        <w:t>Magnicki</w:t>
      </w:r>
      <w:proofErr w:type="spellEnd"/>
      <w:r w:rsidRPr="003B5894">
        <w:t>), Parlament pozdravio donošenje režima sankcija kao ključne dopune instrumentariju EU-a za ljudska prava i vanjsku politiku;</w:t>
      </w:r>
    </w:p>
    <w:p w14:paraId="5E56856A" w14:textId="77777777" w:rsidR="00265D5E" w:rsidRPr="003B5894" w:rsidRDefault="00265D5E" w:rsidP="00265D5E">
      <w:pPr>
        <w:pStyle w:val="NormalHanging12a"/>
      </w:pPr>
      <w:r w:rsidRPr="003B5894">
        <w:t>E.</w:t>
      </w:r>
      <w:r w:rsidRPr="003B5894">
        <w:tab/>
        <w:t xml:space="preserve">budući da se globalni režim sankcija EU-a u području ljudskih prava (europski Zakon </w:t>
      </w:r>
      <w:proofErr w:type="spellStart"/>
      <w:r w:rsidRPr="003B5894">
        <w:t>Magnicki</w:t>
      </w:r>
      <w:proofErr w:type="spellEnd"/>
      <w:r w:rsidRPr="003B5894">
        <w:t>) primjenjuje na širok raspon kršenja ljudskih prava te da osobe i subjekti uvršteni na popis mogu uključivati počinitelje, pomagače i treće strane koje pružaju materijalnu potporu ili tehničku pomoć potrebnu za represiju;</w:t>
      </w:r>
    </w:p>
    <w:p w14:paraId="38492B8B" w14:textId="45DF1420" w:rsidR="00265D5E" w:rsidRPr="003B5894" w:rsidRDefault="00265D5E" w:rsidP="00265D5E">
      <w:pPr>
        <w:pStyle w:val="NormalHanging12a"/>
      </w:pPr>
      <w:r w:rsidRPr="003B5894">
        <w:t>F.</w:t>
      </w:r>
      <w:r w:rsidRPr="003B5894">
        <w:tab/>
        <w:t xml:space="preserve">budući da je globalni režim sankcija EU-a u području ljudskih prava usmjeren na pojedinačne počinitelje i subjekte, a ne na široke gospodarske sektore, čime se smanjuje kolateralna šteta za opće stanovništvo i izbjegava nanošenje štete pristupu hrani, lijekovima ili javnim uslugama; </w:t>
      </w:r>
    </w:p>
    <w:p w14:paraId="6A184CE2" w14:textId="77777777" w:rsidR="00265D5E" w:rsidRPr="003B5894" w:rsidRDefault="00265D5E" w:rsidP="00265D5E">
      <w:pPr>
        <w:pStyle w:val="NormalHanging12a"/>
      </w:pPr>
      <w:r w:rsidRPr="003B5894">
        <w:t>G.</w:t>
      </w:r>
      <w:r w:rsidRPr="003B5894">
        <w:tab/>
        <w:t xml:space="preserve">budući da globalni režim sankcija EU-a u području ljudskih prava obuhvaća i raširena kršenja ili povrede te sustavnu i ozbiljnu zabrinutost u pogledu ciljeva zajedničke vanjske i sigurnosne politike utvrđenih u članku 21. UEU-a, kao što su mučenje i drugo okrutno, nečovječno ili ponižavajuće postupanje ili kažnjavanje, ropstvo, izvansudska, prijeka ili proizvoljna pogubljenja i ubijanja, prisilni nestanak osoba, proizvoljna uhićenja ili pritvaranja, trgovina ljudima, seksualno i rodno uvjetovano nasilje, kršenja ili povrede slobode mirnog okupljanja i udruživanja, kršenja ili povrede slobode mišljenja i izražavanja te kršenja ili povrede slobode vjeroispovijesti ili uvjerenja;  </w:t>
      </w:r>
    </w:p>
    <w:p w14:paraId="414A6EB1" w14:textId="77777777" w:rsidR="00265D5E" w:rsidRPr="003B5894" w:rsidRDefault="00265D5E" w:rsidP="00265D5E">
      <w:pPr>
        <w:pStyle w:val="NormalHanging12a"/>
      </w:pPr>
      <w:r w:rsidRPr="003B5894">
        <w:t>H.</w:t>
      </w:r>
      <w:r w:rsidRPr="003B5894">
        <w:tab/>
        <w:t>budući da su uvrštenja na popis globalnog režima sankcija EU-a u području ljudskih prava oblik međunarodnog priznavanja žrtava kršenja ljudskih prava;</w:t>
      </w:r>
    </w:p>
    <w:p w14:paraId="5F85480D" w14:textId="77777777" w:rsidR="00265D5E" w:rsidRPr="003B5894" w:rsidRDefault="00265D5E" w:rsidP="00265D5E">
      <w:pPr>
        <w:pStyle w:val="NormalHanging12a"/>
      </w:pPr>
      <w:r w:rsidRPr="003B5894">
        <w:lastRenderedPageBreak/>
        <w:t>I.</w:t>
      </w:r>
      <w:r w:rsidRPr="003B5894">
        <w:tab/>
        <w:t xml:space="preserve">budući da transnacionalna represija još nije uvrštena na popis teških kršenja ljudskih prava koja dovode do primjene sankcije u okviru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 xml:space="preserve">); </w:t>
      </w:r>
    </w:p>
    <w:p w14:paraId="172A0D11" w14:textId="77777777" w:rsidR="00265D5E" w:rsidRPr="003B5894" w:rsidRDefault="00265D5E" w:rsidP="00265D5E">
      <w:pPr>
        <w:pStyle w:val="NormalHanging12a"/>
      </w:pPr>
      <w:r w:rsidRPr="003B5894">
        <w:t>J.</w:t>
      </w:r>
      <w:r w:rsidRPr="003B5894">
        <w:tab/>
        <w:t>budući da je Parlament u brojnim rezolucijama pozvao na fleksibilnije i češće korištenje sankcija u slučajevima najtežih međunarodnih kaznenih djela ili teških kršenja ljudskih prava;</w:t>
      </w:r>
    </w:p>
    <w:p w14:paraId="4343FFB2" w14:textId="77777777" w:rsidR="00265D5E" w:rsidRPr="003B5894" w:rsidRDefault="00265D5E" w:rsidP="00265D5E">
      <w:pPr>
        <w:pStyle w:val="NormalHanging12a"/>
      </w:pPr>
      <w:r w:rsidRPr="003B5894">
        <w:t>K.</w:t>
      </w:r>
      <w:r w:rsidRPr="003B5894">
        <w:tab/>
        <w:t xml:space="preserve">budući da je do 4. studenoga 2025. u okviru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bilo 168 uvrštenja na popis (131 pojedinac i 37 subjekata); budući da se broj uvrštenja na popis u okviru tog režima povećao, a malo toga je poznato o njegovu učinku i djelotvornosti;</w:t>
      </w:r>
    </w:p>
    <w:p w14:paraId="22B5242F" w14:textId="77777777" w:rsidR="00265D5E" w:rsidRPr="003B5894" w:rsidRDefault="00265D5E" w:rsidP="00265D5E">
      <w:pPr>
        <w:pStyle w:val="NormalHanging12a"/>
      </w:pPr>
      <w:r w:rsidRPr="003B5894">
        <w:t>L.</w:t>
      </w:r>
      <w:r w:rsidRPr="003B5894">
        <w:tab/>
        <w:t xml:space="preserve">budući da, unatoč ostvarenom napretku, i dalje postoje znatne neravnoteže u geografskom i tematskom obuhvatu transnacionalnih uvrštenja na popis te u utvrđivanju referentnih mjerila usklađenih s ciljevima sankcija; budući da se, unatoč više poziva Parlamenta, korupcija još ne smatra kaznenim djelom u okviru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);</w:t>
      </w:r>
    </w:p>
    <w:p w14:paraId="1A39F4B8" w14:textId="77777777" w:rsidR="00265D5E" w:rsidRPr="003B5894" w:rsidRDefault="00265D5E" w:rsidP="00265D5E">
      <w:pPr>
        <w:pStyle w:val="NormalHanging12a"/>
      </w:pPr>
      <w:r w:rsidRPr="003B5894">
        <w:t>M.</w:t>
      </w:r>
      <w:r w:rsidRPr="003B5894">
        <w:tab/>
        <w:t>budući da su se uvrštenja na popis prvenstveno odnosila na kršenja tjelesnog integriteta i građanskih političkih prava, posebno ona usmjerena na političke protivnike i aktiviste u autoritarnim režimima, pretežito muškarce, a ne na najteža međunarodna kaznena djela, poput genocida te zločina protiv čovječnosti, i sustavna kršenja socioekonomskih prava;</w:t>
      </w:r>
    </w:p>
    <w:p w14:paraId="3C6E01EC" w14:textId="77777777" w:rsidR="00265D5E" w:rsidRPr="003B5894" w:rsidRDefault="00265D5E" w:rsidP="00265D5E">
      <w:pPr>
        <w:pStyle w:val="NormalHanging12a"/>
      </w:pPr>
      <w:r w:rsidRPr="003B5894">
        <w:t>N.</w:t>
      </w:r>
      <w:r w:rsidRPr="003B5894">
        <w:tab/>
        <w:t>budući da su uvrštenja na popis, u skladu sa strateškim odnosima i geopolitičkim interesima EU-a, u velikoj mjeri geografski koncentrirana, zbog čega određenim područjima i kontekstima nije posvećena odgovarajuća pozornost;</w:t>
      </w:r>
    </w:p>
    <w:p w14:paraId="634C94B9" w14:textId="77777777" w:rsidR="00265D5E" w:rsidRPr="003B5894" w:rsidRDefault="00265D5E" w:rsidP="00265D5E">
      <w:pPr>
        <w:pStyle w:val="NormalHanging12a"/>
      </w:pPr>
      <w:r w:rsidRPr="003B5894">
        <w:t>O.</w:t>
      </w:r>
      <w:r w:rsidRPr="003B5894">
        <w:tab/>
        <w:t xml:space="preserve">budući da je povjerljivost u vezi s mogućim uvrštavanjem na popis ili uklanjanjem s njega ključna za osiguravanje učinkovitosti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); budući da bi Parlament trebao imati ulogu u tom procesu;</w:t>
      </w:r>
    </w:p>
    <w:p w14:paraId="0BF25CD2" w14:textId="620F64A9" w:rsidR="00265D5E" w:rsidRPr="003B5894" w:rsidRDefault="00265D5E" w:rsidP="00265D5E">
      <w:pPr>
        <w:pStyle w:val="NormalHanging12a"/>
      </w:pPr>
      <w:r w:rsidRPr="003B5894">
        <w:t>P.</w:t>
      </w:r>
      <w:r w:rsidRPr="003B5894">
        <w:tab/>
        <w:t xml:space="preserve">budući da je parlamentarni nadzor nad globalnim režimom sankcija EU-a u području ljudskih prava (europski Zakon </w:t>
      </w:r>
      <w:proofErr w:type="spellStart"/>
      <w:r w:rsidRPr="003B5894">
        <w:t>Magnicki</w:t>
      </w:r>
      <w:proofErr w:type="spellEnd"/>
      <w:r w:rsidRPr="003B5894">
        <w:t>) potreban kako bi se osnažila njegova legitimnost; budući da Vijeće i dalje nedovoljno uzima u obzir rezolucije Parlamenta koje sadrže preporuke za dodatna uvrštenja na popis;</w:t>
      </w:r>
    </w:p>
    <w:p w14:paraId="6BDF8F12" w14:textId="77777777" w:rsidR="00265D5E" w:rsidRPr="003B5894" w:rsidRDefault="00265D5E" w:rsidP="00265D5E">
      <w:pPr>
        <w:pStyle w:val="NormalHanging12a"/>
      </w:pPr>
      <w:r w:rsidRPr="003B5894">
        <w:t>Q.</w:t>
      </w:r>
      <w:r w:rsidRPr="003B5894">
        <w:tab/>
        <w:t xml:space="preserve">budući da je trenutačno u okviru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predviđeno samo zamrzavanje imovine i odbijanje izdavanja viza;</w:t>
      </w:r>
    </w:p>
    <w:p w14:paraId="7A809AE0" w14:textId="0395855C" w:rsidR="00265D5E" w:rsidRPr="003B5894" w:rsidRDefault="00265D5E" w:rsidP="00265D5E">
      <w:pPr>
        <w:pStyle w:val="NormalHanging12a"/>
      </w:pPr>
      <w:r w:rsidRPr="003B5894">
        <w:t>R.</w:t>
      </w:r>
      <w:r w:rsidRPr="003B5894">
        <w:tab/>
        <w:t>budući da bi se trenutačni režim zamrzavanja imovine i zabrane izdavanja viza mogao dopuniti dodatnim mjerama, kao što su ograničenja financijskih usluga, javne nabave i sudjelovanja u projektima koje financira EU, te bi njegovo područje primjene trebalo proširiti na članove uže obitelji kršitelja ljudskih prava;</w:t>
      </w:r>
    </w:p>
    <w:p w14:paraId="32C26E99" w14:textId="77777777" w:rsidR="00265D5E" w:rsidRPr="003B5894" w:rsidRDefault="00265D5E" w:rsidP="00265D5E">
      <w:pPr>
        <w:pStyle w:val="NormalHanging12a"/>
      </w:pPr>
      <w:r w:rsidRPr="003B5894">
        <w:t>S.</w:t>
      </w:r>
      <w:r w:rsidRPr="003B5894">
        <w:tab/>
        <w:t>budući da su smjernice Komisije i dalje nedovoljne za pojašnjenje područja primjene zabrana pružanja bilo kakve potpore, uključujući tehničku i materijalnu potporu sankcioniranim osobama i subjektima;</w:t>
      </w:r>
    </w:p>
    <w:p w14:paraId="6819BAB9" w14:textId="77777777" w:rsidR="00265D5E" w:rsidRPr="003B5894" w:rsidRDefault="00265D5E" w:rsidP="00265D5E">
      <w:pPr>
        <w:pStyle w:val="NormalHanging12a"/>
      </w:pPr>
      <w:r w:rsidRPr="003B5894">
        <w:lastRenderedPageBreak/>
        <w:t>T.</w:t>
      </w:r>
      <w:r w:rsidRPr="003B5894">
        <w:tab/>
        <w:t>budući da određene praznine u provedbi stvaraju prilike za zaobilaženje sankcija, primjerice klauzule o izuzeću kojima se ugovori sklopljeni prije uvrštenja pojedinca ili subjekta na popis smatraju dopuštenima, i umanjuju učinkovitost sankcija;</w:t>
      </w:r>
    </w:p>
    <w:p w14:paraId="3E1D2E90" w14:textId="77777777" w:rsidR="00265D5E" w:rsidRPr="003B5894" w:rsidRDefault="00265D5E" w:rsidP="00265D5E">
      <w:pPr>
        <w:pStyle w:val="NormalHanging12a"/>
      </w:pPr>
      <w:r w:rsidRPr="003B5894">
        <w:t>U.</w:t>
      </w:r>
      <w:r w:rsidRPr="003B5894">
        <w:tab/>
        <w:t xml:space="preserve">budući da postojeći geografski režimi sankcija EU-a uključuju šira ograničenja koja bi mogla dopuniti globalni režim sankcija EU-a u području ljudskih prava (europski Zakon </w:t>
      </w:r>
      <w:proofErr w:type="spellStart"/>
      <w:r w:rsidRPr="003B5894">
        <w:t>Magnicki</w:t>
      </w:r>
      <w:proofErr w:type="spellEnd"/>
      <w:r w:rsidRPr="003B5894">
        <w:t>), što bi se moglo ostvariti povezivanjem tih popisa;</w:t>
      </w:r>
    </w:p>
    <w:p w14:paraId="00901E9C" w14:textId="77777777" w:rsidR="00265D5E" w:rsidRPr="003B5894" w:rsidRDefault="00265D5E" w:rsidP="00265D5E">
      <w:pPr>
        <w:pStyle w:val="NormalHanging12a"/>
      </w:pPr>
      <w:r w:rsidRPr="003B5894">
        <w:t>V.</w:t>
      </w:r>
      <w:r w:rsidRPr="003B5894">
        <w:tab/>
        <w:t xml:space="preserve">budući da se globalni režim sankcija EU-a u području ljudskih prava (europski Zakon </w:t>
      </w:r>
      <w:proofErr w:type="spellStart"/>
      <w:r w:rsidRPr="003B5894">
        <w:t>Magnicki</w:t>
      </w:r>
      <w:proofErr w:type="spellEnd"/>
      <w:r w:rsidRPr="003B5894">
        <w:t>) u velikoj mjeri usredotočio na niže dužnosnike i službenike, dok su oni koji imaju stvarnu političku i vojnu moć često ostali izvan njegova dosega;</w:t>
      </w:r>
    </w:p>
    <w:p w14:paraId="33F30769" w14:textId="77777777" w:rsidR="00265D5E" w:rsidRPr="003B5894" w:rsidRDefault="00265D5E" w:rsidP="00265D5E">
      <w:pPr>
        <w:pStyle w:val="NormalHanging12a"/>
      </w:pPr>
      <w:r w:rsidRPr="003B5894">
        <w:t>W.</w:t>
      </w:r>
      <w:r w:rsidRPr="003B5894">
        <w:tab/>
        <w:t xml:space="preserve">budući da uvrštenja na popis u okviru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do danas nisu bila usmjerena na aktere odgovorne za počinjenje nekih od najtežih međunarodnih kaznenih djela prepoznatih Rimskim statutom;</w:t>
      </w:r>
    </w:p>
    <w:p w14:paraId="0D701E97" w14:textId="77777777" w:rsidR="00265D5E" w:rsidRPr="003B5894" w:rsidRDefault="00265D5E" w:rsidP="00265D5E">
      <w:pPr>
        <w:pStyle w:val="NormalHanging12a"/>
      </w:pPr>
      <w:r w:rsidRPr="003B5894">
        <w:t>X.</w:t>
      </w:r>
      <w:r w:rsidRPr="003B5894">
        <w:tab/>
        <w:t>budući da akteri civilnog društva i dalje neformalno surađuju s institucijama EU-a predlaganjem imena za uvrštenje na popis, s obzirom na nepostojanje strukturiranog mehanizma za njihov doprinos; budući da Europskoj službi za vanjsko djelovanje (ESVD) nedostaju resursi za obradu, istragu i odgovor na informacije koje zaprimi;</w:t>
      </w:r>
    </w:p>
    <w:p w14:paraId="215244DC" w14:textId="77777777" w:rsidR="00265D5E" w:rsidRPr="003B5894" w:rsidRDefault="00265D5E" w:rsidP="00265D5E">
      <w:pPr>
        <w:pStyle w:val="NormalHanging12a"/>
      </w:pPr>
      <w:r w:rsidRPr="003B5894">
        <w:t>Y.</w:t>
      </w:r>
      <w:r w:rsidRPr="003B5894">
        <w:tab/>
        <w:t>budući da bi se većom transparentnošću, koordinacijom s mehanizmima odgovornosti, koordinacijom s međunarodnim akterima i zemljama sličnih nazora te prihvaćanjem uvrštenja na popis na razini Ujedinjenih naroda ojačala učinkovitost režima sankcija;</w:t>
      </w:r>
    </w:p>
    <w:p w14:paraId="6C287E61" w14:textId="77777777" w:rsidR="00265D5E" w:rsidRPr="003B5894" w:rsidRDefault="00265D5E" w:rsidP="00265D5E">
      <w:pPr>
        <w:pStyle w:val="NormalHanging12a"/>
      </w:pPr>
      <w:r w:rsidRPr="003B5894">
        <w:t>Z.</w:t>
      </w:r>
      <w:r w:rsidRPr="003B5894">
        <w:tab/>
        <w:t>budući da neke države članice nisu poštovale sankcije EU-a i da su dopustile sankcioniranim pojedincima da uđu na teritorij EU-a; budući da takvo nepoštovanje sankcija znatno šteti vjerodostojnosti EU-a i narušava djelotvornost sustava sankcija EU-a;</w:t>
      </w:r>
    </w:p>
    <w:p w14:paraId="68853840" w14:textId="77777777" w:rsidR="00265D5E" w:rsidRPr="003B5894" w:rsidRDefault="00265D5E" w:rsidP="00265D5E">
      <w:pPr>
        <w:pStyle w:val="NormalHanging12a"/>
      </w:pPr>
      <w:r w:rsidRPr="003B5894">
        <w:t xml:space="preserve">AA. </w:t>
      </w:r>
      <w:r w:rsidRPr="003B5894">
        <w:tab/>
        <w:t xml:space="preserve">budući da se provedba uglavnom provodi na nacionalnoj razini i da je svaka država članica odgovorna za izvršenje sankcija na svojem državnom području; budući da to stvara rizik od slabih karika u kojima pojedinci ili trgovačka društva mogu pokušati zaobići sankcije premještanjem novca ili aktivnosti u države članice koje su sporije ili manje stroge kad je riječ o provedbi; budući da su institucije EU-a u više navrata naglasile potrebu za ujednačenijom i </w:t>
      </w:r>
      <w:proofErr w:type="spellStart"/>
      <w:r w:rsidRPr="003B5894">
        <w:t>koordiniranijom</w:t>
      </w:r>
      <w:proofErr w:type="spellEnd"/>
      <w:r w:rsidRPr="003B5894">
        <w:t xml:space="preserve"> provedbom ne bi li sankcije doista bile djelotvorne;</w:t>
      </w:r>
    </w:p>
    <w:p w14:paraId="59CBCBC9" w14:textId="77777777" w:rsidR="00265D5E" w:rsidRPr="003B5894" w:rsidRDefault="00265D5E" w:rsidP="00265D5E">
      <w:pPr>
        <w:pStyle w:val="NormalHanging12a"/>
      </w:pPr>
      <w:r w:rsidRPr="003B5894">
        <w:t>AB.</w:t>
      </w:r>
      <w:r w:rsidRPr="003B5894">
        <w:tab/>
        <w:t xml:space="preserve">budući da je Parlament u brojnim rezolucijama pozvao na to da se za donošenje sankcija na temelju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uvede glasanje kvalificiranom većinom;</w:t>
      </w:r>
    </w:p>
    <w:p w14:paraId="7A55C45E" w14:textId="77777777" w:rsidR="00265D5E" w:rsidRPr="003B5894" w:rsidRDefault="00265D5E" w:rsidP="00265D5E">
      <w:pPr>
        <w:pStyle w:val="NormalHanging12a"/>
      </w:pPr>
      <w:r w:rsidRPr="003B5894">
        <w:t>AC.</w:t>
      </w:r>
      <w:r w:rsidRPr="003B5894">
        <w:tab/>
        <w:t xml:space="preserve">budući da produljenje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do prosinca 2026. pruža priliku za preispitivanje tog režima sankcija;</w:t>
      </w:r>
    </w:p>
    <w:p w14:paraId="475B4EFF" w14:textId="77777777" w:rsidR="00265D5E" w:rsidRPr="003B5894" w:rsidRDefault="00265D5E" w:rsidP="00265D5E">
      <w:pPr>
        <w:pStyle w:val="NormalHanging12a"/>
      </w:pPr>
      <w:r w:rsidRPr="003B5894">
        <w:t>1.</w:t>
      </w:r>
      <w:r w:rsidRPr="003B5894">
        <w:tab/>
        <w:t xml:space="preserve">ponovno ističe svoju potporu globalnom režimu sankcija EU-a u području ljudskih prava kao nezaobilaznom alatu vanjske politike za ljudska prava u svijetu i za jačanje instrumentarija EU-a za ljudska prava, posebno s obzirom na njegovu sposobnost da doprinese promjeni ponašanja ciljanih osoba i subjekata te naporima da se izravni počinitelji, pomagači, poticatelji i neizravni podupiratelji teških kršenja ljudskih prava </w:t>
      </w:r>
      <w:r w:rsidRPr="003B5894">
        <w:lastRenderedPageBreak/>
        <w:t>suoče s odgovornošću kao i oni koji izravno ili neizravno imaju koristi od takvih kršenja, uključujući članove njihove uže obitelji</w:t>
      </w:r>
      <w:r w:rsidRPr="003B5894">
        <w:rPr>
          <w:color w:val="538135" w:themeColor="accent6" w:themeShade="BF"/>
        </w:rPr>
        <w:t xml:space="preserve">; </w:t>
      </w:r>
      <w:r w:rsidRPr="003B5894">
        <w:t>naglašava da je instrument osmišljen</w:t>
      </w:r>
      <w:r w:rsidRPr="003B5894">
        <w:rPr>
          <w:color w:val="538135" w:themeColor="accent6" w:themeShade="BF"/>
        </w:rPr>
        <w:t xml:space="preserve"> </w:t>
      </w:r>
      <w:r w:rsidRPr="003B5894">
        <w:t>na način da ne utječe na ostvarivanje ljudskih prava među stanovništvom;</w:t>
      </w:r>
    </w:p>
    <w:p w14:paraId="14F2686D" w14:textId="77777777" w:rsidR="00265D5E" w:rsidRPr="003B5894" w:rsidRDefault="00265D5E" w:rsidP="00265D5E">
      <w:pPr>
        <w:pStyle w:val="NormalHanging12a"/>
      </w:pPr>
      <w:r w:rsidRPr="003B5894">
        <w:t>2.</w:t>
      </w:r>
      <w:r w:rsidRPr="003B5894">
        <w:tab/>
        <w:t xml:space="preserve">ponovno potvrđuje svoju nepokolebljivu predanost borbi protiv nekažnjavanja teških kršenja i povreda ljudskih prava diljem svijeta učinkovitom upotrebom postojećih instrumenata i alata EU-a u području sankcija, uključujući globalni režim sankcija EU-a u području ljudskih prava (europski Zakon </w:t>
      </w:r>
      <w:proofErr w:type="spellStart"/>
      <w:r w:rsidRPr="003B5894">
        <w:t>Magnicki</w:t>
      </w:r>
      <w:proofErr w:type="spellEnd"/>
      <w:r w:rsidRPr="003B5894">
        <w:t>); ponovno potvrđuje svoju nepokolebljivu predanost međunarodnom pravosudnom sustavu, koji se suočava s dosad nezabilježenim izazovima, uključujući neutemeljene sankcije protiv sudaca i osoblja Međunarodnog kaznenog suda, od kojih su neki državljani EU-a; u tom pogledu potiče EU da aktivira svoj Statut o blokiranju</w:t>
      </w:r>
      <w:r w:rsidRPr="003B5894">
        <w:rPr>
          <w:rStyle w:val="FootnoteReference"/>
        </w:rPr>
        <w:footnoteReference w:id="21"/>
      </w:r>
      <w:r w:rsidRPr="003B5894">
        <w:t xml:space="preserve"> kako bi se ograničio učinak tih sankcija;</w:t>
      </w:r>
    </w:p>
    <w:p w14:paraId="329CE4A1" w14:textId="77777777" w:rsidR="00265D5E" w:rsidRPr="003B5894" w:rsidRDefault="00265D5E" w:rsidP="00265D5E">
      <w:pPr>
        <w:pStyle w:val="NormalHanging12a"/>
        <w:rPr>
          <w:b/>
          <w:bCs/>
          <w:i/>
          <w:iCs/>
          <w:szCs w:val="24"/>
        </w:rPr>
      </w:pPr>
      <w:r w:rsidRPr="003B5894">
        <w:rPr>
          <w:b/>
          <w:i/>
        </w:rPr>
        <w:t>Usklađenost politika i strateška djelotvornost</w:t>
      </w:r>
    </w:p>
    <w:p w14:paraId="47FBD5D2" w14:textId="77777777" w:rsidR="00265D5E" w:rsidRPr="003B5894" w:rsidRDefault="00265D5E" w:rsidP="00265D5E">
      <w:pPr>
        <w:pStyle w:val="NormalHanging12a"/>
      </w:pPr>
      <w:r w:rsidRPr="003B5894">
        <w:t>3.</w:t>
      </w:r>
      <w:r w:rsidRPr="003B5894">
        <w:tab/>
        <w:t xml:space="preserve">poziva na sveobuhvatnu procjenu učinka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 xml:space="preserve">) i njegove interakcije sa sankcijama EU-a za pojedine zemlje i drugim horizontalnim mjerama ograničavanja EU-a, kako bi se ocijenila njegova suvislost, razmjernost i djelotvornost, među ostalim u smislu promjene ponašanja osoba koje su uvrštene na popis, kako bi se utvrdili operativni nedostaci i osigurala dosljedna i strateška primjena u svijetu te poziva na preispitivanje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na temelju nalaza te procjene učinka;</w:t>
      </w:r>
    </w:p>
    <w:p w14:paraId="2346B142" w14:textId="77777777" w:rsidR="00265D5E" w:rsidRPr="003B5894" w:rsidRDefault="00265D5E" w:rsidP="00265D5E">
      <w:pPr>
        <w:pStyle w:val="NormalHanging12a"/>
      </w:pPr>
      <w:r w:rsidRPr="003B5894">
        <w:t>4.</w:t>
      </w:r>
      <w:r w:rsidRPr="003B5894">
        <w:tab/>
        <w:t xml:space="preserve">poziva na to da se popisi sastavljeni na temelju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trajno i sustavno preispituju najmanje jednom svakih 12 mjeseci kako bi se osigurala njihova dosljednost, razmjernost i usklađenost s najnovijim informacijama i sudskim odlukama;</w:t>
      </w:r>
    </w:p>
    <w:p w14:paraId="6A0AEDE4" w14:textId="77777777" w:rsidR="00265D5E" w:rsidRPr="003B5894" w:rsidRDefault="00265D5E" w:rsidP="00265D5E">
      <w:pPr>
        <w:pStyle w:val="NormalHanging12a"/>
      </w:pPr>
      <w:r w:rsidRPr="003B5894">
        <w:t>5.</w:t>
      </w:r>
      <w:r w:rsidRPr="003B5894">
        <w:tab/>
        <w:t>smatra da bi trebalo staviti na raspolaganje više informacija o kriterijima za uklanjanje s popisa kako bi se poboljšala pravna jasnoća, pravično postupanje, transparentnost i odgovornost;</w:t>
      </w:r>
    </w:p>
    <w:p w14:paraId="40553785" w14:textId="77777777" w:rsidR="00265D5E" w:rsidRPr="003B5894" w:rsidRDefault="00265D5E" w:rsidP="00265D5E">
      <w:pPr>
        <w:pStyle w:val="NormalHanging12a"/>
      </w:pPr>
      <w:r w:rsidRPr="003B5894">
        <w:t>6.</w:t>
      </w:r>
      <w:r w:rsidRPr="003B5894">
        <w:tab/>
        <w:t xml:space="preserve">ponavlja da je važno da globalni režim sankcija EU-a u području ljudskih prava (europski Zakon </w:t>
      </w:r>
      <w:proofErr w:type="spellStart"/>
      <w:r w:rsidRPr="003B5894">
        <w:t>Magnicki</w:t>
      </w:r>
      <w:proofErr w:type="spellEnd"/>
      <w:r w:rsidRPr="003B5894">
        <w:t>) bude u skladu s mjerama ograničavanja za pojedine zemlje i horizontalnim mjerama ograničavanja te sektorskim mjerama i embargom na oružje, kao i postojećim međunarodnim okvirima sankcija i dopunjuje ih;</w:t>
      </w:r>
    </w:p>
    <w:p w14:paraId="203FAE2E" w14:textId="77777777" w:rsidR="00265D5E" w:rsidRPr="003B5894" w:rsidRDefault="00265D5E" w:rsidP="00265D5E">
      <w:pPr>
        <w:pStyle w:val="NormalHanging12a"/>
      </w:pPr>
      <w:r w:rsidRPr="003B5894">
        <w:t>7.</w:t>
      </w:r>
      <w:r w:rsidRPr="003B5894">
        <w:tab/>
        <w:t xml:space="preserve">potiče Vijeće da popise u okviru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 xml:space="preserve">) nastoji uskladiti s popisima sankcija partnera sličnih nazora, posebno skupine zemalja G7, i Vijeća sigurnosti UN-a, ako je to politički i pravno izvedivo, kako bi se povećala globalna legitimnost i djelotvornost; </w:t>
      </w:r>
    </w:p>
    <w:p w14:paraId="4609CB6A" w14:textId="77777777" w:rsidR="00265D5E" w:rsidRPr="003B5894" w:rsidRDefault="00265D5E" w:rsidP="00265D5E">
      <w:pPr>
        <w:pStyle w:val="NormalHanging12a"/>
      </w:pPr>
      <w:r w:rsidRPr="003B5894">
        <w:t>8.</w:t>
      </w:r>
      <w:r w:rsidRPr="003B5894">
        <w:tab/>
        <w:t xml:space="preserve">poziva Komisiju i države članice da poboljšaju sinergije između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 xml:space="preserve">) i međunarodnih mehanizama za utvrđivanje odgovornosti kao što su UN, Međunarodni kazneni sud i regionalni sudovi za ljudska prava, kako bi se poboljšala učinkovitost djelovanja EU-a </w:t>
      </w:r>
      <w:r w:rsidRPr="003B5894">
        <w:lastRenderedPageBreak/>
        <w:t>protiv teških kršenja ljudskih prava;</w:t>
      </w:r>
    </w:p>
    <w:p w14:paraId="00CD7DE6" w14:textId="77777777" w:rsidR="00265D5E" w:rsidRPr="003B5894" w:rsidRDefault="00265D5E" w:rsidP="00265D5E">
      <w:pPr>
        <w:pStyle w:val="NormalHanging12a"/>
      </w:pPr>
      <w:r w:rsidRPr="003B5894">
        <w:t>9.</w:t>
      </w:r>
      <w:r w:rsidRPr="003B5894">
        <w:tab/>
        <w:t xml:space="preserve">naglašava da je važno da se zemlje kandidatkinje za članstvo u EU-u i potencijalne zemlje kandidatkinje usklade s globalnim režimom sankcija EU-a u području ljudskih prava (europski Zakon </w:t>
      </w:r>
      <w:proofErr w:type="spellStart"/>
      <w:r w:rsidRPr="003B5894">
        <w:t>Magnicki</w:t>
      </w:r>
      <w:proofErr w:type="spellEnd"/>
      <w:r w:rsidRPr="003B5894">
        <w:t>), kao dio šireg usklađivanja sa zajedničkom vanjskom i sigurnosnom politikom EU-a;</w:t>
      </w:r>
    </w:p>
    <w:p w14:paraId="6663929B" w14:textId="77777777" w:rsidR="00265D5E" w:rsidRPr="003B5894" w:rsidRDefault="00265D5E" w:rsidP="00265D5E">
      <w:pPr>
        <w:pStyle w:val="NormalHanging12a"/>
      </w:pPr>
      <w:r w:rsidRPr="003B5894">
        <w:t>10.</w:t>
      </w:r>
      <w:r w:rsidRPr="003B5894">
        <w:tab/>
        <w:t xml:space="preserve">u potpunosti podupire nametanje ciljanih antikorupcijskih sankcija u okviru EU-a , što je dugogodišnji prioritet Parlamenta, bilo njihovim uključivanjem u globalni režim sankcija EU-a u području ljudskih prava (europski Zakon </w:t>
      </w:r>
      <w:proofErr w:type="spellStart"/>
      <w:r w:rsidRPr="003B5894">
        <w:t>Magnicki</w:t>
      </w:r>
      <w:proofErr w:type="spellEnd"/>
      <w:r w:rsidRPr="003B5894">
        <w:t xml:space="preserve">), bilo u okviru nekog drugog režima; preporučuje da se područje primjene režima proširi na slučajeve korupcije velikih razmjera i zloupotrebe ugovora o javnoj nabavi kojima se izravno podupiru autoritarni režimi, čime se kršenja ljudskih prava povezuju s </w:t>
      </w:r>
      <w:proofErr w:type="spellStart"/>
      <w:r w:rsidRPr="003B5894">
        <w:t>kleptokratskim</w:t>
      </w:r>
      <w:proofErr w:type="spellEnd"/>
      <w:r w:rsidRPr="003B5894">
        <w:t xml:space="preserve"> praksama; naglašava, nadalje, da bi u okviru antikorupcijskih sankcija trebalo uzeti u obzir širi sustavni kontekst i da bi one trebale biti usko povezane sa sveobuhvatnim strategijama prema odgovarajućim akterima; pozdravlja činjenicu da je Komisija iznijela prijedlog za režim antikorupcijskih sankcija; žali zbog toga što su neke države članice blokirale taj predmet u Vijeću;</w:t>
      </w:r>
    </w:p>
    <w:p w14:paraId="14FC2B0A" w14:textId="1A13D9E2" w:rsidR="00265D5E" w:rsidRPr="003B5894" w:rsidRDefault="00265D5E" w:rsidP="00265D5E">
      <w:pPr>
        <w:pStyle w:val="NormalHanging12a"/>
      </w:pPr>
      <w:r w:rsidRPr="003B5894">
        <w:t>11.</w:t>
      </w:r>
      <w:r w:rsidRPr="003B5894">
        <w:tab/>
        <w:t xml:space="preserve">naglašava da bi se u okviru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također trebalo baviti kršenjem ljudskih prava koje se omogućuje digitalnim nadzorom, izvozom špijunskog softvera i ostalim tehnologijama koje se upotrebljavaju za represiju te namjernim uništavanjem okoliša s jasnom svrhom da se naudi civilnom stanovništvu; poziva na izričito uvrštavanje na popis pojedinaca uključenih u takve zlouporabe;</w:t>
      </w:r>
    </w:p>
    <w:p w14:paraId="290BDEB3" w14:textId="069A66CE" w:rsidR="00265D5E" w:rsidRPr="003B5894" w:rsidRDefault="00265D5E" w:rsidP="00265D5E">
      <w:pPr>
        <w:pStyle w:val="NormalHanging12a"/>
      </w:pPr>
      <w:r w:rsidRPr="003B5894">
        <w:t>12.</w:t>
      </w:r>
      <w:r w:rsidRPr="003B5894">
        <w:tab/>
        <w:t xml:space="preserve">pozdravlja nedavnu primjenu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protiv aktera odgovornih za transnacionalnu represiju nad disidentima i borcima za ljudska prava te poziva na više uvrštenja na popis koja će odražavati taj rastući globalni trend i na sustavno procjenjivanje transnacionalne represije, uključujući digitalni nadzor, uznemiravanje prognanika i prekogranično zastrašivanje, dezinformacije i zlouporabu prava; poziva Vijeće da donese radnu definiciju transnacionalne represije kako bi se osiguralo dosljedno sankcioniranje, među ostalim nedržavnih posrednika kao što su privatna zaštitarska poduzeća i organizacije dijaspore; poziva EU da pojača primjenu sankcija protiv pojedinaca i subjekata za koje postoji vjerodostojna dokumentacija da su odgovorni za transnacionalne represije nad borcima za ljudska prava, uključujući uznemiravanje rodbine, digitalne napade i zastrašivanje u inozemstvu;</w:t>
      </w:r>
    </w:p>
    <w:p w14:paraId="476B381E" w14:textId="77777777" w:rsidR="00265D5E" w:rsidRPr="003B5894" w:rsidRDefault="00265D5E" w:rsidP="00265D5E">
      <w:pPr>
        <w:pStyle w:val="NormalHanging12a"/>
      </w:pPr>
      <w:r w:rsidRPr="003B5894">
        <w:t>13.</w:t>
      </w:r>
      <w:r w:rsidRPr="003B5894">
        <w:tab/>
        <w:t>potiče države članice da se suzdrže od bilateralnih političkih ili diplomatskih djelovanja koja podrivaju njihovu predanost mehanizmima međunarodnog kaznenog pravosuđa, uključujući Rimski statut, kao i borbi za ljudska prava, ili koja proturječe ujedinjenom stavu EU-a o sankcijama; nalaže potpredsjednici Komisije / visokoj predstavnici Unije za vanjske poslove i sigurnosnu politiku da, ako se ta preporuka ne uzme u obzir, pozove dotične države članice da usklade svoje djelovanje i održe jedinstvo EU-a; poziva države članice da poboljšaju koordinaciju i iskoriste vlastite instrumente, kao što su univerzalna nadležnost i nacionalne sankcije, pod uvjetom da se primjenjuju koordinirano, radi podupiranja zajedničkih ciljeva EU-a, kako bi se dovelo do znatnih promjena i pomoglo u postizanju ciljeva sankcija EU-a;</w:t>
      </w:r>
    </w:p>
    <w:p w14:paraId="7754AE7D" w14:textId="77777777" w:rsidR="00265D5E" w:rsidRPr="003B5894" w:rsidRDefault="00265D5E" w:rsidP="00265D5E">
      <w:pPr>
        <w:pStyle w:val="NormalHanging12a"/>
      </w:pPr>
      <w:r w:rsidRPr="003B5894">
        <w:t>14.</w:t>
      </w:r>
      <w:r w:rsidRPr="003B5894">
        <w:tab/>
        <w:t xml:space="preserve">osuđuje činjenicu da neke države članice nisu poštovale sankcije EU-a i da su dopustile </w:t>
      </w:r>
      <w:r w:rsidRPr="003B5894">
        <w:lastRenderedPageBreak/>
        <w:t xml:space="preserve">sankcioniranim pojedincima da uđu na teritorij EU-a, što je naštetilo vjerodostojnosti i djelotvornosti sankcija; potiče sve države članice EU-a da u potpunosti i bezuvjetno poštuju sankcije EU-a; poziva Komisiju, kao čuvaricu Ugovora, da osigura da države članice EU-a poštuju sankcije i da strogo i </w:t>
      </w:r>
      <w:proofErr w:type="spellStart"/>
      <w:r w:rsidRPr="003B5894">
        <w:t>nediskriminatorno</w:t>
      </w:r>
      <w:proofErr w:type="spellEnd"/>
      <w:r w:rsidRPr="003B5894">
        <w:t xml:space="preserve"> odgovori na sve slučajeve nepoštovanja od strane država članica;</w:t>
      </w:r>
    </w:p>
    <w:p w14:paraId="06B6D837" w14:textId="77777777" w:rsidR="00265D5E" w:rsidRPr="003B5894" w:rsidRDefault="00265D5E" w:rsidP="00265D5E">
      <w:pPr>
        <w:pStyle w:val="NormalHanging12a"/>
      </w:pPr>
      <w:r w:rsidRPr="003B5894">
        <w:t>15.</w:t>
      </w:r>
      <w:r w:rsidRPr="003B5894">
        <w:tab/>
        <w:t xml:space="preserve">naglašava da restriktivne mjere EU-a mogu biti u cijelosti djelotvorne samo ako se tumače, izvršavaju i provode dosljedno, brzo i ujednačeno u svim državama članicama; prima na znanje razlike među državama članicama u pogledu pravnih okvira, upravnih struktura i operativnih resursa za provedbu sankcija; stoga poziva Komisiju i države članice da poduzmu potrebne mjere kako bi se osigurala usklađenija i </w:t>
      </w:r>
      <w:proofErr w:type="spellStart"/>
      <w:r w:rsidRPr="003B5894">
        <w:t>koordiniranija</w:t>
      </w:r>
      <w:proofErr w:type="spellEnd"/>
      <w:r w:rsidRPr="003B5894">
        <w:t xml:space="preserve"> primjena, uključujući jačanjem kapaciteta za zamrzavanje imovine, poboljšanjem razmjene informacija i razvojem zajedničkih mehanizama za praćenje i izvršenje na razini EU-a; </w:t>
      </w:r>
    </w:p>
    <w:p w14:paraId="2F91718D" w14:textId="77777777" w:rsidR="00265D5E" w:rsidRPr="003B5894" w:rsidRDefault="00265D5E" w:rsidP="00265D5E">
      <w:pPr>
        <w:pStyle w:val="NormalHanging12a"/>
      </w:pPr>
      <w:r w:rsidRPr="003B5894">
        <w:t>16.</w:t>
      </w:r>
      <w:r w:rsidRPr="003B5894">
        <w:tab/>
        <w:t xml:space="preserve">potiče ESVD da definira zakonite načine mobilizacije kamata akumuliranih od blokirane imovine pojedinaca sankcioniranih u okviru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kako bi koristile žrtvama teških kršenja ljudskih prava za koja su odgovorni sankcionirani pojedinci; nadalje, potiče EU da istraži mogućnost uspostave posebnog postupka u pogledu nezakonito stečene koristi;</w:t>
      </w:r>
    </w:p>
    <w:p w14:paraId="79BDF135" w14:textId="77777777" w:rsidR="00265D5E" w:rsidRPr="003B5894" w:rsidRDefault="00265D5E" w:rsidP="00265D5E">
      <w:pPr>
        <w:pStyle w:val="NormalHanging12a"/>
      </w:pPr>
      <w:r w:rsidRPr="003B5894">
        <w:t>17.</w:t>
      </w:r>
      <w:r w:rsidRPr="003B5894">
        <w:tab/>
        <w:t xml:space="preserve">snažno pozdravlja činjenicu da je Vijeće donijelo pakete tematskih sankcija u okviru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); potiče Vijeće da sustavno i proaktivno donosi slične ciljane mjere za rješavanje problema ostalih konkretnih i teških kršenja ljudskih prava, uključujući mučenje, prisilne nestanke, proizvoljno pritvaranje i represiju nad civilnim društvom i borcima za ljudska prava;</w:t>
      </w:r>
    </w:p>
    <w:p w14:paraId="06DB66EF" w14:textId="77777777" w:rsidR="00265D5E" w:rsidRPr="003B5894" w:rsidRDefault="00265D5E" w:rsidP="00265D5E">
      <w:pPr>
        <w:pStyle w:val="NormalHanging12a"/>
        <w:rPr>
          <w:bCs/>
          <w:iCs/>
        </w:rPr>
      </w:pPr>
      <w:r w:rsidRPr="003B5894">
        <w:t>18.</w:t>
      </w:r>
      <w:r w:rsidRPr="003B5894">
        <w:tab/>
        <w:t>ponovno poziva Vijeće da postupno prijeđe na glasanje kvalificiranom većinom kad je riječ o odlukama u području zajedničke vanjske i sigurnosne politike koje nemaju vojne ili obrambene implikacije, poput sankcija;</w:t>
      </w:r>
    </w:p>
    <w:p w14:paraId="2A0888DC" w14:textId="77777777" w:rsidR="00265D5E" w:rsidRPr="003B5894" w:rsidRDefault="00265D5E" w:rsidP="00265D5E">
      <w:pPr>
        <w:pStyle w:val="NormalHanging12a"/>
        <w:rPr>
          <w:b/>
          <w:bCs/>
          <w:i/>
          <w:iCs/>
          <w:szCs w:val="24"/>
        </w:rPr>
      </w:pPr>
      <w:r w:rsidRPr="003B5894">
        <w:rPr>
          <w:b/>
          <w:i/>
        </w:rPr>
        <w:t>Jačanje borbe protiv nekažnjavanja</w:t>
      </w:r>
    </w:p>
    <w:p w14:paraId="247735F1" w14:textId="77777777" w:rsidR="00265D5E" w:rsidRPr="003B5894" w:rsidRDefault="00265D5E" w:rsidP="00265D5E">
      <w:pPr>
        <w:pStyle w:val="NormalHanging12a"/>
      </w:pPr>
      <w:r w:rsidRPr="003B5894">
        <w:t>19.</w:t>
      </w:r>
      <w:r w:rsidRPr="003B5894">
        <w:tab/>
        <w:t>poziva na to da režim sankcija EU-a bude usklađen i komplementaran s međunarodnim kaznenim pravom, međunarodnim humanitarnim pravom i politikama EU-a povezanima s vladavinom prava i temeljnim slobodama, radi jačanja borbe protiv nekažnjavanja diljem svijeta;</w:t>
      </w:r>
    </w:p>
    <w:p w14:paraId="0C5D261C" w14:textId="77777777" w:rsidR="00265D5E" w:rsidRPr="003B5894" w:rsidRDefault="00265D5E" w:rsidP="00265D5E">
      <w:pPr>
        <w:pStyle w:val="NormalHanging12a"/>
      </w:pPr>
      <w:r w:rsidRPr="003B5894">
        <w:t>20.</w:t>
      </w:r>
      <w:r w:rsidRPr="003B5894">
        <w:tab/>
        <w:t xml:space="preserve">potiče EU da popise u okviru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strateški uskladi s nacionalnim i međunarodnim naporima u području kaznenog pravosuđa, među ostalim uvrštavanjem na popis pojedinaca protiv kojih su podignute optužnice pred međunarodnim sudovima kao što je Međunarodni kazneni sud i počinitelja najtežih međunarodnih kaznenih djela te drugih aktera koji opstruiraju takve postupke utvrđivanja odgovornosti;</w:t>
      </w:r>
    </w:p>
    <w:p w14:paraId="6C8BC58E" w14:textId="77777777" w:rsidR="00265D5E" w:rsidRPr="003B5894" w:rsidRDefault="00265D5E" w:rsidP="00265D5E">
      <w:pPr>
        <w:pStyle w:val="NormalHanging12a"/>
      </w:pPr>
      <w:r w:rsidRPr="003B5894">
        <w:t>21.</w:t>
      </w:r>
      <w:r w:rsidRPr="003B5894">
        <w:tab/>
        <w:t>ističe da bi sankcije također trebale služiti tome da se osigura da počinitelji teških kršenja ljudskih prava i korupcije ne ostanu anonimni, čime bi se razotkrile odgovorne osobe;</w:t>
      </w:r>
    </w:p>
    <w:p w14:paraId="4926BA11" w14:textId="77777777" w:rsidR="00265D5E" w:rsidRPr="003B5894" w:rsidRDefault="00265D5E" w:rsidP="00265D5E">
      <w:pPr>
        <w:pStyle w:val="NormalHanging12a"/>
      </w:pPr>
      <w:r w:rsidRPr="003B5894">
        <w:lastRenderedPageBreak/>
        <w:t>22.</w:t>
      </w:r>
      <w:r w:rsidRPr="003B5894">
        <w:tab/>
        <w:t xml:space="preserve">urgira Vijeće da osigura da se sa svim regijama svijeta postupa jednako pomno i s jednakom predanošću te da ispravi trenutačne geografske i tematske neravnoteže na popisima u okviru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na način da uvrštenja na popis ne budu geografski koncentrirana kao što je to trenutačno slučaj nego da obuhvaćaju sve osobe i subjekte odgovorne za teška kršenja ljudskih prava, neovisno o njihovoj zemlji podrijetla;</w:t>
      </w:r>
    </w:p>
    <w:p w14:paraId="6DBD0427" w14:textId="77777777" w:rsidR="00265D5E" w:rsidRPr="003B5894" w:rsidRDefault="00265D5E" w:rsidP="00265D5E">
      <w:pPr>
        <w:pStyle w:val="NormalHanging12a"/>
      </w:pPr>
      <w:r w:rsidRPr="003B5894">
        <w:t>23.</w:t>
      </w:r>
      <w:r w:rsidRPr="003B5894">
        <w:tab/>
        <w:t xml:space="preserve">potiče Vijeće da obrati posebnu pozornost na kršenja kao što su seksualno i rodno uvjetovano nasilje, diskriminirajuće politike te progon žena vođa, novinarki i aktivistica kako bi te kategorije bile na odgovarajući način zastupljene u budućim popisima; </w:t>
      </w:r>
    </w:p>
    <w:p w14:paraId="07552E2E" w14:textId="77777777" w:rsidR="00265D5E" w:rsidRPr="003B5894" w:rsidRDefault="00265D5E" w:rsidP="00265D5E">
      <w:pPr>
        <w:pStyle w:val="NormalHanging12a"/>
      </w:pPr>
      <w:r w:rsidRPr="003B5894">
        <w:t>24.</w:t>
      </w:r>
      <w:r w:rsidRPr="003B5894">
        <w:tab/>
        <w:t xml:space="preserve">primjećuje da je dosad znatan udio pojedinaca sankcioniranih u okviru globalnog režima sankcija EU-a u području ljudskih prava (europski Zakon </w:t>
      </w:r>
      <w:proofErr w:type="spellStart"/>
      <w:r w:rsidRPr="003B5894">
        <w:t>Magnicki</w:t>
      </w:r>
      <w:proofErr w:type="spellEnd"/>
      <w:r w:rsidRPr="003B5894">
        <w:t xml:space="preserve">) bio uključen u represivni aparat države, ali da nije donosio odluke, dok je samo manjina tih uvrštenih na popis na čelnim političkim ili vojnim položajima; urgira Vijeće da popise ne ograničava </w:t>
      </w:r>
      <w:proofErr w:type="spellStart"/>
      <w:r w:rsidRPr="003B5894">
        <w:t>nižerangiranim</w:t>
      </w:r>
      <w:proofErr w:type="spellEnd"/>
      <w:r w:rsidRPr="003B5894">
        <w:t xml:space="preserve"> uvrštenjima te da uvrsti političke i vojne čelnike i sankcionira one koji su odgovorni za donošenje odluka koje su dovele do teških kršenja ljudskih prava; </w:t>
      </w:r>
    </w:p>
    <w:p w14:paraId="69D93E4D" w14:textId="77777777" w:rsidR="00265D5E" w:rsidRPr="003B5894" w:rsidRDefault="00265D5E" w:rsidP="00265D5E">
      <w:pPr>
        <w:pStyle w:val="NormalHanging12a"/>
      </w:pPr>
      <w:r w:rsidRPr="003B5894">
        <w:t>25.</w:t>
      </w:r>
      <w:r w:rsidRPr="003B5894">
        <w:tab/>
        <w:t xml:space="preserve">poziva na veću i bolju komunikaciju o nametnutim sankcijama kako bi se ponovno istaknulo globalno stajalište EU-a o ljudskim pravima i borbi protiv nekažnjavanja, s obzirom na to da se u nekim slučajevima u nacionalnoj propagandi sankcionirani pojedinci prikazuju kao heroji, a represivni režimi ih čak i nagrađuju; primjećuje da je odvraćajući element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najdjelotvorniji protiv pojedinaca i subjekata koji imaju imovinu u EU-u ili sredstva za putovanje u EU;</w:t>
      </w:r>
    </w:p>
    <w:p w14:paraId="4E37F487" w14:textId="77777777" w:rsidR="00265D5E" w:rsidRPr="003B5894" w:rsidRDefault="00265D5E" w:rsidP="00265D5E">
      <w:pPr>
        <w:pStyle w:val="NormalHanging12a"/>
      </w:pPr>
      <w:r w:rsidRPr="003B5894">
        <w:t>26.</w:t>
      </w:r>
      <w:r w:rsidRPr="003B5894">
        <w:tab/>
        <w:t xml:space="preserve">osuđuje sve </w:t>
      </w:r>
      <w:proofErr w:type="spellStart"/>
      <w:r w:rsidRPr="003B5894">
        <w:t>protusankcije</w:t>
      </w:r>
      <w:proofErr w:type="spellEnd"/>
      <w:r w:rsidRPr="003B5894">
        <w:t xml:space="preserve"> koje su EU-u ili njegovim institucijama, državama članicama, tijelima ili građanima nametnute samo zbog promicanja i poštovanja ljudskih prava, demokracije i vladavine prava primjenom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);</w:t>
      </w:r>
    </w:p>
    <w:p w14:paraId="53ACAFBD" w14:textId="77777777" w:rsidR="00265D5E" w:rsidRPr="003B5894" w:rsidRDefault="00265D5E" w:rsidP="00265D5E">
      <w:pPr>
        <w:pStyle w:val="NormalHanging12a"/>
        <w:rPr>
          <w:b/>
          <w:bCs/>
          <w:i/>
          <w:iCs/>
          <w:szCs w:val="24"/>
        </w:rPr>
      </w:pPr>
      <w:r w:rsidRPr="003B5894">
        <w:rPr>
          <w:b/>
          <w:i/>
        </w:rPr>
        <w:t>Transparentnost, odgovornost i uloga civilnog društva</w:t>
      </w:r>
    </w:p>
    <w:p w14:paraId="22DED78E" w14:textId="77777777" w:rsidR="00265D5E" w:rsidRPr="003B5894" w:rsidRDefault="00265D5E" w:rsidP="00265D5E">
      <w:pPr>
        <w:pStyle w:val="NormalHanging12a"/>
      </w:pPr>
      <w:r w:rsidRPr="003B5894">
        <w:t>27.</w:t>
      </w:r>
      <w:r w:rsidRPr="003B5894">
        <w:tab/>
        <w:t>preporučuje veću transparentnost i jasne smjernice u postupku sankcija, uz istodobno poštovanje prava pojedinaca uvrštenih na popis na djelotvornu sudsku kontrolu zakonitosti;</w:t>
      </w:r>
    </w:p>
    <w:p w14:paraId="5A0019A8" w14:textId="77777777" w:rsidR="00265D5E" w:rsidRPr="003B5894" w:rsidRDefault="00265D5E" w:rsidP="00265D5E">
      <w:pPr>
        <w:pStyle w:val="NormalHanging12a"/>
      </w:pPr>
      <w:r w:rsidRPr="003B5894">
        <w:t>28.</w:t>
      </w:r>
      <w:r w:rsidRPr="003B5894">
        <w:tab/>
        <w:t>preporučuje da se kontinuirana, dokaziva, stvarna i postojana promjena ponašanja pojedinaca i subjekata uvrštenih na popis, primjerice u smislu stalne suradnje s međunarodnim pravosudnim mehanizmima, službeno prizna kao kriterij za uklanjanje s popisa, kako bi se potaknuli odgovornost i usklađenost;</w:t>
      </w:r>
    </w:p>
    <w:p w14:paraId="50E52F47" w14:textId="77777777" w:rsidR="00265D5E" w:rsidRPr="003B5894" w:rsidRDefault="00265D5E" w:rsidP="00265D5E">
      <w:pPr>
        <w:pStyle w:val="NormalHanging12a"/>
      </w:pPr>
      <w:r w:rsidRPr="003B5894">
        <w:t>29.</w:t>
      </w:r>
      <w:r w:rsidRPr="003B5894">
        <w:tab/>
        <w:t>predlaže uspostavu strukturiranog i transparentnog mehanizma savjetovanja za izvještavanje i sudjelovanje civilnog društva u postupku donošenja sankcija, uz zaštitne mjere za zviždače, uključujući uspostavu posebne kontaktne točke unutar ESVD-a; preporučuje uvođenje proračunskog okvira za jačanje kapaciteta ESVD-a za sustavnu procjenu, istragu, reagiranje na informacije i njihovu obradu i prijedloge civilnog društva;</w:t>
      </w:r>
    </w:p>
    <w:p w14:paraId="03538A31" w14:textId="77777777" w:rsidR="00265D5E" w:rsidRPr="003B5894" w:rsidRDefault="00265D5E" w:rsidP="00265D5E">
      <w:pPr>
        <w:pStyle w:val="NormalHanging12a"/>
      </w:pPr>
      <w:r w:rsidRPr="003B5894">
        <w:t>30.</w:t>
      </w:r>
      <w:r w:rsidRPr="003B5894">
        <w:tab/>
        <w:t xml:space="preserve">poziva Vijeće i potpredsjednicu Komisije / visoku predstavnicu Unije za vanjske </w:t>
      </w:r>
      <w:r w:rsidRPr="003B5894">
        <w:lastRenderedPageBreak/>
        <w:t xml:space="preserve">poslove i sigurnosnu politiku da predvide komplementarnu ulogu Parlamenta u prikupljanju i predlaganju slučajeva teških kršenja ljudskih prava za razmatranje u okviru režima sankcija te da Parlamentu dostavljaju godišnja izvješća o odlukama o sankcijama na temelju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i o zaobilaženju sankcija; poziva na to da Vijeće temeljito razmotri preporuke za uvrštavanje na popis sadržane u rezolucijama Parlamenta;</w:t>
      </w:r>
    </w:p>
    <w:p w14:paraId="36E933A5" w14:textId="77777777" w:rsidR="00265D5E" w:rsidRPr="003B5894" w:rsidRDefault="00265D5E" w:rsidP="00265D5E">
      <w:pPr>
        <w:pStyle w:val="NormalHanging12a"/>
        <w:rPr>
          <w:b/>
          <w:bCs/>
          <w:i/>
          <w:iCs/>
          <w:szCs w:val="24"/>
        </w:rPr>
      </w:pPr>
      <w:r w:rsidRPr="003B5894">
        <w:rPr>
          <w:b/>
          <w:i/>
        </w:rPr>
        <w:t>Sprečavanje zaobilaženja sankcija i jačanje alata za izvršenje</w:t>
      </w:r>
    </w:p>
    <w:p w14:paraId="2B6F237A" w14:textId="77777777" w:rsidR="00265D5E" w:rsidRPr="003B5894" w:rsidRDefault="00265D5E" w:rsidP="00265D5E">
      <w:pPr>
        <w:pStyle w:val="NormalHanging12a"/>
      </w:pPr>
      <w:r w:rsidRPr="003B5894">
        <w:t>31.</w:t>
      </w:r>
      <w:r w:rsidRPr="003B5894">
        <w:tab/>
        <w:t xml:space="preserve">poziva na reviziju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 xml:space="preserve">) kako bi se zaobilaženje sankcija spriječilo izdavanjem izričitih i ažuriranih smjernica o zabrani pružanja ekonomskih resursa te tehničke i materijalne potpore pojedincima i subjektima uvrštenima na popis, s pojašnjenjem da zabrana pružanja tehničke i materijalne potpore uključuje nefinancijsku pomoć kao što su infrastruktura IKT-a, softver, pravna potpora i represivni kibernetički alati; ističe potrebu za jačanjem režima sankcija EU-a proširenjem i diversifikacijom primjene sekundarnih sankcija kako bi se obuhvatilo vladine dužnosnike, subjekte, poduzeća i pojedince koji potpomažu kršenja ili zaobilaženje sankcija, što autoritarnim režimima omogućuje da nastave teško kršiti ljudska prava; </w:t>
      </w:r>
    </w:p>
    <w:p w14:paraId="61B0C454" w14:textId="77777777" w:rsidR="00265D5E" w:rsidRPr="003B5894" w:rsidRDefault="00265D5E" w:rsidP="00265D5E">
      <w:pPr>
        <w:pStyle w:val="NormalHanging12a"/>
      </w:pPr>
      <w:r w:rsidRPr="003B5894">
        <w:t>32.</w:t>
      </w:r>
      <w:r w:rsidRPr="003B5894">
        <w:tab/>
        <w:t xml:space="preserve">poziva Komisiju da poboljša suradnju s Europskim nadzornim tijelom za bankarstvo, Europskim nadzornim tijelom za vrijednosne papire i tržišta kapitala, Tijelom za sprečavanje pranja novca i nacionalnim financijsko-obavještajnim jedinicama kako bi se sustavno utvrdilo upotrebljavaju li se netransparentni financijski proizvodi, </w:t>
      </w:r>
      <w:proofErr w:type="spellStart"/>
      <w:r w:rsidRPr="003B5894">
        <w:t>kriptoimovina</w:t>
      </w:r>
      <w:proofErr w:type="spellEnd"/>
      <w:r w:rsidRPr="003B5894">
        <w:t xml:space="preserve"> i </w:t>
      </w:r>
      <w:proofErr w:type="spellStart"/>
      <w:r w:rsidRPr="003B5894">
        <w:t>offshore</w:t>
      </w:r>
      <w:proofErr w:type="spellEnd"/>
      <w:r w:rsidRPr="003B5894">
        <w:t xml:space="preserve"> strukture za izbjegavanje sankcija;</w:t>
      </w:r>
    </w:p>
    <w:p w14:paraId="5568AF85" w14:textId="77777777" w:rsidR="00265D5E" w:rsidRPr="003B5894" w:rsidRDefault="00265D5E" w:rsidP="00265D5E">
      <w:pPr>
        <w:pStyle w:val="NormalHanging12a"/>
      </w:pPr>
      <w:r w:rsidRPr="003B5894">
        <w:t>33.</w:t>
      </w:r>
      <w:r w:rsidRPr="003B5894">
        <w:tab/>
        <w:t xml:space="preserve">potiče, prema potrebi, povezivanje popisa uvrštenih subjekata globalnog režima sankcija EU-a u području ljudskih prava (europski Zakon </w:t>
      </w:r>
      <w:proofErr w:type="spellStart"/>
      <w:r w:rsidRPr="003B5894">
        <w:t>Magnicki</w:t>
      </w:r>
      <w:proofErr w:type="spellEnd"/>
      <w:r w:rsidRPr="003B5894">
        <w:t>) s geografskim režimima sankcija;</w:t>
      </w:r>
    </w:p>
    <w:p w14:paraId="2C225576" w14:textId="77777777" w:rsidR="00265D5E" w:rsidRDefault="00265D5E" w:rsidP="00265D5E">
      <w:pPr>
        <w:pStyle w:val="NormalHanging12a"/>
      </w:pPr>
      <w:r w:rsidRPr="003B5894">
        <w:t>34.</w:t>
      </w:r>
      <w:r w:rsidRPr="003B5894">
        <w:tab/>
        <w:t>poziva Vijeće da preispita klauzule o izuzeću kako bi se osiguralo da od ugovora sklopljenih prije uvrštenja neke osobe na popis korist ne ostvaruju članovi njihovih obitelji ili suradnici niti subjekti koje kontrolira sankcionirana osoba;</w:t>
      </w:r>
    </w:p>
    <w:p w14:paraId="1523FDA5" w14:textId="20C64E2D" w:rsidR="00BA704E" w:rsidRDefault="00BA704E" w:rsidP="00BA704E">
      <w:pPr>
        <w:pStyle w:val="NormalHanging12a"/>
        <w:widowControl/>
        <w:ind w:left="0" w:firstLine="0"/>
        <w:jc w:val="center"/>
      </w:pPr>
      <w:r>
        <w:t>°</w:t>
      </w:r>
    </w:p>
    <w:p w14:paraId="2DEEE5EA" w14:textId="40F70D76" w:rsidR="00BA704E" w:rsidRDefault="00BA704E" w:rsidP="00BA704E">
      <w:pPr>
        <w:pStyle w:val="NormalHanging12a"/>
        <w:widowControl/>
        <w:ind w:left="0" w:firstLine="0"/>
        <w:jc w:val="center"/>
      </w:pPr>
      <w:r>
        <w:t>°     °</w:t>
      </w:r>
    </w:p>
    <w:p w14:paraId="116073F9" w14:textId="10D0DD85" w:rsidR="003B5894" w:rsidRPr="003B5894" w:rsidRDefault="00265D5E" w:rsidP="003B5894">
      <w:pPr>
        <w:pStyle w:val="NormalHanging12a"/>
      </w:pPr>
      <w:r w:rsidRPr="003B5894">
        <w:t>35.</w:t>
      </w:r>
      <w:r w:rsidRPr="003B5894">
        <w:tab/>
        <w:t>nalaže svojoj predsjednici da ovu Rezoluciju proslijedi Vijeću, Komisiji i potpredsjednici Komisije / visokoj predstavnici Unije za vanjske poslove i sigurnosnu politiku.</w:t>
      </w:r>
    </w:p>
    <w:p w14:paraId="28BE5093" w14:textId="0A4F5377" w:rsidR="00E365E1" w:rsidRDefault="00E365E1" w:rsidP="00737E1B"/>
    <w:p w14:paraId="3DD07C01" w14:textId="3B783C57" w:rsidR="00BA704E" w:rsidRPr="003B5894" w:rsidRDefault="00BA704E" w:rsidP="00BA704E">
      <w:pPr>
        <w:widowControl/>
        <w:spacing w:after="240"/>
        <w:jc w:val="center"/>
      </w:pPr>
    </w:p>
    <w:sectPr w:rsidR="00BA704E" w:rsidRPr="003B5894" w:rsidSect="003B58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A976F" w14:textId="77777777" w:rsidR="00737E1B" w:rsidRPr="003B5894" w:rsidRDefault="00737E1B">
      <w:r w:rsidRPr="003B5894">
        <w:separator/>
      </w:r>
    </w:p>
  </w:endnote>
  <w:endnote w:type="continuationSeparator" w:id="0">
    <w:p w14:paraId="5DEDA649" w14:textId="77777777" w:rsidR="00737E1B" w:rsidRPr="003B5894" w:rsidRDefault="00737E1B">
      <w:r w:rsidRPr="003B58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AA3F4" w14:textId="77777777" w:rsidR="00064002" w:rsidRPr="003B58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795DF" w14:textId="77777777" w:rsidR="00064002" w:rsidRPr="003B58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191C3" w14:textId="77777777" w:rsidR="00064002" w:rsidRPr="003B58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0E2B8" w14:textId="77777777" w:rsidR="00737E1B" w:rsidRPr="003B5894" w:rsidRDefault="00737E1B">
      <w:r w:rsidRPr="003B5894">
        <w:separator/>
      </w:r>
    </w:p>
  </w:footnote>
  <w:footnote w:type="continuationSeparator" w:id="0">
    <w:p w14:paraId="421921E9" w14:textId="77777777" w:rsidR="00737E1B" w:rsidRPr="003B5894" w:rsidRDefault="00737E1B">
      <w:r w:rsidRPr="003B5894">
        <w:continuationSeparator/>
      </w:r>
    </w:p>
  </w:footnote>
  <w:footnote w:id="1">
    <w:p w14:paraId="12EFDC26" w14:textId="6B266BBB" w:rsidR="00265D5E" w:rsidRPr="003B5894" w:rsidRDefault="00265D5E" w:rsidP="003B5894">
      <w:pPr>
        <w:ind w:left="567" w:hanging="567"/>
      </w:pPr>
      <w:r w:rsidRPr="003B5894">
        <w:rPr>
          <w:rStyle w:val="FootnoteReference"/>
        </w:rPr>
        <w:footnoteRef/>
      </w:r>
      <w:r w:rsidR="003B5894" w:rsidRPr="003B5894">
        <w:t xml:space="preserve"> </w:t>
      </w:r>
      <w:r w:rsidR="003B5894" w:rsidRPr="003B5894">
        <w:tab/>
      </w:r>
      <w:r w:rsidRPr="003B5894">
        <w:t>SL L 410</w:t>
      </w:r>
      <w:r w:rsidR="001572E7">
        <w:t> </w:t>
      </w:r>
      <w:r w:rsidRPr="003B5894">
        <w:t xml:space="preserve">I, 7.12.2020., str. 13., ELI: </w:t>
      </w:r>
      <w:hyperlink r:id="rId1" w:history="1">
        <w:r w:rsidRPr="003B5894">
          <w:rPr>
            <w:rStyle w:val="Hyperlink"/>
            <w:color w:val="0563C1"/>
          </w:rPr>
          <w:t>http://data.europa.eu/eli/dec/2020/1999/oj</w:t>
        </w:r>
      </w:hyperlink>
      <w:r w:rsidRPr="003B5894">
        <w:t>.</w:t>
      </w:r>
    </w:p>
  </w:footnote>
  <w:footnote w:id="2">
    <w:p w14:paraId="16DD636A" w14:textId="3BFFC6A4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>SL L 410</w:t>
      </w:r>
      <w:r w:rsidR="001572E7">
        <w:rPr>
          <w:sz w:val="24"/>
          <w:lang w:val="hr-HR"/>
        </w:rPr>
        <w:t> </w:t>
      </w:r>
      <w:r w:rsidRPr="003B5894">
        <w:rPr>
          <w:sz w:val="24"/>
          <w:lang w:val="hr-HR"/>
        </w:rPr>
        <w:t xml:space="preserve">I, 7.12.2020., str. 1., ELI: </w:t>
      </w:r>
      <w:hyperlink r:id="rId2" w:history="1">
        <w:r w:rsidRPr="003B5894">
          <w:rPr>
            <w:rStyle w:val="Hyperlink"/>
            <w:color w:val="0563C1"/>
            <w:sz w:val="24"/>
            <w:lang w:val="hr-HR"/>
          </w:rPr>
          <w:t>http://data.europa.eu/eli/reg/2020/1998/oj</w:t>
        </w:r>
      </w:hyperlink>
      <w:r w:rsidRPr="003B5894">
        <w:rPr>
          <w:sz w:val="24"/>
          <w:lang w:val="hr-HR"/>
        </w:rPr>
        <w:t xml:space="preserve">. </w:t>
      </w:r>
    </w:p>
  </w:footnote>
  <w:footnote w:id="3">
    <w:p w14:paraId="463BA988" w14:textId="5E745605" w:rsidR="00265D5E" w:rsidRPr="003B5894" w:rsidRDefault="00265D5E" w:rsidP="003B5894">
      <w:pPr>
        <w:ind w:left="567" w:hanging="567"/>
      </w:pPr>
      <w:r w:rsidRPr="003B5894">
        <w:rPr>
          <w:rStyle w:val="FootnoteReference"/>
        </w:rPr>
        <w:footnoteRef/>
      </w:r>
      <w:r w:rsidR="003B5894" w:rsidRPr="003B5894">
        <w:t xml:space="preserve"> </w:t>
      </w:r>
      <w:r w:rsidR="003B5894" w:rsidRPr="003B5894">
        <w:tab/>
      </w:r>
      <w:r w:rsidRPr="003B5894">
        <w:t>SL L 71</w:t>
      </w:r>
      <w:r w:rsidR="001572E7">
        <w:t> </w:t>
      </w:r>
      <w:r w:rsidRPr="003B5894">
        <w:t xml:space="preserve">I, 2.3.2021., str. 1., ELI: </w:t>
      </w:r>
      <w:hyperlink r:id="rId3" w:history="1">
        <w:r w:rsidRPr="003B5894">
          <w:rPr>
            <w:rStyle w:val="Hyperlink"/>
            <w:color w:val="0563C1"/>
          </w:rPr>
          <w:t>http://data.europa.eu/eli/reg_impl/2021/371/oj</w:t>
        </w:r>
      </w:hyperlink>
      <w:r w:rsidRPr="003B5894">
        <w:t xml:space="preserve">. </w:t>
      </w:r>
    </w:p>
  </w:footnote>
  <w:footnote w:id="4">
    <w:p w14:paraId="79E39FF1" w14:textId="3014F2DB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>SL L 99</w:t>
      </w:r>
      <w:r w:rsidR="001572E7">
        <w:rPr>
          <w:sz w:val="24"/>
          <w:lang w:val="hr-HR"/>
        </w:rPr>
        <w:t> </w:t>
      </w:r>
      <w:r w:rsidRPr="003B5894">
        <w:rPr>
          <w:sz w:val="24"/>
          <w:lang w:val="hr-HR"/>
        </w:rPr>
        <w:t xml:space="preserve">I, 22.3.2021., str. 1., ELI: </w:t>
      </w:r>
      <w:hyperlink r:id="rId4" w:history="1">
        <w:r w:rsidRPr="003B5894">
          <w:rPr>
            <w:rStyle w:val="Hyperlink"/>
            <w:color w:val="0563C1"/>
            <w:sz w:val="24"/>
            <w:lang w:val="hr-HR"/>
          </w:rPr>
          <w:t>http://data.europa.eu/eli/reg_impl/2021/478/oj</w:t>
        </w:r>
      </w:hyperlink>
      <w:r w:rsidRPr="003B5894">
        <w:rPr>
          <w:sz w:val="24"/>
          <w:lang w:val="hr-HR"/>
        </w:rPr>
        <w:t xml:space="preserve">. </w:t>
      </w:r>
    </w:p>
  </w:footnote>
  <w:footnote w:id="5">
    <w:p w14:paraId="2C7BE314" w14:textId="5C528788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 xml:space="preserve">SL L, 2025/1111, 28.5.2025., ELI: </w:t>
      </w:r>
      <w:hyperlink r:id="rId5" w:history="1">
        <w:r w:rsidRPr="003B5894">
          <w:rPr>
            <w:rStyle w:val="Hyperlink"/>
            <w:color w:val="0563C1"/>
            <w:sz w:val="24"/>
            <w:lang w:val="hr-HR"/>
          </w:rPr>
          <w:t>http://data.europa.eu/eli/reg_impl/2025/1111/oj</w:t>
        </w:r>
      </w:hyperlink>
      <w:r w:rsidRPr="003B5894">
        <w:rPr>
          <w:sz w:val="24"/>
          <w:lang w:val="hr-HR"/>
        </w:rPr>
        <w:t xml:space="preserve">. </w:t>
      </w:r>
    </w:p>
  </w:footnote>
  <w:footnote w:id="6">
    <w:p w14:paraId="27C339ED" w14:textId="2EB58AC2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>SL L 71</w:t>
      </w:r>
      <w:r w:rsidR="001572E7">
        <w:rPr>
          <w:sz w:val="24"/>
          <w:lang w:val="hr-HR"/>
        </w:rPr>
        <w:t> </w:t>
      </w:r>
      <w:r w:rsidRPr="003B5894">
        <w:rPr>
          <w:sz w:val="24"/>
          <w:lang w:val="hr-HR"/>
        </w:rPr>
        <w:t xml:space="preserve">I, 2.3.2021., str. 6., ELI: </w:t>
      </w:r>
      <w:hyperlink r:id="rId6" w:history="1">
        <w:r w:rsidRPr="003B5894">
          <w:rPr>
            <w:rStyle w:val="Hyperlink"/>
            <w:color w:val="0563C1"/>
            <w:sz w:val="24"/>
            <w:lang w:val="hr-HR"/>
          </w:rPr>
          <w:t>http://data.europa.eu/eli/dec/2021/372/oj</w:t>
        </w:r>
      </w:hyperlink>
      <w:r w:rsidRPr="003B5894">
        <w:rPr>
          <w:sz w:val="24"/>
          <w:lang w:val="hr-HR"/>
        </w:rPr>
        <w:t xml:space="preserve">. </w:t>
      </w:r>
    </w:p>
  </w:footnote>
  <w:footnote w:id="7">
    <w:p w14:paraId="079213C4" w14:textId="05990E18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>SL L 99</w:t>
      </w:r>
      <w:r w:rsidR="001572E7">
        <w:rPr>
          <w:sz w:val="24"/>
          <w:lang w:val="hr-HR"/>
        </w:rPr>
        <w:t> </w:t>
      </w:r>
      <w:r w:rsidRPr="003B5894">
        <w:rPr>
          <w:sz w:val="24"/>
          <w:lang w:val="hr-HR"/>
        </w:rPr>
        <w:t xml:space="preserve">I, 22.3.2021., str. 25., ELI: </w:t>
      </w:r>
      <w:hyperlink r:id="rId7" w:history="1">
        <w:r w:rsidRPr="003B5894">
          <w:rPr>
            <w:rStyle w:val="Hyperlink"/>
            <w:color w:val="0563C1"/>
            <w:sz w:val="24"/>
            <w:lang w:val="hr-HR"/>
          </w:rPr>
          <w:t>http://data.europa.eu/eli/dec/2021/481/oj</w:t>
        </w:r>
      </w:hyperlink>
      <w:r w:rsidRPr="003B5894">
        <w:rPr>
          <w:sz w:val="24"/>
          <w:lang w:val="hr-HR"/>
        </w:rPr>
        <w:t xml:space="preserve">. </w:t>
      </w:r>
    </w:p>
  </w:footnote>
  <w:footnote w:id="8">
    <w:p w14:paraId="0A0CF171" w14:textId="5BBE6B7C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>SL L 445</w:t>
      </w:r>
      <w:r w:rsidR="001572E7">
        <w:rPr>
          <w:sz w:val="24"/>
          <w:lang w:val="hr-HR"/>
        </w:rPr>
        <w:t> </w:t>
      </w:r>
      <w:r w:rsidRPr="003B5894">
        <w:rPr>
          <w:sz w:val="24"/>
          <w:lang w:val="hr-HR"/>
        </w:rPr>
        <w:t xml:space="preserve">I, 13.12.2021., str. 17., ELI: </w:t>
      </w:r>
      <w:hyperlink r:id="rId8" w:history="1">
        <w:r w:rsidRPr="003B5894">
          <w:rPr>
            <w:rStyle w:val="Hyperlink"/>
            <w:color w:val="0563C1"/>
            <w:sz w:val="24"/>
            <w:lang w:val="hr-HR"/>
          </w:rPr>
          <w:t>http://data.europa.eu/eli/dec/2021/2197/oj</w:t>
        </w:r>
      </w:hyperlink>
      <w:r w:rsidRPr="003B5894">
        <w:rPr>
          <w:sz w:val="24"/>
          <w:lang w:val="hr-HR"/>
        </w:rPr>
        <w:t xml:space="preserve">. </w:t>
      </w:r>
    </w:p>
  </w:footnote>
  <w:footnote w:id="9">
    <w:p w14:paraId="2D97281C" w14:textId="332E59CD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>SL L 183</w:t>
      </w:r>
      <w:r w:rsidR="001572E7">
        <w:rPr>
          <w:sz w:val="24"/>
          <w:lang w:val="hr-HR"/>
        </w:rPr>
        <w:t> </w:t>
      </w:r>
      <w:r w:rsidRPr="003B5894">
        <w:rPr>
          <w:sz w:val="24"/>
          <w:lang w:val="hr-HR"/>
        </w:rPr>
        <w:t xml:space="preserve">I, 20.7.2023., str. 60., ELI: </w:t>
      </w:r>
      <w:hyperlink r:id="rId9" w:history="1">
        <w:r w:rsidRPr="003B5894">
          <w:rPr>
            <w:rStyle w:val="Hyperlink"/>
            <w:color w:val="0563C1"/>
            <w:sz w:val="24"/>
            <w:lang w:val="hr-HR"/>
          </w:rPr>
          <w:t>http://data.europa.eu/eli/dec/2023/1504/oj</w:t>
        </w:r>
      </w:hyperlink>
      <w:r w:rsidRPr="003B5894">
        <w:rPr>
          <w:sz w:val="24"/>
          <w:lang w:val="hr-HR"/>
        </w:rPr>
        <w:t xml:space="preserve">. </w:t>
      </w:r>
    </w:p>
  </w:footnote>
  <w:footnote w:id="10">
    <w:p w14:paraId="1AEA8C85" w14:textId="1437DA94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>SL L 221</w:t>
      </w:r>
      <w:r w:rsidR="001572E7">
        <w:rPr>
          <w:sz w:val="24"/>
          <w:lang w:val="hr-HR"/>
        </w:rPr>
        <w:t> </w:t>
      </w:r>
      <w:r w:rsidRPr="003B5894">
        <w:rPr>
          <w:sz w:val="24"/>
          <w:lang w:val="hr-HR"/>
        </w:rPr>
        <w:t xml:space="preserve">I, 8.9.2023., str. 6., ELI: </w:t>
      </w:r>
      <w:hyperlink r:id="rId10" w:history="1">
        <w:r w:rsidRPr="003B5894">
          <w:rPr>
            <w:rStyle w:val="Hyperlink"/>
            <w:sz w:val="24"/>
            <w:lang w:val="hr-HR"/>
          </w:rPr>
          <w:t>http://data.europa.eu/eli/dec/2023/1716/oj</w:t>
        </w:r>
      </w:hyperlink>
      <w:r w:rsidRPr="003B5894">
        <w:rPr>
          <w:sz w:val="24"/>
          <w:lang w:val="hr-HR"/>
        </w:rPr>
        <w:t xml:space="preserve">. </w:t>
      </w:r>
    </w:p>
  </w:footnote>
  <w:footnote w:id="11">
    <w:p w14:paraId="331D95B2" w14:textId="1EDF89F1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 xml:space="preserve">SL L, 2024/1025, 5.4.2024., ELI: </w:t>
      </w:r>
      <w:hyperlink r:id="rId11" w:history="1">
        <w:r w:rsidRPr="003B5894">
          <w:rPr>
            <w:rStyle w:val="Hyperlink"/>
            <w:sz w:val="24"/>
            <w:lang w:val="hr-HR"/>
          </w:rPr>
          <w:t>http://data.europa.eu/eli/dec/2024/1025/oj</w:t>
        </w:r>
      </w:hyperlink>
      <w:r w:rsidRPr="003B5894">
        <w:rPr>
          <w:sz w:val="24"/>
          <w:lang w:val="hr-HR"/>
        </w:rPr>
        <w:t xml:space="preserve">. </w:t>
      </w:r>
    </w:p>
  </w:footnote>
  <w:footnote w:id="12">
    <w:p w14:paraId="11049D2B" w14:textId="3B42F081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 xml:space="preserve">SL L, 2024/1074, 12.4.2024., ELI: </w:t>
      </w:r>
      <w:hyperlink r:id="rId12" w:history="1">
        <w:r w:rsidRPr="003B5894">
          <w:rPr>
            <w:rStyle w:val="Hyperlink"/>
            <w:sz w:val="24"/>
            <w:lang w:val="hr-HR"/>
          </w:rPr>
          <w:t>http://data.europa.eu/eli/dec/2024/1074/oj</w:t>
        </w:r>
      </w:hyperlink>
      <w:r w:rsidRPr="003B5894">
        <w:rPr>
          <w:sz w:val="24"/>
          <w:lang w:val="hr-HR"/>
        </w:rPr>
        <w:t xml:space="preserve">. </w:t>
      </w:r>
    </w:p>
  </w:footnote>
  <w:footnote w:id="13">
    <w:p w14:paraId="790E2361" w14:textId="3D9391BD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 xml:space="preserve">SL L, 2024/1175, 19.4.2024., ELI: </w:t>
      </w:r>
      <w:hyperlink r:id="rId13" w:history="1">
        <w:r w:rsidRPr="003B5894">
          <w:rPr>
            <w:rStyle w:val="Hyperlink"/>
            <w:sz w:val="24"/>
            <w:lang w:val="hr-HR"/>
          </w:rPr>
          <w:t>http://data.europa.eu/eli/dec/2024/1175/oj</w:t>
        </w:r>
      </w:hyperlink>
      <w:r w:rsidRPr="003B5894">
        <w:rPr>
          <w:sz w:val="24"/>
          <w:lang w:val="hr-HR"/>
        </w:rPr>
        <w:t xml:space="preserve">. </w:t>
      </w:r>
    </w:p>
  </w:footnote>
  <w:footnote w:id="14">
    <w:p w14:paraId="2E703940" w14:textId="0C0E9D23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 xml:space="preserve">SL L, 2024/1967, 15.7.2024., ELI: </w:t>
      </w:r>
      <w:hyperlink r:id="rId14" w:history="1">
        <w:r w:rsidRPr="003B5894">
          <w:rPr>
            <w:rStyle w:val="Hyperlink"/>
            <w:sz w:val="24"/>
            <w:lang w:val="hr-HR"/>
          </w:rPr>
          <w:t>http://data.europa.eu/eli/dec/2024/1967/oj</w:t>
        </w:r>
      </w:hyperlink>
      <w:r w:rsidRPr="003B5894">
        <w:rPr>
          <w:sz w:val="24"/>
          <w:lang w:val="hr-HR"/>
        </w:rPr>
        <w:t xml:space="preserve">. </w:t>
      </w:r>
    </w:p>
  </w:footnote>
  <w:footnote w:id="15">
    <w:p w14:paraId="22510D37" w14:textId="7FF2AC71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 xml:space="preserve">SL L, 2024/3004, 3.12.2024., ELI: </w:t>
      </w:r>
      <w:hyperlink r:id="rId15" w:history="1">
        <w:r w:rsidRPr="003B5894">
          <w:rPr>
            <w:rStyle w:val="Hyperlink"/>
            <w:sz w:val="24"/>
            <w:lang w:val="hr-HR"/>
          </w:rPr>
          <w:t>http://data.europa.eu/eli/dec/2024/3004/oj</w:t>
        </w:r>
      </w:hyperlink>
      <w:r w:rsidRPr="003B5894">
        <w:rPr>
          <w:sz w:val="24"/>
          <w:lang w:val="hr-HR"/>
        </w:rPr>
        <w:t xml:space="preserve">. </w:t>
      </w:r>
    </w:p>
  </w:footnote>
  <w:footnote w:id="16">
    <w:p w14:paraId="1A74BCF7" w14:textId="58F28E90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 xml:space="preserve">SL L, 2025/346, 19.2.2025., ELI: </w:t>
      </w:r>
      <w:hyperlink r:id="rId16" w:history="1">
        <w:r w:rsidRPr="003B5894">
          <w:rPr>
            <w:rStyle w:val="Hyperlink"/>
            <w:sz w:val="24"/>
            <w:lang w:val="hr-HR"/>
          </w:rPr>
          <w:t>http://data.europa.eu/eli/dec/2025/346/oj</w:t>
        </w:r>
      </w:hyperlink>
      <w:r w:rsidRPr="003B5894">
        <w:rPr>
          <w:sz w:val="24"/>
          <w:lang w:val="hr-HR"/>
        </w:rPr>
        <w:t xml:space="preserve">. </w:t>
      </w:r>
    </w:p>
  </w:footnote>
  <w:footnote w:id="17">
    <w:p w14:paraId="0B821C3C" w14:textId="70D39F72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 xml:space="preserve">SL L, 2025/1110, 28.5.2025., ELI: </w:t>
      </w:r>
      <w:hyperlink r:id="rId17" w:history="1">
        <w:r w:rsidRPr="003B5894">
          <w:rPr>
            <w:rStyle w:val="Hyperlink"/>
            <w:sz w:val="24"/>
            <w:lang w:val="hr-HR"/>
          </w:rPr>
          <w:t>http://data.europa.eu/eli/dec/2025/1110/oj</w:t>
        </w:r>
      </w:hyperlink>
      <w:r w:rsidRPr="003B5894">
        <w:rPr>
          <w:sz w:val="24"/>
          <w:lang w:val="hr-HR"/>
        </w:rPr>
        <w:t xml:space="preserve">. </w:t>
      </w:r>
    </w:p>
  </w:footnote>
  <w:footnote w:id="18">
    <w:p w14:paraId="1981EEBC" w14:textId="5E4547F5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>SL C 99, 1.3.2022., str. 152.</w:t>
      </w:r>
    </w:p>
  </w:footnote>
  <w:footnote w:id="19">
    <w:p w14:paraId="28B059F8" w14:textId="6C66AD0C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="00CA5AFC" w:rsidRPr="00CA5AFC">
        <w:rPr>
          <w:sz w:val="24"/>
          <w:lang w:val="hr-HR"/>
        </w:rPr>
        <w:t>SL </w:t>
      </w:r>
      <w:r w:rsidR="00CA5AFC" w:rsidRPr="00CA5AFC">
        <w:rPr>
          <w:sz w:val="24"/>
          <w:lang w:val="fi-FI"/>
        </w:rPr>
        <w:t>C, C/2025/4390, 9.9.2025</w:t>
      </w:r>
      <w:r w:rsidR="00CA5AFC">
        <w:rPr>
          <w:sz w:val="24"/>
          <w:lang w:val="fi-FI"/>
        </w:rPr>
        <w:t>.</w:t>
      </w:r>
      <w:r w:rsidR="00CA5AFC" w:rsidRPr="00CA5AFC">
        <w:rPr>
          <w:sz w:val="24"/>
          <w:lang w:val="fi-FI"/>
        </w:rPr>
        <w:t xml:space="preserve">, ELI: </w:t>
      </w:r>
      <w:hyperlink r:id="rId18" w:history="1">
        <w:r w:rsidR="00CA5AFC" w:rsidRPr="00CA5AFC">
          <w:rPr>
            <w:rStyle w:val="Hyperlink"/>
            <w:sz w:val="24"/>
            <w:lang w:val="fi-FI"/>
          </w:rPr>
          <w:t>http://data.europa.eu/eli/C/2025/4390/oj</w:t>
        </w:r>
      </w:hyperlink>
      <w:r w:rsidRPr="003B5894">
        <w:rPr>
          <w:sz w:val="24"/>
          <w:lang w:val="hr-HR"/>
        </w:rPr>
        <w:t>.</w:t>
      </w:r>
    </w:p>
  </w:footnote>
  <w:footnote w:id="20">
    <w:p w14:paraId="1078575D" w14:textId="1B1CAE29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 xml:space="preserve">SL L, 2023/2721, 5.12.2023., ELI: </w:t>
      </w:r>
      <w:hyperlink r:id="rId19" w:history="1">
        <w:r w:rsidRPr="003B5894">
          <w:rPr>
            <w:rStyle w:val="Hyperlink"/>
            <w:sz w:val="24"/>
            <w:lang w:val="hr-HR"/>
          </w:rPr>
          <w:t>http://data.europa.eu/eli/dec/2023/2721/oj</w:t>
        </w:r>
      </w:hyperlink>
      <w:r w:rsidRPr="003B5894">
        <w:rPr>
          <w:sz w:val="24"/>
          <w:lang w:val="hr-HR"/>
        </w:rPr>
        <w:t xml:space="preserve">. </w:t>
      </w:r>
    </w:p>
  </w:footnote>
  <w:footnote w:id="21">
    <w:p w14:paraId="73BC3D36" w14:textId="04D8C5DE" w:rsidR="00265D5E" w:rsidRPr="003B5894" w:rsidRDefault="00265D5E" w:rsidP="003B5894">
      <w:pPr>
        <w:pStyle w:val="FootnoteText"/>
        <w:ind w:left="567" w:hanging="567"/>
        <w:rPr>
          <w:sz w:val="24"/>
          <w:lang w:val="hr-HR"/>
        </w:rPr>
      </w:pPr>
      <w:r w:rsidRPr="003B5894">
        <w:rPr>
          <w:rStyle w:val="FootnoteReference"/>
          <w:sz w:val="24"/>
          <w:lang w:val="hr-HR"/>
        </w:rPr>
        <w:footnoteRef/>
      </w:r>
      <w:r w:rsidR="003B5894" w:rsidRPr="003B5894">
        <w:rPr>
          <w:sz w:val="24"/>
          <w:lang w:val="hr-HR"/>
        </w:rPr>
        <w:t xml:space="preserve"> </w:t>
      </w:r>
      <w:r w:rsidR="003B5894" w:rsidRPr="003B5894">
        <w:rPr>
          <w:sz w:val="24"/>
          <w:lang w:val="hr-HR"/>
        </w:rPr>
        <w:tab/>
      </w:r>
      <w:r w:rsidRPr="003B5894">
        <w:rPr>
          <w:sz w:val="24"/>
          <w:lang w:val="hr-HR"/>
        </w:rPr>
        <w:t xml:space="preserve">Uredba Vijeća (EZ) br. 2271/96 od 22. studenoga 1996. o zaštiti od učinaka </w:t>
      </w:r>
      <w:proofErr w:type="spellStart"/>
      <w:r w:rsidRPr="003B5894">
        <w:rPr>
          <w:sz w:val="24"/>
          <w:lang w:val="hr-HR"/>
        </w:rPr>
        <w:t>izvanteritorijalne</w:t>
      </w:r>
      <w:proofErr w:type="spellEnd"/>
      <w:r w:rsidRPr="003B5894">
        <w:rPr>
          <w:sz w:val="24"/>
          <w:lang w:val="hr-HR"/>
        </w:rPr>
        <w:t xml:space="preserve"> primjene zakonodavstva koje donese treća zemlja i djelovanja koja se temelje na tom zakonodavstvu ili iz njega proizlaze (SL L 309, 29.11.1996., str. 1., ELI: </w:t>
      </w:r>
      <w:hyperlink r:id="rId20" w:history="1">
        <w:r w:rsidRPr="003B5894">
          <w:rPr>
            <w:rStyle w:val="Hyperlink"/>
            <w:sz w:val="24"/>
            <w:lang w:val="hr-HR"/>
          </w:rPr>
          <w:t>http://data.europa.eu/eli/reg/1996/2271/oj</w:t>
        </w:r>
      </w:hyperlink>
      <w:r w:rsidRPr="003B5894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F0FEC" w14:textId="77777777" w:rsidR="00064002" w:rsidRPr="003B58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58435" w14:textId="77777777" w:rsidR="00064002" w:rsidRPr="003B58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9265" w14:textId="77777777" w:rsidR="00064002" w:rsidRPr="003B58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19885072">
    <w:abstractNumId w:val="9"/>
  </w:num>
  <w:num w:numId="2" w16cid:durableId="1358854567">
    <w:abstractNumId w:val="9"/>
  </w:num>
  <w:num w:numId="3" w16cid:durableId="51389128">
    <w:abstractNumId w:val="7"/>
  </w:num>
  <w:num w:numId="4" w16cid:durableId="1062602079">
    <w:abstractNumId w:val="7"/>
  </w:num>
  <w:num w:numId="5" w16cid:durableId="996108134">
    <w:abstractNumId w:val="6"/>
  </w:num>
  <w:num w:numId="6" w16cid:durableId="2026636289">
    <w:abstractNumId w:val="6"/>
  </w:num>
  <w:num w:numId="7" w16cid:durableId="752241623">
    <w:abstractNumId w:val="5"/>
  </w:num>
  <w:num w:numId="8" w16cid:durableId="1177964106">
    <w:abstractNumId w:val="5"/>
  </w:num>
  <w:num w:numId="9" w16cid:durableId="241065565">
    <w:abstractNumId w:val="4"/>
  </w:num>
  <w:num w:numId="10" w16cid:durableId="631448655">
    <w:abstractNumId w:val="4"/>
  </w:num>
  <w:num w:numId="11" w16cid:durableId="545919138">
    <w:abstractNumId w:val="8"/>
  </w:num>
  <w:num w:numId="12" w16cid:durableId="1416364870">
    <w:abstractNumId w:val="8"/>
  </w:num>
  <w:num w:numId="13" w16cid:durableId="608247095">
    <w:abstractNumId w:val="3"/>
  </w:num>
  <w:num w:numId="14" w16cid:durableId="1948736925">
    <w:abstractNumId w:val="3"/>
  </w:num>
  <w:num w:numId="15" w16cid:durableId="1477869344">
    <w:abstractNumId w:val="2"/>
  </w:num>
  <w:num w:numId="16" w16cid:durableId="1042679585">
    <w:abstractNumId w:val="2"/>
  </w:num>
  <w:num w:numId="17" w16cid:durableId="1678650354">
    <w:abstractNumId w:val="1"/>
  </w:num>
  <w:num w:numId="18" w16cid:durableId="609242316">
    <w:abstractNumId w:val="1"/>
  </w:num>
  <w:num w:numId="19" w16cid:durableId="275596857">
    <w:abstractNumId w:val="0"/>
  </w:num>
  <w:num w:numId="20" w16cid:durableId="1854344668">
    <w:abstractNumId w:val="0"/>
  </w:num>
  <w:num w:numId="21" w16cid:durableId="150483559">
    <w:abstractNumId w:val="9"/>
  </w:num>
  <w:num w:numId="22" w16cid:durableId="1203402015">
    <w:abstractNumId w:val="7"/>
  </w:num>
  <w:num w:numId="23" w16cid:durableId="1955550626">
    <w:abstractNumId w:val="6"/>
  </w:num>
  <w:num w:numId="24" w16cid:durableId="1468283077">
    <w:abstractNumId w:val="5"/>
  </w:num>
  <w:num w:numId="25" w16cid:durableId="609900322">
    <w:abstractNumId w:val="4"/>
  </w:num>
  <w:num w:numId="26" w16cid:durableId="1732073163">
    <w:abstractNumId w:val="8"/>
  </w:num>
  <w:num w:numId="27" w16cid:durableId="1948930644">
    <w:abstractNumId w:val="3"/>
  </w:num>
  <w:num w:numId="28" w16cid:durableId="1851093566">
    <w:abstractNumId w:val="2"/>
  </w:num>
  <w:num w:numId="29" w16cid:durableId="213011243">
    <w:abstractNumId w:val="1"/>
  </w:num>
  <w:num w:numId="30" w16cid:durableId="1667131525">
    <w:abstractNumId w:val="0"/>
  </w:num>
  <w:num w:numId="31" w16cid:durableId="1444768244">
    <w:abstractNumId w:val="9"/>
  </w:num>
  <w:num w:numId="32" w16cid:durableId="1497573881">
    <w:abstractNumId w:val="7"/>
  </w:num>
  <w:num w:numId="33" w16cid:durableId="851994587">
    <w:abstractNumId w:val="6"/>
  </w:num>
  <w:num w:numId="34" w16cid:durableId="250235658">
    <w:abstractNumId w:val="5"/>
  </w:num>
  <w:num w:numId="35" w16cid:durableId="454910954">
    <w:abstractNumId w:val="4"/>
  </w:num>
  <w:num w:numId="36" w16cid:durableId="135148488">
    <w:abstractNumId w:val="8"/>
  </w:num>
  <w:num w:numId="37" w16cid:durableId="1282759349">
    <w:abstractNumId w:val="3"/>
  </w:num>
  <w:num w:numId="38" w16cid:durableId="1184442924">
    <w:abstractNumId w:val="2"/>
  </w:num>
  <w:num w:numId="39" w16cid:durableId="310401549">
    <w:abstractNumId w:val="1"/>
  </w:num>
  <w:num w:numId="40" w16cid:durableId="1492016959">
    <w:abstractNumId w:val="0"/>
  </w:num>
  <w:num w:numId="41" w16cid:durableId="597448399">
    <w:abstractNumId w:val="10"/>
  </w:num>
  <w:num w:numId="42" w16cid:durableId="82263574">
    <w:abstractNumId w:val="10"/>
  </w:num>
  <w:num w:numId="43" w16cid:durableId="841243369">
    <w:abstractNumId w:val="10"/>
  </w:num>
  <w:num w:numId="44" w16cid:durableId="6279743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6/2025"/>
    <w:docVar w:name="dvlangue" w:val="HR"/>
    <w:docVar w:name="dvnumam" w:val="0"/>
    <w:docVar w:name="dvpe" w:val="775.385"/>
    <w:docVar w:name="dvrapporteur" w:val="Izvjestitelj: "/>
    <w:docVar w:name="dvtitre" w:val="Rezolucija Europskog parlamenta od .... 2026. o rješavanju problema nekažnjavanja s pomoću sankcija EU-a, uključujući globalni režim sankcija EU-a u području ljudskih prava (tzv. europski Zakon Magnicki)(2025/2049(INI))"/>
  </w:docVars>
  <w:rsids>
    <w:rsidRoot w:val="00737E1B"/>
    <w:rsid w:val="00002272"/>
    <w:rsid w:val="00064002"/>
    <w:rsid w:val="000677B9"/>
    <w:rsid w:val="000831BA"/>
    <w:rsid w:val="000A42CC"/>
    <w:rsid w:val="000E7DD9"/>
    <w:rsid w:val="0010095E"/>
    <w:rsid w:val="00125B37"/>
    <w:rsid w:val="001572E7"/>
    <w:rsid w:val="00187494"/>
    <w:rsid w:val="001F32AE"/>
    <w:rsid w:val="00265D5E"/>
    <w:rsid w:val="002767FF"/>
    <w:rsid w:val="00282364"/>
    <w:rsid w:val="002B18FE"/>
    <w:rsid w:val="002B5493"/>
    <w:rsid w:val="00343214"/>
    <w:rsid w:val="00361C00"/>
    <w:rsid w:val="00395FA1"/>
    <w:rsid w:val="003B589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A47"/>
    <w:rsid w:val="0050519A"/>
    <w:rsid w:val="005072A1"/>
    <w:rsid w:val="00514517"/>
    <w:rsid w:val="00545827"/>
    <w:rsid w:val="00560270"/>
    <w:rsid w:val="00576224"/>
    <w:rsid w:val="00580E57"/>
    <w:rsid w:val="005C2568"/>
    <w:rsid w:val="005F1B17"/>
    <w:rsid w:val="006037C0"/>
    <w:rsid w:val="006631B6"/>
    <w:rsid w:val="0067754A"/>
    <w:rsid w:val="00680577"/>
    <w:rsid w:val="006F74FA"/>
    <w:rsid w:val="00731ADD"/>
    <w:rsid w:val="00734777"/>
    <w:rsid w:val="00737E1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454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2D6D"/>
    <w:rsid w:val="00BA704E"/>
    <w:rsid w:val="00BD48FE"/>
    <w:rsid w:val="00BD7BD8"/>
    <w:rsid w:val="00BE6ADC"/>
    <w:rsid w:val="00C05BFE"/>
    <w:rsid w:val="00C23CD4"/>
    <w:rsid w:val="00C61C0C"/>
    <w:rsid w:val="00C941CB"/>
    <w:rsid w:val="00CA5AFC"/>
    <w:rsid w:val="00CC2357"/>
    <w:rsid w:val="00CF071A"/>
    <w:rsid w:val="00D058B8"/>
    <w:rsid w:val="00D56C11"/>
    <w:rsid w:val="00D7277B"/>
    <w:rsid w:val="00D834A0"/>
    <w:rsid w:val="00D872DF"/>
    <w:rsid w:val="00D91E21"/>
    <w:rsid w:val="00DA7FCD"/>
    <w:rsid w:val="00DD0FD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E57AD"/>
  <w15:chartTrackingRefBased/>
  <w15:docId w15:val="{4A3AC8D0-F5A8-48CE-B129-A4CE3984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65D5E"/>
    <w:pPr>
      <w:spacing w:after="240"/>
      <w:ind w:left="567" w:hanging="567"/>
    </w:pPr>
  </w:style>
  <w:style w:type="paragraph" w:customStyle="1" w:styleId="EPComma">
    <w:name w:val="EPComma"/>
    <w:basedOn w:val="Normal"/>
    <w:rsid w:val="00265D5E"/>
    <w:pPr>
      <w:spacing w:before="480" w:after="240"/>
    </w:pPr>
  </w:style>
  <w:style w:type="character" w:styleId="Hyperlink">
    <w:name w:val="Hyperlink"/>
    <w:basedOn w:val="DefaultParagraphFont"/>
    <w:rsid w:val="00265D5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A5AFC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CA5A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A5A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1/2197/oj" TargetMode="External"/><Relationship Id="rId13" Type="http://schemas.openxmlformats.org/officeDocument/2006/relationships/hyperlink" Target="http://data.europa.eu/eli/dec/2024/1175/oj" TargetMode="External"/><Relationship Id="rId18" Type="http://schemas.openxmlformats.org/officeDocument/2006/relationships/hyperlink" Target="http://data.europa.eu/eli/C/2025/4390/oj" TargetMode="External"/><Relationship Id="rId3" Type="http://schemas.openxmlformats.org/officeDocument/2006/relationships/hyperlink" Target="http://data.europa.eu/eli/reg_impl/2021/371/oj" TargetMode="External"/><Relationship Id="rId7" Type="http://schemas.openxmlformats.org/officeDocument/2006/relationships/hyperlink" Target="http://data.europa.eu/eli/dec/2021/481/oj" TargetMode="External"/><Relationship Id="rId12" Type="http://schemas.openxmlformats.org/officeDocument/2006/relationships/hyperlink" Target="http://data.europa.eu/eli/dec/2024/1074/oj" TargetMode="External"/><Relationship Id="rId17" Type="http://schemas.openxmlformats.org/officeDocument/2006/relationships/hyperlink" Target="http://data.europa.eu/eli/dec/2025/1110/oj" TargetMode="External"/><Relationship Id="rId2" Type="http://schemas.openxmlformats.org/officeDocument/2006/relationships/hyperlink" Target="http://data.europa.eu/eli/reg/2020/1998/oj" TargetMode="External"/><Relationship Id="rId16" Type="http://schemas.openxmlformats.org/officeDocument/2006/relationships/hyperlink" Target="http://data.europa.eu/eli/dec/2025/346/oj" TargetMode="External"/><Relationship Id="rId20" Type="http://schemas.openxmlformats.org/officeDocument/2006/relationships/hyperlink" Target="http://data.europa.eu/eli/reg/1996/2271/oj" TargetMode="External"/><Relationship Id="rId1" Type="http://schemas.openxmlformats.org/officeDocument/2006/relationships/hyperlink" Target="http://data.europa.eu/eli/dec/2020/1999/oj" TargetMode="External"/><Relationship Id="rId6" Type="http://schemas.openxmlformats.org/officeDocument/2006/relationships/hyperlink" Target="http://data.europa.eu/eli/dec/2021/372/oj" TargetMode="External"/><Relationship Id="rId11" Type="http://schemas.openxmlformats.org/officeDocument/2006/relationships/hyperlink" Target="http://data.europa.eu/eli/dec/2024/1025/oj" TargetMode="External"/><Relationship Id="rId5" Type="http://schemas.openxmlformats.org/officeDocument/2006/relationships/hyperlink" Target="http://data.europa.eu/eli/reg_impl/2025/1111/oj" TargetMode="External"/><Relationship Id="rId15" Type="http://schemas.openxmlformats.org/officeDocument/2006/relationships/hyperlink" Target="http://data.europa.eu/eli/dec/2024/3004/oj" TargetMode="External"/><Relationship Id="rId10" Type="http://schemas.openxmlformats.org/officeDocument/2006/relationships/hyperlink" Target="http://data.europa.eu/eli/dec/2023/1716/oj" TargetMode="External"/><Relationship Id="rId19" Type="http://schemas.openxmlformats.org/officeDocument/2006/relationships/hyperlink" Target="http://data.europa.eu/eli/dec/2023/2721/oj" TargetMode="External"/><Relationship Id="rId4" Type="http://schemas.openxmlformats.org/officeDocument/2006/relationships/hyperlink" Target="http://data.europa.eu/eli/reg_impl/2021/478/oj" TargetMode="External"/><Relationship Id="rId9" Type="http://schemas.openxmlformats.org/officeDocument/2006/relationships/hyperlink" Target="http://data.europa.eu/eli/dec/2023/1504/oj" TargetMode="External"/><Relationship Id="rId14" Type="http://schemas.openxmlformats.org/officeDocument/2006/relationships/hyperlink" Target="http://data.europa.eu/eli/dec/2024/1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3975</Words>
  <Characters>24269</Characters>
  <Application>Microsoft Office Word</Application>
  <DocSecurity>0</DocSecurity>
  <Lines>202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RAONIĆ Ena</cp:lastModifiedBy>
  <cp:revision>2</cp:revision>
  <cp:lastPrinted>2004-11-19T15:42:00Z</cp:lastPrinted>
  <dcterms:created xsi:type="dcterms:W3CDTF">2026-02-26T16:04:00Z</dcterms:created>
  <dcterms:modified xsi:type="dcterms:W3CDTF">2026-02-26T16:04:00Z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A10-0266/2025</vt:lpwstr>
  </property>
  <property fmtid="{D5CDD505-2E9C-101B-9397-08002B2CF9AE}" pid="4" name="&lt;Type&gt;">
    <vt:lpwstr>RR</vt:lpwstr>
  </property>
</Properties>
</file>