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0410" w14:paraId="1FCAF7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D243E3" w14:textId="77777777" w:rsidR="00751A4A" w:rsidRPr="00540410" w:rsidRDefault="00B041C3" w:rsidP="0010095E">
            <w:pPr>
              <w:pStyle w:val="EPName"/>
            </w:pPr>
            <w:r w:rsidRPr="00540410">
              <w:t>Parlamento europeo</w:t>
            </w:r>
          </w:p>
          <w:p w14:paraId="078350A8" w14:textId="77777777" w:rsidR="00751A4A" w:rsidRPr="005404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0410">
              <w:t>2024</w:t>
            </w:r>
            <w:r w:rsidR="00817416" w:rsidRPr="00540410">
              <w:t>-202</w:t>
            </w:r>
            <w:r w:rsidRPr="00540410">
              <w:t>9</w:t>
            </w:r>
          </w:p>
        </w:tc>
        <w:tc>
          <w:tcPr>
            <w:tcW w:w="2268" w:type="dxa"/>
            <w:shd w:val="clear" w:color="auto" w:fill="auto"/>
          </w:tcPr>
          <w:p w14:paraId="53B9F3CE" w14:textId="77777777" w:rsidR="00751A4A" w:rsidRPr="00540410" w:rsidRDefault="00187494" w:rsidP="0010095E">
            <w:pPr>
              <w:pStyle w:val="EPLogo"/>
            </w:pPr>
            <w:r w:rsidRPr="00540410">
              <w:rPr>
                <w:noProof/>
                <w:lang w:eastAsia="ja-JP"/>
              </w:rPr>
              <w:drawing>
                <wp:inline distT="0" distB="0" distL="0" distR="0" wp14:anchorId="63ED80AA" wp14:editId="296DF7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7A9022" w14:textId="77777777" w:rsidR="00D058B8" w:rsidRPr="00540410" w:rsidRDefault="00D058B8" w:rsidP="004C5D52">
      <w:pPr>
        <w:pStyle w:val="LineTop"/>
      </w:pPr>
    </w:p>
    <w:p w14:paraId="20F84710" w14:textId="77777777" w:rsidR="00680577" w:rsidRPr="00540410" w:rsidRDefault="00B041C3" w:rsidP="00680577">
      <w:pPr>
        <w:pStyle w:val="EPBodyTA1"/>
      </w:pPr>
      <w:r w:rsidRPr="00540410">
        <w:t>TESTI APPROVATI</w:t>
      </w:r>
    </w:p>
    <w:p w14:paraId="6FCAFB10" w14:textId="77777777" w:rsidR="00D058B8" w:rsidRPr="00540410" w:rsidRDefault="00D058B8" w:rsidP="00D058B8">
      <w:pPr>
        <w:pStyle w:val="LineBottom"/>
      </w:pPr>
    </w:p>
    <w:p w14:paraId="590E953D" w14:textId="55B0CAD6" w:rsidR="00B041C3" w:rsidRPr="00540410" w:rsidRDefault="00B041C3" w:rsidP="00B041C3">
      <w:pPr>
        <w:pStyle w:val="ATHeading1"/>
      </w:pPr>
      <w:bookmarkStart w:id="0" w:name="TANumber"/>
      <w:r w:rsidRPr="00540410">
        <w:t>P10_TA(2026)00</w:t>
      </w:r>
      <w:r w:rsidR="00540410" w:rsidRPr="00540410">
        <w:t>15</w:t>
      </w:r>
      <w:bookmarkEnd w:id="0"/>
    </w:p>
    <w:p w14:paraId="1F802BE4" w14:textId="77777777" w:rsidR="00B041C3" w:rsidRPr="00540410" w:rsidRDefault="00B041C3" w:rsidP="00B041C3">
      <w:pPr>
        <w:pStyle w:val="ATHeading2"/>
      </w:pPr>
      <w:bookmarkStart w:id="1" w:name="title"/>
      <w:r w:rsidRPr="00540410">
        <w:t xml:space="preserve">Combattere l'impunità con le sanzioni dell'UE, incluso il regime globale di sanzioni dell'UE in materia di diritti umani (cosiddetta "legge </w:t>
      </w:r>
      <w:proofErr w:type="spellStart"/>
      <w:r w:rsidRPr="00540410">
        <w:t>Magnitsky</w:t>
      </w:r>
      <w:proofErr w:type="spellEnd"/>
      <w:r w:rsidRPr="00540410">
        <w:t xml:space="preserve"> dell'UE")</w:t>
      </w:r>
      <w:bookmarkEnd w:id="1"/>
    </w:p>
    <w:p w14:paraId="13207E6E" w14:textId="77777777" w:rsidR="00B041C3" w:rsidRPr="00540410" w:rsidRDefault="00B041C3" w:rsidP="00B041C3">
      <w:pPr>
        <w:rPr>
          <w:i/>
          <w:vanish/>
        </w:rPr>
      </w:pPr>
      <w:r w:rsidRPr="00540410">
        <w:rPr>
          <w:i/>
        </w:rPr>
        <w:fldChar w:fldCharType="begin"/>
      </w:r>
      <w:r w:rsidRPr="00540410">
        <w:rPr>
          <w:i/>
        </w:rPr>
        <w:instrText xml:space="preserve"> TC"(</w:instrText>
      </w:r>
      <w:bookmarkStart w:id="2" w:name="DocNumber"/>
      <w:r w:rsidRPr="00540410">
        <w:rPr>
          <w:i/>
        </w:rPr>
        <w:instrText>A10-0266/2025</w:instrText>
      </w:r>
      <w:bookmarkEnd w:id="2"/>
      <w:r w:rsidRPr="00540410">
        <w:rPr>
          <w:i/>
        </w:rPr>
        <w:instrText xml:space="preserve"> - Relatore: Antonio López-Istúriz White)"\l3 \n&gt; \* MERGEFORMAT </w:instrText>
      </w:r>
      <w:r w:rsidRPr="00540410">
        <w:rPr>
          <w:i/>
        </w:rPr>
        <w:fldChar w:fldCharType="end"/>
      </w:r>
    </w:p>
    <w:p w14:paraId="609F0911" w14:textId="77777777" w:rsidR="00B041C3" w:rsidRPr="00540410" w:rsidRDefault="00B041C3" w:rsidP="00B041C3">
      <w:pPr>
        <w:rPr>
          <w:vanish/>
        </w:rPr>
      </w:pPr>
      <w:bookmarkStart w:id="3" w:name="Commission"/>
      <w:r w:rsidRPr="00540410">
        <w:rPr>
          <w:vanish/>
        </w:rPr>
        <w:t>Commissione per gli affari esteri</w:t>
      </w:r>
      <w:bookmarkEnd w:id="3"/>
    </w:p>
    <w:p w14:paraId="502BB97A" w14:textId="77777777" w:rsidR="00B041C3" w:rsidRPr="00540410" w:rsidRDefault="00B041C3" w:rsidP="00B041C3">
      <w:pPr>
        <w:rPr>
          <w:vanish/>
        </w:rPr>
      </w:pPr>
      <w:bookmarkStart w:id="4" w:name="PE"/>
      <w:r w:rsidRPr="00540410">
        <w:rPr>
          <w:vanish/>
        </w:rPr>
        <w:t>PE775.385</w:t>
      </w:r>
      <w:bookmarkEnd w:id="4"/>
    </w:p>
    <w:p w14:paraId="3877512A" w14:textId="77777777" w:rsidR="00B041C3" w:rsidRPr="00540410" w:rsidRDefault="00B041C3" w:rsidP="00B041C3">
      <w:pPr>
        <w:pStyle w:val="ATHeading3"/>
      </w:pPr>
      <w:bookmarkStart w:id="5" w:name="Sujet"/>
      <w:r w:rsidRPr="00540410">
        <w:t xml:space="preserve">Risoluzione del Parlamento europeo del 21 gennaio 2026 "Combattere l'impunità con le sanzioni dell'UE, incluso il regime globale di sanzioni dell'UE in materia di diritti umani (cosiddetta "legge </w:t>
      </w:r>
      <w:proofErr w:type="spellStart"/>
      <w:r w:rsidRPr="00540410">
        <w:t>Magnitsky</w:t>
      </w:r>
      <w:proofErr w:type="spellEnd"/>
      <w:r w:rsidRPr="00540410">
        <w:t xml:space="preserve"> dell'UE")"</w:t>
      </w:r>
      <w:bookmarkEnd w:id="5"/>
      <w:r w:rsidRPr="00540410">
        <w:t xml:space="preserve"> </w:t>
      </w:r>
      <w:bookmarkStart w:id="6" w:name="References"/>
      <w:r w:rsidRPr="00540410">
        <w:t>(2025/2049(INI))</w:t>
      </w:r>
      <w:bookmarkEnd w:id="6"/>
    </w:p>
    <w:p w14:paraId="54719BE9" w14:textId="77777777" w:rsidR="005733D5" w:rsidRPr="00540410" w:rsidRDefault="005733D5" w:rsidP="005733D5">
      <w:pPr>
        <w:pStyle w:val="EPComma"/>
      </w:pPr>
      <w:r w:rsidRPr="00540410">
        <w:rPr>
          <w:i/>
        </w:rPr>
        <w:t>Il Parlamento europeo</w:t>
      </w:r>
      <w:r w:rsidRPr="00540410">
        <w:t>,</w:t>
      </w:r>
    </w:p>
    <w:p w14:paraId="257729D0" w14:textId="2192F0F6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vista la Dichiarazione universale dei diritti dell'uomo del 10 dicembre 1948,</w:t>
      </w:r>
    </w:p>
    <w:p w14:paraId="678BE72D" w14:textId="1D32E0D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vista la Convenzione europea per la salvaguardia dei diritti dell'uomo e delle libertà fondamentali del 4 novembre 1950,</w:t>
      </w:r>
    </w:p>
    <w:p w14:paraId="7D30A8A6" w14:textId="43E858EB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visto il Patto internazionale relativo ai diritti civili e politici del 16 dicembre 1966,</w:t>
      </w:r>
    </w:p>
    <w:p w14:paraId="4EC2D972" w14:textId="43A80DC8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vista la Convenzione delle Nazioni Unite contro la tortura ed altre pene o trattamenti crudeli, disumani o degradanti del 10 dicembre 1984,</w:t>
      </w:r>
    </w:p>
    <w:p w14:paraId="241CCF0B" w14:textId="7777777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visto il trattato sull'Unione europea (TUE), in particolare l'articolo 2, l'articolo 3, paragrafo 5, gli articoli 21, 23 e 29 e l'articolo 31, paragrafo 2,</w:t>
      </w:r>
    </w:p>
    <w:p w14:paraId="003FB0AB" w14:textId="2125866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visto l'articolo 215 del trattato sul funzionamento dell'Unione europea , che riguarda l'adozione di misure restrittive nei confronti di persone fisiche o giuridiche, di gruppi o di entità non statali,</w:t>
      </w:r>
    </w:p>
    <w:p w14:paraId="2669312B" w14:textId="7777777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vista la Carta dei diritti fondamentali dell'Unione europea,</w:t>
      </w:r>
    </w:p>
    <w:p w14:paraId="2C8FF612" w14:textId="7777777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vista la dichiarazione n. 25 allegata al trattato di Lisbona, che riguarda la necessità di proteggere e rispettare il diritto al giusto processo delle persone o delle entità interessate da misure restrittive dell'UE o da misure dell'UE di lotta al terrorismo,</w:t>
      </w:r>
    </w:p>
    <w:p w14:paraId="29DFE24A" w14:textId="7777777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viste le sue risoluzioni sulle violazioni dei diritti umani, della democrazia e dello Stato di diritto (note come "risoluzioni d'urgenza"), approvate a norma dell'articolo 150 del suo regolamento,</w:t>
      </w:r>
    </w:p>
    <w:p w14:paraId="0CF8EAE1" w14:textId="77777777" w:rsidR="005733D5" w:rsidRPr="00540410" w:rsidRDefault="005733D5" w:rsidP="005733D5">
      <w:pPr>
        <w:pStyle w:val="NormalHanging12a"/>
      </w:pPr>
      <w:r w:rsidRPr="00540410">
        <w:lastRenderedPageBreak/>
        <w:t>–</w:t>
      </w:r>
      <w:r w:rsidRPr="00540410">
        <w:tab/>
        <w:t>visti la decisione (PESC) 2020/1999 del Consiglio</w:t>
      </w:r>
      <w:r w:rsidRPr="00540410">
        <w:rPr>
          <w:rStyle w:val="FootnoteReference"/>
        </w:rPr>
        <w:footnoteReference w:id="1"/>
      </w:r>
      <w:r w:rsidRPr="00540410">
        <w:t xml:space="preserve"> e il regolamento (UE) 2020/1998 del Consiglio</w:t>
      </w:r>
      <w:r w:rsidRPr="00540410">
        <w:rPr>
          <w:rStyle w:val="FootnoteReference"/>
        </w:rPr>
        <w:footnoteReference w:id="2"/>
      </w:r>
      <w:r w:rsidRPr="00540410">
        <w:t>, del 7 dicembre 2020, relativi a misure restrittive contro gravi violazioni e abusi dei diritti umani,</w:t>
      </w:r>
    </w:p>
    <w:p w14:paraId="445783D8" w14:textId="7777777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visti il regolamento di esecuzione (UE) 2021/371 del Consiglio, del 2 marzo 2021</w:t>
      </w:r>
      <w:r w:rsidRPr="00540410">
        <w:rPr>
          <w:rStyle w:val="FootnoteReference"/>
        </w:rPr>
        <w:footnoteReference w:id="3"/>
      </w:r>
      <w:r w:rsidRPr="00540410">
        <w:t>, il regolamento di esecuzione (UE) 2021/478 del Consiglio, del 22 marzo 2021</w:t>
      </w:r>
      <w:r w:rsidRPr="00540410">
        <w:rPr>
          <w:rStyle w:val="FootnoteReference"/>
        </w:rPr>
        <w:footnoteReference w:id="4"/>
      </w:r>
      <w:r w:rsidRPr="00540410">
        <w:t>, e il regolamento di esecuzione (UE) 2025/1111 del Consiglio, del 28 maggio 2025</w:t>
      </w:r>
      <w:r w:rsidRPr="00540410">
        <w:rPr>
          <w:rStyle w:val="FootnoteReference"/>
        </w:rPr>
        <w:footnoteReference w:id="5"/>
      </w:r>
      <w:r w:rsidRPr="00540410">
        <w:t>, che attuano il regolamento (UE) 2020/1998 relativo a misure restrittive contro gravi violazioni e abusi dei diritti umani,</w:t>
      </w:r>
    </w:p>
    <w:p w14:paraId="6C69C198" w14:textId="7777777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viste le decisioni del Consiglio che modificano la decisione (PESC) 2020/1999 del Consiglio, comprese le decisioni (PESC) 2021/372 del 2 marzo 2021</w:t>
      </w:r>
      <w:r w:rsidRPr="00540410">
        <w:rPr>
          <w:rStyle w:val="FootnoteReference"/>
        </w:rPr>
        <w:footnoteReference w:id="6"/>
      </w:r>
      <w:r w:rsidRPr="00540410">
        <w:t>, (PESC) 2021/481 del 22 marzo 2021</w:t>
      </w:r>
      <w:r w:rsidRPr="00540410">
        <w:rPr>
          <w:rStyle w:val="FootnoteReference"/>
        </w:rPr>
        <w:footnoteReference w:id="7"/>
      </w:r>
      <w:r w:rsidRPr="00540410">
        <w:t>, (PESC) 2021/2197 del 13 dicembre 2021</w:t>
      </w:r>
      <w:r w:rsidRPr="00540410">
        <w:rPr>
          <w:rStyle w:val="FootnoteReference"/>
        </w:rPr>
        <w:footnoteReference w:id="8"/>
      </w:r>
      <w:r w:rsidRPr="00540410">
        <w:t>, (PESC) 2023/1504 del 20 luglio 2023</w:t>
      </w:r>
      <w:r w:rsidRPr="00540410">
        <w:rPr>
          <w:rStyle w:val="FootnoteReference"/>
        </w:rPr>
        <w:footnoteReference w:id="9"/>
      </w:r>
      <w:r w:rsidRPr="00540410">
        <w:t>, (PESC) 2023/1716 dell'8 settembre 2023</w:t>
      </w:r>
      <w:r w:rsidRPr="00540410">
        <w:rPr>
          <w:rStyle w:val="FootnoteReference"/>
        </w:rPr>
        <w:footnoteReference w:id="10"/>
      </w:r>
      <w:r w:rsidRPr="00540410">
        <w:t>, (PESC) 2024/1025 del 4 aprile 2024</w:t>
      </w:r>
      <w:r w:rsidRPr="00540410">
        <w:rPr>
          <w:rStyle w:val="FootnoteReference"/>
        </w:rPr>
        <w:footnoteReference w:id="11"/>
      </w:r>
      <w:r w:rsidRPr="00540410">
        <w:t>, (PESC) 2024/1074 del 4 aprile 2024</w:t>
      </w:r>
      <w:r w:rsidRPr="00540410">
        <w:rPr>
          <w:rStyle w:val="FootnoteReference"/>
        </w:rPr>
        <w:footnoteReference w:id="12"/>
      </w:r>
      <w:r w:rsidRPr="00540410">
        <w:t>, (PESC) 2024/1175 del 19 aprile 2024</w:t>
      </w:r>
      <w:r w:rsidRPr="00540410">
        <w:rPr>
          <w:rStyle w:val="FootnoteReference"/>
        </w:rPr>
        <w:footnoteReference w:id="13"/>
      </w:r>
      <w:r w:rsidRPr="00540410">
        <w:t>, (PESC) 2024/1967 del 15 luglio 2024</w:t>
      </w:r>
      <w:r w:rsidRPr="00540410">
        <w:rPr>
          <w:rStyle w:val="FootnoteReference"/>
        </w:rPr>
        <w:footnoteReference w:id="14"/>
      </w:r>
      <w:r w:rsidRPr="00540410">
        <w:t>, (PESC) 2024/3004 del 2 dicembre 2024</w:t>
      </w:r>
      <w:r w:rsidRPr="00540410">
        <w:rPr>
          <w:rStyle w:val="FootnoteReference"/>
        </w:rPr>
        <w:footnoteReference w:id="15"/>
      </w:r>
      <w:r w:rsidRPr="00540410">
        <w:t>, (PESC) 2025/346 del 18 febbraio 2025</w:t>
      </w:r>
      <w:r w:rsidRPr="00540410">
        <w:rPr>
          <w:rStyle w:val="FootnoteReference"/>
        </w:rPr>
        <w:footnoteReference w:id="16"/>
      </w:r>
      <w:r w:rsidRPr="00540410">
        <w:t xml:space="preserve"> nonché (PESC) 2025/1110 del 27 maggio 2025</w:t>
      </w:r>
      <w:r w:rsidRPr="00540410">
        <w:rPr>
          <w:rStyle w:val="FootnoteReference"/>
        </w:rPr>
        <w:footnoteReference w:id="17"/>
      </w:r>
      <w:r w:rsidRPr="00540410">
        <w:t>,</w:t>
      </w:r>
    </w:p>
    <w:p w14:paraId="3034D30A" w14:textId="7777777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 xml:space="preserve">viste la sua risoluzione dell'8 luglio 2021 sul regime globale di sanzioni dell'UE in materia di diritti umani (legge </w:t>
      </w:r>
      <w:proofErr w:type="spellStart"/>
      <w:r w:rsidRPr="00540410">
        <w:t>Magnitsky</w:t>
      </w:r>
      <w:proofErr w:type="spellEnd"/>
      <w:r w:rsidRPr="00540410">
        <w:t xml:space="preserve"> dell'UE)</w:t>
      </w:r>
      <w:r w:rsidRPr="00540410">
        <w:rPr>
          <w:rStyle w:val="FootnoteReference"/>
        </w:rPr>
        <w:footnoteReference w:id="18"/>
      </w:r>
      <w:r w:rsidRPr="00540410">
        <w:t xml:space="preserve"> e la sua risoluzione del 2 aprile 2025 sui diritti umani e la democrazia nel mondo e sulla politica dell'Unione europea in materia – relazione annuale 2024</w:t>
      </w:r>
      <w:r w:rsidRPr="00540410">
        <w:rPr>
          <w:rStyle w:val="FootnoteReference"/>
        </w:rPr>
        <w:footnoteReference w:id="19"/>
      </w:r>
      <w:r w:rsidRPr="00540410">
        <w:t>,</w:t>
      </w:r>
    </w:p>
    <w:p w14:paraId="7590F2FB" w14:textId="7777777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viste le conclusioni del Consiglio del 18 novembre 2020 sul piano d'azione dell'UE per i diritti umani e la democrazia 2020-2024, che è stato rinnovato fino al 2027,</w:t>
      </w:r>
    </w:p>
    <w:p w14:paraId="54C68AE8" w14:textId="7777777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vista la decisione (PESC) 2023/2721 del Consiglio, del 4 dicembre 2023, che modifica la decisione (PESC) 2020/1999, relativa a misure restrittive contro gravi violazioni e abusi dei diritti umani</w:t>
      </w:r>
      <w:r w:rsidRPr="00540410">
        <w:rPr>
          <w:rStyle w:val="FootnoteReference"/>
        </w:rPr>
        <w:footnoteReference w:id="20"/>
      </w:r>
      <w:r w:rsidRPr="00540410">
        <w:t xml:space="preserve">, che ha prorogato di tre anni, fino all'8 dicembre 2026, il regime </w:t>
      </w:r>
      <w:r w:rsidRPr="00540410">
        <w:lastRenderedPageBreak/>
        <w:t xml:space="preserve">globale di sanzioni dell'UE in materia di diritti umani (legge </w:t>
      </w:r>
      <w:proofErr w:type="spellStart"/>
      <w:r w:rsidRPr="00540410">
        <w:t>Magnitsky</w:t>
      </w:r>
      <w:proofErr w:type="spellEnd"/>
      <w:r w:rsidRPr="00540410">
        <w:t xml:space="preserve"> dell'UE),</w:t>
      </w:r>
    </w:p>
    <w:p w14:paraId="5FCBCCB5" w14:textId="7777777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visto l'articolo 55 del suo regolamento,</w:t>
      </w:r>
    </w:p>
    <w:p w14:paraId="28792135" w14:textId="77777777" w:rsidR="005733D5" w:rsidRPr="00540410" w:rsidRDefault="005733D5" w:rsidP="005733D5">
      <w:pPr>
        <w:pStyle w:val="NormalHanging12a"/>
      </w:pPr>
      <w:r w:rsidRPr="00540410">
        <w:t>–</w:t>
      </w:r>
      <w:r w:rsidRPr="00540410">
        <w:tab/>
        <w:t>vista la relazione della commissione per gli affari esteri (A10-0266/2025),</w:t>
      </w:r>
    </w:p>
    <w:p w14:paraId="49FBC5D8" w14:textId="77777777" w:rsidR="005733D5" w:rsidRPr="00540410" w:rsidRDefault="005733D5" w:rsidP="005733D5">
      <w:pPr>
        <w:pStyle w:val="NormalHanging12a"/>
      </w:pPr>
      <w:r w:rsidRPr="00540410">
        <w:t>A.</w:t>
      </w:r>
      <w:r w:rsidRPr="00540410">
        <w:tab/>
        <w:t>considerando che l'articolo 21 TUE stipula che l'azione dell'Unione si fonda su "democrazia, Stato di diritto, universalità e indivisibilità dei diritti dell'uomo e delle libertà fondamentali, rispetto della dignità umana, principi di uguaglianza e di solidarietà e rispetto dei principi della Carta delle Nazioni Unite e del diritto internazionale";</w:t>
      </w:r>
    </w:p>
    <w:p w14:paraId="5AE1D645" w14:textId="77777777" w:rsidR="005733D5" w:rsidRPr="00540410" w:rsidRDefault="005733D5" w:rsidP="005733D5">
      <w:pPr>
        <w:pStyle w:val="NormalHanging12a"/>
      </w:pPr>
      <w:r w:rsidRPr="00540410">
        <w:t>B.</w:t>
      </w:r>
      <w:r w:rsidRPr="00540410">
        <w:tab/>
        <w:t xml:space="preserve">considerando che la legge </w:t>
      </w:r>
      <w:proofErr w:type="spellStart"/>
      <w:r w:rsidRPr="00540410">
        <w:t>Magnitsky</w:t>
      </w:r>
      <w:proofErr w:type="spellEnd"/>
      <w:r w:rsidRPr="00540410">
        <w:t xml:space="preserve"> dell'UE, adottata nel dicembre 2020, consente all'UE di imporre misure restrittive nei confronti di persone ed entità responsabili di gravi violazioni dei diritti umani in tutto il mondo; che alcuni Stati membri dell'UE hanno adottato una propria legislazione nazionale ispirata alla legge </w:t>
      </w:r>
      <w:proofErr w:type="spellStart"/>
      <w:r w:rsidRPr="00540410">
        <w:t>Magnitsky</w:t>
      </w:r>
      <w:proofErr w:type="spellEnd"/>
      <w:r w:rsidRPr="00540410">
        <w:t xml:space="preserve"> e che tali strumenti costituiscono un'importante integrazione alle sanzioni dell'UE; che gli Stati Uniti, il Canada, il Regno Unito, l'Australia e altri paesi che condividono gli stessi principi hanno adottato regimi di sanzioni analoghi; che la cooperazione e il coordinamento in materia di sanzioni tra paesi affini contribuiscono ad accrescerne l'efficacia;</w:t>
      </w:r>
    </w:p>
    <w:p w14:paraId="24E5F700" w14:textId="0E5C43CC" w:rsidR="005733D5" w:rsidRPr="00540410" w:rsidRDefault="005733D5" w:rsidP="005733D5">
      <w:pPr>
        <w:pStyle w:val="NormalHanging12a"/>
      </w:pPr>
      <w:r w:rsidRPr="00540410">
        <w:t>C.</w:t>
      </w:r>
      <w:r w:rsidRPr="00540410">
        <w:tab/>
        <w:t xml:space="preserve">considerando che la Corte europea dei diritti dell'uomo, in una sentenza unanime emessa da sette giudici il 27 agosto 2019 nella causa </w:t>
      </w:r>
      <w:proofErr w:type="spellStart"/>
      <w:r w:rsidRPr="00540410">
        <w:t>Magnitsky</w:t>
      </w:r>
      <w:proofErr w:type="spellEnd"/>
      <w:r w:rsidRPr="00540410">
        <w:t xml:space="preserve"> et al./Russia (istanze </w:t>
      </w:r>
      <w:proofErr w:type="spellStart"/>
      <w:r w:rsidRPr="00540410">
        <w:t>nn</w:t>
      </w:r>
      <w:proofErr w:type="spellEnd"/>
      <w:r w:rsidRPr="00540410">
        <w:t xml:space="preserve">. 32631/09 e 53799/12), ha ritenuto la Russia responsabile della morte in carcere di Sergei </w:t>
      </w:r>
      <w:proofErr w:type="spellStart"/>
      <w:r w:rsidRPr="00540410">
        <w:t>Magnitsky</w:t>
      </w:r>
      <w:proofErr w:type="spellEnd"/>
      <w:r w:rsidRPr="00540410">
        <w:t xml:space="preserve"> e ha stabilito che questi era stato sottoposto ad atti intenzionali di violenza configuranti un trattamento disumano e degradante; che, nonostante le indagini condotte sulla sua detenzione, sulle torture da lui subite, sulla sua morte e sul procedimento illegale avviato a titolo postumo nei suoi confronti, nessuno è stato ritenuto penalmente responsabile;</w:t>
      </w:r>
    </w:p>
    <w:p w14:paraId="25417DFD" w14:textId="77777777" w:rsidR="005733D5" w:rsidRPr="00540410" w:rsidRDefault="005733D5" w:rsidP="005733D5">
      <w:pPr>
        <w:pStyle w:val="NormalHanging12a"/>
      </w:pPr>
      <w:r w:rsidRPr="00540410">
        <w:t>D.</w:t>
      </w:r>
      <w:r w:rsidRPr="00540410">
        <w:tab/>
        <w:t xml:space="preserve">considerando che, nella sua risoluzione dell'8 luglio 2021 sulla legge </w:t>
      </w:r>
      <w:proofErr w:type="spellStart"/>
      <w:r w:rsidRPr="00540410">
        <w:t>Magnitsky</w:t>
      </w:r>
      <w:proofErr w:type="spellEnd"/>
      <w:r w:rsidRPr="00540410">
        <w:t xml:space="preserve"> dell'UE, il Parlamento si è dichiarato compiaciuto dell'adozione del regime di sanzioni, in quanto integrazione essenziale degli strumenti dell'UE in materia di diritti umani e politica estera;</w:t>
      </w:r>
    </w:p>
    <w:p w14:paraId="5C8B1538" w14:textId="77777777" w:rsidR="005733D5" w:rsidRPr="00540410" w:rsidRDefault="005733D5" w:rsidP="005733D5">
      <w:pPr>
        <w:pStyle w:val="NormalHanging12a"/>
      </w:pPr>
      <w:r w:rsidRPr="00540410">
        <w:t>E.</w:t>
      </w:r>
      <w:r w:rsidRPr="00540410">
        <w:tab/>
        <w:t xml:space="preserve">considerando che la legge </w:t>
      </w:r>
      <w:proofErr w:type="spellStart"/>
      <w:r w:rsidRPr="00540410">
        <w:t>Magnitsky</w:t>
      </w:r>
      <w:proofErr w:type="spellEnd"/>
      <w:r w:rsidRPr="00540410">
        <w:t xml:space="preserve"> dell'UE si applica a un'ampia gamma di violazioni dei diritti umani e che tra le persone e le entità che possono essere iscritte in elenco rientrano autori di violazioni, facilitatori e terzi che forniscono assistenza tecnica o materiale a fini repressivi;</w:t>
      </w:r>
    </w:p>
    <w:p w14:paraId="5EB9FC07" w14:textId="04A18EF4" w:rsidR="005733D5" w:rsidRPr="00540410" w:rsidRDefault="005733D5" w:rsidP="005733D5">
      <w:pPr>
        <w:pStyle w:val="NormalHanging12a"/>
      </w:pPr>
      <w:r w:rsidRPr="00540410">
        <w:t>F.</w:t>
      </w:r>
      <w:r w:rsidRPr="00540410">
        <w:tab/>
        <w:t xml:space="preserve">considerando che la legge </w:t>
      </w:r>
      <w:proofErr w:type="spellStart"/>
      <w:r w:rsidRPr="00540410">
        <w:t>Magnitsky</w:t>
      </w:r>
      <w:proofErr w:type="spellEnd"/>
      <w:r w:rsidRPr="00540410">
        <w:t xml:space="preserve"> dell'UE ha come obiettivo singoli autori di violazioni ed entità, e non ampi settori economici, il che riduce i danni collaterali per la popolazione ed evita di comprometterne l'accesso ai generi alimentari, ai medicinali o ai servizi pubblici; </w:t>
      </w:r>
    </w:p>
    <w:p w14:paraId="20068DF5" w14:textId="44F5CFB4" w:rsidR="005733D5" w:rsidRPr="00540410" w:rsidRDefault="005733D5" w:rsidP="005733D5">
      <w:pPr>
        <w:pStyle w:val="NormalHanging12a"/>
      </w:pPr>
      <w:r w:rsidRPr="00540410">
        <w:t>G.</w:t>
      </w:r>
      <w:r w:rsidRPr="00540410">
        <w:tab/>
        <w:t xml:space="preserve">considerando che la legge </w:t>
      </w:r>
      <w:proofErr w:type="spellStart"/>
      <w:r w:rsidRPr="00540410">
        <w:t>Magnitsky</w:t>
      </w:r>
      <w:proofErr w:type="spellEnd"/>
      <w:r w:rsidRPr="00540410">
        <w:t xml:space="preserve"> dell'UE riguarda anche violazioni o abusi diffusi e preoccupazioni gravi o sistematiche rispetto agli obiettivi della politica estera e di sicurezza comune di cui all'articolo 21 TUE, quali la tortura e altre pene o trattamenti crudeli, disumani o degradanti, la schiavitù, le esecuzioni e le uccisioni extragiudiziali, sommarie o arbitrarie, le sparizioni forzate di persone, gli arresti o le detenzioni </w:t>
      </w:r>
      <w:r w:rsidRPr="00540410">
        <w:lastRenderedPageBreak/>
        <w:t>arbitrari, la tratta di esseri umani, la violenza sessuale e di genere, le violazioni o gli abusi della libertà di riunione pacifica e di associazione, le violazioni o gli abusi della libertà di opinione e di espressione e le violazioni o gli abusi della libertà di religione o di credo;</w:t>
      </w:r>
    </w:p>
    <w:p w14:paraId="3680BBAF" w14:textId="77777777" w:rsidR="005733D5" w:rsidRPr="00540410" w:rsidRDefault="005733D5" w:rsidP="005733D5">
      <w:pPr>
        <w:pStyle w:val="NormalHanging12a"/>
      </w:pPr>
      <w:r w:rsidRPr="00540410">
        <w:t>H.</w:t>
      </w:r>
      <w:r w:rsidRPr="00540410">
        <w:tab/>
        <w:t xml:space="preserve">considerando che le iscrizioni nell'elenco stilato nell'ambito della legge </w:t>
      </w:r>
      <w:proofErr w:type="spellStart"/>
      <w:r w:rsidRPr="00540410">
        <w:t>Magnitsky</w:t>
      </w:r>
      <w:proofErr w:type="spellEnd"/>
      <w:r w:rsidRPr="00540410">
        <w:t xml:space="preserve"> dell'UE costituiscono una forma di riconoscimento internazionale per le vittime di violazioni dei diritti umani;</w:t>
      </w:r>
    </w:p>
    <w:p w14:paraId="03ACED96" w14:textId="252DF48C" w:rsidR="005733D5" w:rsidRPr="00540410" w:rsidRDefault="005733D5" w:rsidP="005733D5">
      <w:pPr>
        <w:pStyle w:val="NormalHanging12a"/>
      </w:pPr>
      <w:r w:rsidRPr="00540410">
        <w:t>I.</w:t>
      </w:r>
      <w:r w:rsidRPr="00540410">
        <w:tab/>
        <w:t xml:space="preserve">considerando che la repressione transnazionale non è ancora stata inclusa nell'elenco delle gravi violazioni dei diritti umani che comportano sanzioni a norma della legge </w:t>
      </w:r>
      <w:proofErr w:type="spellStart"/>
      <w:r w:rsidRPr="00540410">
        <w:t>Magnitsky</w:t>
      </w:r>
      <w:proofErr w:type="spellEnd"/>
      <w:r w:rsidRPr="00540410">
        <w:t xml:space="preserve"> dell'UE;</w:t>
      </w:r>
    </w:p>
    <w:p w14:paraId="1C235222" w14:textId="77777777" w:rsidR="005733D5" w:rsidRPr="00540410" w:rsidRDefault="005733D5" w:rsidP="005733D5">
      <w:pPr>
        <w:pStyle w:val="NormalHanging12a"/>
      </w:pPr>
      <w:r w:rsidRPr="00540410">
        <w:t>J.</w:t>
      </w:r>
      <w:r w:rsidRPr="00540410">
        <w:tab/>
        <w:t>considerando che, in numerose risoluzioni, il Parlamento ha chiesto che gli strumenti sanzionatori siano utilizzati con maggiore flessibilità e frequenza in caso di crimini internazionali fondamentali o di gravi violazioni dei diritti umani;</w:t>
      </w:r>
    </w:p>
    <w:p w14:paraId="1212B680" w14:textId="77777777" w:rsidR="005733D5" w:rsidRPr="00540410" w:rsidRDefault="005733D5" w:rsidP="005733D5">
      <w:pPr>
        <w:pStyle w:val="NormalHanging12a"/>
      </w:pPr>
      <w:r w:rsidRPr="00540410">
        <w:t>K.</w:t>
      </w:r>
      <w:r w:rsidRPr="00540410">
        <w:tab/>
        <w:t xml:space="preserve">considerando che al 4 novembre 2025 erano state effettuate 168 iscrizioni in elenco (131 persone e 37 entità) nell'ambito della legge </w:t>
      </w:r>
      <w:proofErr w:type="spellStart"/>
      <w:r w:rsidRPr="00540410">
        <w:t>Magnitsky</w:t>
      </w:r>
      <w:proofErr w:type="spellEnd"/>
      <w:r w:rsidRPr="00540410">
        <w:t xml:space="preserve"> dell'UE; che l'elenco delle designazioni nell'ambito di tale regime è stato ampliato, ma che non sono disponibili molte informazioni riguardo alla sua incidenza e alla sua efficacia;</w:t>
      </w:r>
    </w:p>
    <w:p w14:paraId="72EFFF4C" w14:textId="77777777" w:rsidR="005733D5" w:rsidRPr="00540410" w:rsidRDefault="005733D5" w:rsidP="005733D5">
      <w:pPr>
        <w:pStyle w:val="NormalHanging12a"/>
      </w:pPr>
      <w:r w:rsidRPr="00540410">
        <w:t>L.</w:t>
      </w:r>
      <w:r w:rsidRPr="00540410">
        <w:tab/>
        <w:t xml:space="preserve">considerando che, nonostante i progressi compiuti, permangono lacune sostanziali nella copertura geografica e tematica degli elenchi transnazionali e nella definizione di parametri di riferimento allineati agli obiettivi delle sanzioni; che, nonostante i numerosi appelli del Parlamento, la corruzione non è ancora considerata un reato ai sensi della legge </w:t>
      </w:r>
      <w:proofErr w:type="spellStart"/>
      <w:r w:rsidRPr="00540410">
        <w:t>Magnitsky</w:t>
      </w:r>
      <w:proofErr w:type="spellEnd"/>
      <w:r w:rsidRPr="00540410">
        <w:t xml:space="preserve"> dell'UE;</w:t>
      </w:r>
    </w:p>
    <w:p w14:paraId="7C220CA7" w14:textId="77777777" w:rsidR="005733D5" w:rsidRPr="00540410" w:rsidRDefault="005733D5" w:rsidP="005733D5">
      <w:pPr>
        <w:pStyle w:val="NormalHanging12a"/>
      </w:pPr>
      <w:r w:rsidRPr="00540410">
        <w:t>M.</w:t>
      </w:r>
      <w:r w:rsidRPr="00540410">
        <w:tab/>
        <w:t>considerando che le iscrizioni in elenco si sono concentrate principalmente su violazioni dell'integrità fisica e dei diritti civili e politici, ai danni in particolare di oppositori politici e attivisti, soprattutto di sesso maschile, in regimi autoritari, piuttosto che su crimini internazionali fondamentali, come il genocidio, o su crimini contro l'umanità e violazioni sistemiche dei diritti socioeconomici;</w:t>
      </w:r>
    </w:p>
    <w:p w14:paraId="414C6139" w14:textId="77777777" w:rsidR="005733D5" w:rsidRPr="00540410" w:rsidRDefault="005733D5" w:rsidP="005733D5">
      <w:pPr>
        <w:pStyle w:val="NormalHanging12a"/>
      </w:pPr>
      <w:r w:rsidRPr="00540410">
        <w:t>N.</w:t>
      </w:r>
      <w:r w:rsidRPr="00540410">
        <w:tab/>
        <w:t>considerando che le iscrizioni in elenco, allo stesso modo delle relazioni strategiche e degli interessi geopolitici dell'UE, si contraddistinguono per una notevole concentrazione geografica, il che fa sì che non si tenga sufficientemente conto di regioni e contesti differenti;</w:t>
      </w:r>
    </w:p>
    <w:p w14:paraId="2A3A999B" w14:textId="77777777" w:rsidR="005733D5" w:rsidRPr="00540410" w:rsidRDefault="005733D5" w:rsidP="005733D5">
      <w:pPr>
        <w:pStyle w:val="NormalHanging12a"/>
      </w:pPr>
      <w:r w:rsidRPr="00540410">
        <w:t>O.</w:t>
      </w:r>
      <w:r w:rsidRPr="00540410">
        <w:tab/>
        <w:t xml:space="preserve">considerando che la riservatezza riguardo alle potenziali iscrizioni o cancellazioni dall'elenco è fondamentale per garantire l'efficacia della legge </w:t>
      </w:r>
      <w:proofErr w:type="spellStart"/>
      <w:r w:rsidRPr="00540410">
        <w:t>Magnitsky</w:t>
      </w:r>
      <w:proofErr w:type="spellEnd"/>
      <w:r w:rsidRPr="00540410">
        <w:t xml:space="preserve"> dell'UE; che il Parlamento dovrebbe esercitare un ruolo in questo processo;</w:t>
      </w:r>
    </w:p>
    <w:p w14:paraId="2523973E" w14:textId="6F0B75A0" w:rsidR="005733D5" w:rsidRPr="00540410" w:rsidRDefault="005733D5" w:rsidP="005733D5">
      <w:pPr>
        <w:pStyle w:val="NormalHanging12a"/>
      </w:pPr>
      <w:r w:rsidRPr="00540410">
        <w:t>P.</w:t>
      </w:r>
      <w:r w:rsidRPr="00540410">
        <w:tab/>
        <w:t xml:space="preserve">considerando che il controllo parlamentare sulla legge </w:t>
      </w:r>
      <w:proofErr w:type="spellStart"/>
      <w:r w:rsidRPr="00540410">
        <w:t>Magnitsky</w:t>
      </w:r>
      <w:proofErr w:type="spellEnd"/>
      <w:r w:rsidRPr="00540410">
        <w:t xml:space="preserve"> dell'UE è necessario per rafforzarne la legittimità; che il Consiglio continua a non tenere in debita considerazione le risoluzioni del Parlamento recanti raccomandazioni riguardo a ulteriori iscrizioni in elenco;</w:t>
      </w:r>
    </w:p>
    <w:p w14:paraId="616DE762" w14:textId="77777777" w:rsidR="005733D5" w:rsidRPr="00540410" w:rsidRDefault="005733D5" w:rsidP="005733D5">
      <w:pPr>
        <w:pStyle w:val="NormalHanging12a"/>
      </w:pPr>
      <w:r w:rsidRPr="00540410">
        <w:t>Q.</w:t>
      </w:r>
      <w:r w:rsidRPr="00540410">
        <w:tab/>
        <w:t xml:space="preserve">considerando che attualmente la legge </w:t>
      </w:r>
      <w:proofErr w:type="spellStart"/>
      <w:r w:rsidRPr="00540410">
        <w:t>Magnitsky</w:t>
      </w:r>
      <w:proofErr w:type="spellEnd"/>
      <w:r w:rsidRPr="00540410">
        <w:t xml:space="preserve"> dell'UE prevede soltanto il congelamento dei beni e il divieto di concessione del visto;</w:t>
      </w:r>
    </w:p>
    <w:p w14:paraId="50528DD7" w14:textId="25AC6201" w:rsidR="005733D5" w:rsidRPr="00540410" w:rsidRDefault="005733D5" w:rsidP="005733D5">
      <w:pPr>
        <w:pStyle w:val="NormalHanging12a"/>
      </w:pPr>
      <w:r w:rsidRPr="00540410">
        <w:t>R.</w:t>
      </w:r>
      <w:r w:rsidRPr="00540410">
        <w:tab/>
        <w:t xml:space="preserve">considerando che l'attuale regime di congelamento dei beni e di divieto di concessione </w:t>
      </w:r>
      <w:r w:rsidRPr="00540410">
        <w:lastRenderedPageBreak/>
        <w:t>del visto potrebbe essere integrato da ulteriori misure, quali restrizioni in relazione ai servizi finanziari, agli appalti pubblici e alla partecipazione a progetti finanziati dall'UE, e che il suo ambito di applicazione dovrebbe essere esteso anche ai familiari diretti dei responsabili di violazioni dei diritti umani;</w:t>
      </w:r>
    </w:p>
    <w:p w14:paraId="0A1858E3" w14:textId="77777777" w:rsidR="005733D5" w:rsidRPr="00540410" w:rsidRDefault="005733D5" w:rsidP="005733D5">
      <w:pPr>
        <w:pStyle w:val="NormalHanging12a"/>
      </w:pPr>
      <w:r w:rsidRPr="00540410">
        <w:t>S.</w:t>
      </w:r>
      <w:r w:rsidRPr="00540410">
        <w:tab/>
        <w:t>considerando che gli orientamenti forniti dalla Commissione rimangono insufficienti a chiarire l'ambito di applicazione del divieto di fornire qualsiasi tipo di sostegno, anche tecnico e materiale, alle persone e alle entità oggetto di sanzioni;</w:t>
      </w:r>
    </w:p>
    <w:p w14:paraId="63169F88" w14:textId="77777777" w:rsidR="005733D5" w:rsidRPr="00540410" w:rsidRDefault="005733D5" w:rsidP="005733D5">
      <w:pPr>
        <w:pStyle w:val="NormalHanging12a"/>
      </w:pPr>
      <w:r w:rsidRPr="00540410">
        <w:t>T.</w:t>
      </w:r>
      <w:r w:rsidRPr="00540410">
        <w:tab/>
        <w:t>considerando che l'esistenza di alcune lacune nell'attuazione, come le clausole derogatorie che consentono i contratti conclusi prima dell'iscrizione in elenco di una persona o un'entità, rende possibile l'elusione delle sanzioni e ne riduce l'efficacia;</w:t>
      </w:r>
    </w:p>
    <w:p w14:paraId="75F2FE8B" w14:textId="77777777" w:rsidR="005733D5" w:rsidRPr="00540410" w:rsidRDefault="005733D5" w:rsidP="005733D5">
      <w:pPr>
        <w:pStyle w:val="NormalHanging12a"/>
      </w:pPr>
      <w:r w:rsidRPr="00540410">
        <w:t>U.</w:t>
      </w:r>
      <w:r w:rsidRPr="00540410">
        <w:tab/>
        <w:t xml:space="preserve">considerando che i regimi di sanzioni geografiche dell'UE in vigore comprendono restrizioni più ampie che potrebbero integrare la legge </w:t>
      </w:r>
      <w:proofErr w:type="spellStart"/>
      <w:r w:rsidRPr="00540410">
        <w:t>Magnitsky</w:t>
      </w:r>
      <w:proofErr w:type="spellEnd"/>
      <w:r w:rsidRPr="00540410">
        <w:t xml:space="preserve"> dell'UE mediante un incrocio di dati;</w:t>
      </w:r>
    </w:p>
    <w:p w14:paraId="061C080C" w14:textId="77777777" w:rsidR="005733D5" w:rsidRPr="00540410" w:rsidRDefault="005733D5" w:rsidP="005733D5">
      <w:pPr>
        <w:pStyle w:val="NormalHanging12a"/>
      </w:pPr>
      <w:r w:rsidRPr="00540410">
        <w:t>V.</w:t>
      </w:r>
      <w:r w:rsidRPr="00540410">
        <w:tab/>
        <w:t xml:space="preserve">considerando che la legge </w:t>
      </w:r>
      <w:proofErr w:type="spellStart"/>
      <w:r w:rsidRPr="00540410">
        <w:t>Magnitsky</w:t>
      </w:r>
      <w:proofErr w:type="spellEnd"/>
      <w:r w:rsidRPr="00540410">
        <w:t xml:space="preserve"> dell'UE si è concentrata principalmente su funzionari di grado inferiore, mentre coloro che detengono il vero potere politico e militare sono spesso rimasti esclusi dalle designazioni;</w:t>
      </w:r>
    </w:p>
    <w:p w14:paraId="7C6D570C" w14:textId="77777777" w:rsidR="005733D5" w:rsidRPr="00540410" w:rsidRDefault="005733D5" w:rsidP="005733D5">
      <w:pPr>
        <w:pStyle w:val="NormalHanging12a"/>
      </w:pPr>
      <w:r w:rsidRPr="00540410">
        <w:t>W.</w:t>
      </w:r>
      <w:r w:rsidRPr="00540410">
        <w:tab/>
        <w:t xml:space="preserve">considerando che finora le iscrizioni nell'elenco stilato nell'ambito della legge </w:t>
      </w:r>
      <w:proofErr w:type="spellStart"/>
      <w:r w:rsidRPr="00540410">
        <w:t>Magnitsky</w:t>
      </w:r>
      <w:proofErr w:type="spellEnd"/>
      <w:r w:rsidRPr="00540410">
        <w:t xml:space="preserve"> dell'UE non hanno riguardato alcun responsabile di crimini internazionali fondamentali riconosciuti dallo Statuto di Roma;</w:t>
      </w:r>
    </w:p>
    <w:p w14:paraId="09B16B63" w14:textId="77777777" w:rsidR="005733D5" w:rsidRPr="00540410" w:rsidRDefault="005733D5" w:rsidP="005733D5">
      <w:pPr>
        <w:pStyle w:val="NormalHanging12a"/>
      </w:pPr>
      <w:r w:rsidRPr="00540410">
        <w:t>X.</w:t>
      </w:r>
      <w:r w:rsidRPr="00540410">
        <w:tab/>
        <w:t>considerando che, in assenza di un meccanismo strutturato che permetta loro di fornire contributi, gli attori della società civile continuano a collaborare in modo informale con le istituzioni dell'UE per proporre nomi da iscrivere in elenco; che il Servizio europeo per l'azione esterna (SEAE) non dispone delle risorse necessarie per valutare, esaminare e trattare le informazioni ricevute;</w:t>
      </w:r>
    </w:p>
    <w:p w14:paraId="76716A89" w14:textId="77777777" w:rsidR="005733D5" w:rsidRPr="00540410" w:rsidRDefault="005733D5" w:rsidP="005733D5">
      <w:pPr>
        <w:pStyle w:val="NormalHanging12a"/>
      </w:pPr>
      <w:r w:rsidRPr="00540410">
        <w:t>Y.</w:t>
      </w:r>
      <w:r w:rsidRPr="00540410">
        <w:tab/>
        <w:t>considerando che una maggiore trasparenza, il coordinamento con i meccanismi di responsabilità e con attori internazionali e paesi che condividono gli stessi principi e l'adozione di elenchi a livello delle Nazioni Unite rafforzerebbero l'efficacia del regime di sanzioni;</w:t>
      </w:r>
    </w:p>
    <w:p w14:paraId="78110519" w14:textId="77777777" w:rsidR="005733D5" w:rsidRPr="00540410" w:rsidRDefault="005733D5" w:rsidP="005733D5">
      <w:pPr>
        <w:pStyle w:val="NormalHanging12a"/>
      </w:pPr>
      <w:r w:rsidRPr="00540410">
        <w:t>Z.</w:t>
      </w:r>
      <w:r w:rsidRPr="00540410">
        <w:tab/>
        <w:t>considerando che alcuni Stati membri non si sono attenuti alle sanzioni dell'UE, consentendo a persone oggetto di sanzioni di entrare nel territorio dell'Unione; che l'inottemperanza al regime di sanzioni nuoce notevolmente alla credibilità dell'UE e compromette l'efficacia dei suoi regimi di sanzioni;</w:t>
      </w:r>
    </w:p>
    <w:p w14:paraId="3FFD8FAF" w14:textId="77777777" w:rsidR="005733D5" w:rsidRPr="00540410" w:rsidRDefault="005733D5" w:rsidP="005733D5">
      <w:pPr>
        <w:pStyle w:val="NormalHanging12a"/>
      </w:pPr>
      <w:r w:rsidRPr="00540410">
        <w:t xml:space="preserve">AA. </w:t>
      </w:r>
      <w:r w:rsidRPr="00540410">
        <w:tab/>
        <w:t>considerando che l'attuazione avviene in gran parte a livello nazionale e che ciascuno Stato membro è responsabile dell'applicazione delle sanzioni sul proprio territorio; che tale situazione rischia di dare origine a vulnerabilità che le persone o le società potrebbero sfruttare per tentare di eludere le sanzioni trasferendo denaro o attività verso Stati membri caratterizzati da un'attuazione più lenta o meno rigorosa; che le istituzioni dell'UE hanno ripetutamente sottolineato la necessità di un'applicazione più uniforme e coordinata per garantire la reale efficacia delle sanzioni;</w:t>
      </w:r>
    </w:p>
    <w:p w14:paraId="7D7E134C" w14:textId="77777777" w:rsidR="005733D5" w:rsidRPr="00540410" w:rsidRDefault="005733D5" w:rsidP="005733D5">
      <w:pPr>
        <w:pStyle w:val="NormalHanging12a"/>
      </w:pPr>
      <w:r w:rsidRPr="00540410">
        <w:t>AB.</w:t>
      </w:r>
      <w:r w:rsidRPr="00540410">
        <w:tab/>
        <w:t xml:space="preserve">considerando che, in numerose risoluzioni, il Parlamento ha chiesto l'introduzione del voto a maggioranza qualificata per l'adozione di sanzioni nel quadro della legge </w:t>
      </w:r>
      <w:proofErr w:type="spellStart"/>
      <w:r w:rsidRPr="00540410">
        <w:t>Magnitsky</w:t>
      </w:r>
      <w:proofErr w:type="spellEnd"/>
      <w:r w:rsidRPr="00540410">
        <w:t xml:space="preserve"> dell'UE;</w:t>
      </w:r>
    </w:p>
    <w:p w14:paraId="68B74BEF" w14:textId="77777777" w:rsidR="005733D5" w:rsidRPr="00540410" w:rsidRDefault="005733D5" w:rsidP="005733D5">
      <w:pPr>
        <w:pStyle w:val="NormalHanging12a"/>
      </w:pPr>
      <w:r w:rsidRPr="00540410">
        <w:lastRenderedPageBreak/>
        <w:t>AC.</w:t>
      </w:r>
      <w:r w:rsidRPr="00540410">
        <w:tab/>
        <w:t xml:space="preserve">considerando che la proroga della legge </w:t>
      </w:r>
      <w:proofErr w:type="spellStart"/>
      <w:r w:rsidRPr="00540410">
        <w:t>Magnitsky</w:t>
      </w:r>
      <w:proofErr w:type="spellEnd"/>
      <w:r w:rsidRPr="00540410">
        <w:t xml:space="preserve"> dell'UE fino al dicembre 2026 rappresenta un'occasione per rivedere il regime;</w:t>
      </w:r>
    </w:p>
    <w:p w14:paraId="5AE8FD71" w14:textId="77777777" w:rsidR="005733D5" w:rsidRPr="00540410" w:rsidRDefault="005733D5" w:rsidP="005733D5">
      <w:pPr>
        <w:pStyle w:val="NormalHanging12a"/>
      </w:pPr>
      <w:r w:rsidRPr="00540410">
        <w:t>1.</w:t>
      </w:r>
      <w:r w:rsidRPr="00540410">
        <w:tab/>
        <w:t xml:space="preserve">ribadisce il proprio sostegno alla legge </w:t>
      </w:r>
      <w:proofErr w:type="spellStart"/>
      <w:r w:rsidRPr="00540410">
        <w:t>Magnitsky</w:t>
      </w:r>
      <w:proofErr w:type="spellEnd"/>
      <w:r w:rsidRPr="00540410">
        <w:t xml:space="preserve"> dell'UE quale strumento indispensabile per promuovere i diritti umani nel mondo e per rafforzare il pacchetto di strumenti dell'UE in materia di diritti umani, data, in particolare, la sua capacità di influire sul comportamento delle persone e delle entità interessate e di contribuire agli sforzi volti a far sì che i responsabili diretti, i facilitatori, gli istigatori e i sostenitori indiretti di gravi violazioni dei diritti umani, nonché coloro che traggono un vantaggio diretto o indiretto da tali violazioni, compresi familiari diretti e partner commerciali, rispondano delle proprie azioni;</w:t>
      </w:r>
      <w:r w:rsidRPr="00540410">
        <w:rPr>
          <w:color w:val="538135" w:themeColor="accent6" w:themeShade="BF"/>
        </w:rPr>
        <w:t xml:space="preserve"> </w:t>
      </w:r>
      <w:r w:rsidRPr="00540410">
        <w:t>sottolinea che lo strumento è concepito in modo tale da non pregiudicare i diritti umani della popolazione;</w:t>
      </w:r>
    </w:p>
    <w:p w14:paraId="374FCE4A" w14:textId="77777777" w:rsidR="005733D5" w:rsidRPr="00540410" w:rsidRDefault="005733D5" w:rsidP="005733D5">
      <w:pPr>
        <w:pStyle w:val="NormalHanging12a"/>
      </w:pPr>
      <w:r w:rsidRPr="00540410">
        <w:t>2.</w:t>
      </w:r>
      <w:r w:rsidRPr="00540410">
        <w:tab/>
        <w:t xml:space="preserve">ribadisce il suo fermo impegno nella lotta contro l'impunità in caso di gravi violazioni e abusi dei diritti umani in tutto il mondo attraverso l'uso efficace degli strumenti e dei mezzi sanzionatori dell'UE esistenti, tra cui la legge </w:t>
      </w:r>
      <w:proofErr w:type="spellStart"/>
      <w:r w:rsidRPr="00540410">
        <w:t>Magnitsky</w:t>
      </w:r>
      <w:proofErr w:type="spellEnd"/>
      <w:r w:rsidRPr="00540410">
        <w:t xml:space="preserve"> dell'UE; ribadisce il suo fermo impegno a favore del sistema giudiziario internazionale, che si trova ad affrontare sfide senza precedenti, tra cui l'imposizione di sanzioni infondate nei confronti di giudici e membri del personale della Corte penale internazionale, alcuni dei quali sono cittadini dell'UE; esorta l'UE, a tale riguardo, ad attivare il suo regolamento di blocco</w:t>
      </w:r>
      <w:r w:rsidRPr="00540410">
        <w:rPr>
          <w:rStyle w:val="FootnoteReference"/>
        </w:rPr>
        <w:footnoteReference w:id="21"/>
      </w:r>
      <w:r w:rsidRPr="00540410">
        <w:t>, al fine di contenere l'impatto di tali sanzioni;</w:t>
      </w:r>
    </w:p>
    <w:p w14:paraId="0BA9B87D" w14:textId="77777777" w:rsidR="005733D5" w:rsidRPr="00540410" w:rsidRDefault="005733D5" w:rsidP="005733D5">
      <w:pPr>
        <w:pStyle w:val="NormalHanging12a"/>
        <w:rPr>
          <w:b/>
          <w:bCs/>
          <w:i/>
          <w:iCs/>
          <w:szCs w:val="24"/>
        </w:rPr>
      </w:pPr>
      <w:r w:rsidRPr="00540410">
        <w:rPr>
          <w:b/>
          <w:i/>
        </w:rPr>
        <w:t>Coerenza delle politiche ed efficacia strategica</w:t>
      </w:r>
    </w:p>
    <w:p w14:paraId="09175174" w14:textId="77777777" w:rsidR="005733D5" w:rsidRPr="00540410" w:rsidRDefault="005733D5" w:rsidP="005733D5">
      <w:pPr>
        <w:pStyle w:val="NormalHanging12a"/>
      </w:pPr>
      <w:r w:rsidRPr="00540410">
        <w:t>3.</w:t>
      </w:r>
      <w:r w:rsidRPr="00540410">
        <w:tab/>
        <w:t xml:space="preserve">invita a effettuare una valutazione d'impatto completa della legge </w:t>
      </w:r>
      <w:proofErr w:type="spellStart"/>
      <w:r w:rsidRPr="00540410">
        <w:t>Magnitsky</w:t>
      </w:r>
      <w:proofErr w:type="spellEnd"/>
      <w:r w:rsidRPr="00540410">
        <w:t xml:space="preserve"> dell'UE e delle sue interazioni con le sanzioni specifiche per paese dell'UE e le altre misure restrittive orizzontali dell'Unione, al fine di esaminarne la coerenza, la proporzionalità e l'efficacia, anche nel modificare il comportamento delle persone e delle entità iscritte in elenco, nonché di individuare le lacune operative e di garantire un'applicazione coerente e strategica a livello mondiale, e chiede che la legge </w:t>
      </w:r>
      <w:proofErr w:type="spellStart"/>
      <w:r w:rsidRPr="00540410">
        <w:t>Magnitsky</w:t>
      </w:r>
      <w:proofErr w:type="spellEnd"/>
      <w:r w:rsidRPr="00540410">
        <w:t xml:space="preserve"> dell'UE sia rivista alla luce dei risultati di tale valutazione d'impatto;</w:t>
      </w:r>
    </w:p>
    <w:p w14:paraId="5E9C91E6" w14:textId="77777777" w:rsidR="005733D5" w:rsidRPr="00540410" w:rsidRDefault="005733D5" w:rsidP="005733D5">
      <w:pPr>
        <w:pStyle w:val="NormalHanging12a"/>
      </w:pPr>
      <w:r w:rsidRPr="00540410">
        <w:t>4.</w:t>
      </w:r>
      <w:r w:rsidRPr="00540410">
        <w:tab/>
        <w:t xml:space="preserve">chiede una revisione continua e sistematica, almeno ogni 12 mesi, delle iscrizioni nell'elenco stilato nell'ambito della legge </w:t>
      </w:r>
      <w:proofErr w:type="spellStart"/>
      <w:r w:rsidRPr="00540410">
        <w:t>Magnitsky</w:t>
      </w:r>
      <w:proofErr w:type="spellEnd"/>
      <w:r w:rsidRPr="00540410">
        <w:t xml:space="preserve"> dell'UE, al fine di garantirne la coerenza, la proporzionalità e la conformità con le informazioni e le decisioni giudiziarie più recenti;</w:t>
      </w:r>
    </w:p>
    <w:p w14:paraId="37961EB0" w14:textId="77777777" w:rsidR="005733D5" w:rsidRPr="00540410" w:rsidRDefault="005733D5" w:rsidP="005733D5">
      <w:pPr>
        <w:pStyle w:val="NormalHanging12a"/>
      </w:pPr>
      <w:r w:rsidRPr="00540410">
        <w:t>5.</w:t>
      </w:r>
      <w:r w:rsidRPr="00540410">
        <w:tab/>
        <w:t>ritiene che dovrebbero essere messe a disposizione maggiori informazioni riguardo ai criteri di cancellazione dall'elenco, al fine di migliorare la chiarezza giuridica, il rispetto delle garanzie procedurali, la trasparenza e l'assunzione di responsabilità;</w:t>
      </w:r>
    </w:p>
    <w:p w14:paraId="152422A0" w14:textId="77777777" w:rsidR="005733D5" w:rsidRPr="00540410" w:rsidRDefault="005733D5" w:rsidP="005733D5">
      <w:pPr>
        <w:pStyle w:val="NormalHanging12a"/>
      </w:pPr>
      <w:r w:rsidRPr="00540410">
        <w:t>6.</w:t>
      </w:r>
      <w:r w:rsidRPr="00540410">
        <w:tab/>
        <w:t xml:space="preserve">ribadisce l'importanza del fatto che la legge </w:t>
      </w:r>
      <w:proofErr w:type="spellStart"/>
      <w:r w:rsidRPr="00540410">
        <w:t>Magnitsky</w:t>
      </w:r>
      <w:proofErr w:type="spellEnd"/>
      <w:r w:rsidRPr="00540410">
        <w:t xml:space="preserve"> dell'UE sia coerente con le misure specifiche per paese e quelle restrittive orizzontali, con le misure settoriali e con gli embarghi sulle armi dell'UE, nonché con i quadri internazionali esistenti in materia di sanzioni, e che funga da loro complemento;</w:t>
      </w:r>
    </w:p>
    <w:p w14:paraId="2651220D" w14:textId="613882F9" w:rsidR="005733D5" w:rsidRPr="00540410" w:rsidRDefault="005733D5" w:rsidP="005733D5">
      <w:pPr>
        <w:pStyle w:val="NormalHanging12a"/>
      </w:pPr>
      <w:r w:rsidRPr="00540410">
        <w:t>7.</w:t>
      </w:r>
      <w:r w:rsidRPr="00540410">
        <w:tab/>
        <w:t xml:space="preserve">incoraggia il Consiglio a cercare di allineare l'elenco stilato nell'ambito della legge </w:t>
      </w:r>
      <w:proofErr w:type="spellStart"/>
      <w:r w:rsidRPr="00540410">
        <w:lastRenderedPageBreak/>
        <w:t>Magnitsky</w:t>
      </w:r>
      <w:proofErr w:type="spellEnd"/>
      <w:r w:rsidRPr="00540410">
        <w:t xml:space="preserve"> dell'UE agli elenchi delle sanzioni dei partner che condividono gli stessi principi, in particolare i membri del G7, nonché del Consiglio di sicurezza delle Nazioni Unite, laddove ciò sia possibile dal punto di vista politico e giuridico, al fine di rafforzare la legittimità e l'efficacia a livello mondiale;</w:t>
      </w:r>
    </w:p>
    <w:p w14:paraId="119422F8" w14:textId="77777777" w:rsidR="005733D5" w:rsidRPr="00540410" w:rsidRDefault="005733D5" w:rsidP="005733D5">
      <w:pPr>
        <w:pStyle w:val="NormalHanging12a"/>
      </w:pPr>
      <w:r w:rsidRPr="00540410">
        <w:t>8.</w:t>
      </w:r>
      <w:r w:rsidRPr="00540410">
        <w:tab/>
        <w:t xml:space="preserve">invita la Commissione e gli Stati membri a rafforzare le sinergie tra la legge </w:t>
      </w:r>
      <w:proofErr w:type="spellStart"/>
      <w:r w:rsidRPr="00540410">
        <w:t>Magnitsky</w:t>
      </w:r>
      <w:proofErr w:type="spellEnd"/>
      <w:r w:rsidRPr="00540410">
        <w:t xml:space="preserve"> dell'UE e i meccanismi internazionali di responsabilità, quali le Nazioni Unite, la Corte penale internazionale e i tribunali regionali per i diritti umani, al fine di migliorare l'efficacia delle misure dell'UE volte a contrastare le gravi violazioni dei diritti umani;</w:t>
      </w:r>
    </w:p>
    <w:p w14:paraId="7B0E3A30" w14:textId="77777777" w:rsidR="005733D5" w:rsidRPr="00540410" w:rsidRDefault="005733D5" w:rsidP="005733D5">
      <w:pPr>
        <w:pStyle w:val="NormalHanging12a"/>
      </w:pPr>
      <w:r w:rsidRPr="00540410">
        <w:t>9.</w:t>
      </w:r>
      <w:r w:rsidRPr="00540410">
        <w:tab/>
        <w:t xml:space="preserve">sottolinea che è importante che i paesi candidati all'adesione all'UE e i potenziali paesi candidati si allineino alla legge </w:t>
      </w:r>
      <w:proofErr w:type="spellStart"/>
      <w:r w:rsidRPr="00540410">
        <w:t>Magnitsky</w:t>
      </w:r>
      <w:proofErr w:type="spellEnd"/>
      <w:r w:rsidRPr="00540410">
        <w:t xml:space="preserve"> dell'UE, coerentemente con il loro più ampio allineamento alla politica estera e di sicurezza comune dell'UE;</w:t>
      </w:r>
    </w:p>
    <w:p w14:paraId="6BDB492F" w14:textId="77777777" w:rsidR="005733D5" w:rsidRPr="00540410" w:rsidRDefault="005733D5" w:rsidP="005733D5">
      <w:pPr>
        <w:pStyle w:val="NormalHanging12a"/>
      </w:pPr>
      <w:r w:rsidRPr="00540410">
        <w:t>10.</w:t>
      </w:r>
      <w:r w:rsidRPr="00540410">
        <w:tab/>
        <w:t xml:space="preserve">sostiene pienamente l'imposizione di sanzioni anticorruzione mirate nel quadro dell'UE, che costituiscono una priorità di lunga data del Parlamento, sia ciò attraverso la sua inclusione nella legge </w:t>
      </w:r>
      <w:proofErr w:type="spellStart"/>
      <w:r w:rsidRPr="00540410">
        <w:t>Magnitsky</w:t>
      </w:r>
      <w:proofErr w:type="spellEnd"/>
      <w:r w:rsidRPr="00540410">
        <w:t xml:space="preserve"> dell'UE o nell'ambito di un diverso regime; raccomanda di estendere l'ambito di applicazione del regime ai casi di corruzione su vasta scala e di abuso degli appalti pubblici che sostengono direttamente regimi autoritari, stabilendo così un legame tra violazioni dei diritti umani e pratiche cleptocratiche; sottolinea pertanto che le sanzioni anticorruzione dovrebbero tenere conto del più ampio contesto sistemico ed essere strettamente correlate a strategie globali nei confronti dei pertinenti attori; si compiace che la Commissione abbia presentato una proposta relativa a un regime di sanzioni anticorruzione; si rammarica che alcuni Stati membri abbiano bloccato il fascicolo in seno al Consiglio;</w:t>
      </w:r>
    </w:p>
    <w:p w14:paraId="569372C1" w14:textId="500576A7" w:rsidR="005733D5" w:rsidRPr="00540410" w:rsidRDefault="005733D5" w:rsidP="005733D5">
      <w:pPr>
        <w:pStyle w:val="NormalHanging12a"/>
      </w:pPr>
      <w:r w:rsidRPr="00540410">
        <w:t>11.</w:t>
      </w:r>
      <w:r w:rsidRPr="00540410">
        <w:tab/>
        <w:t xml:space="preserve">sottolinea che la legge </w:t>
      </w:r>
      <w:proofErr w:type="spellStart"/>
      <w:r w:rsidRPr="00540410">
        <w:t>Magnitsky</w:t>
      </w:r>
      <w:proofErr w:type="spellEnd"/>
      <w:r w:rsidRPr="00540410">
        <w:t xml:space="preserve"> dell'UE dovrebbe riguardare anche le violazioni dei diritti umani rese possibili grazie alla sorveglianza digitale, alle esportazioni di spyware e ad altre tecnologie utilizzate a fini repressivi, nonché gli atti deliberati di distruzione ambientale con il chiaro intento di arrecare danno alla popolazione civile; chiede l'esplicita iscrizione in elenco delle persone coinvolte in simili abusi;</w:t>
      </w:r>
    </w:p>
    <w:p w14:paraId="71A6387E" w14:textId="7CA5C998" w:rsidR="005733D5" w:rsidRPr="00540410" w:rsidRDefault="005733D5" w:rsidP="005733D5">
      <w:pPr>
        <w:pStyle w:val="NormalHanging12a"/>
      </w:pPr>
      <w:r w:rsidRPr="00540410">
        <w:t>12.</w:t>
      </w:r>
      <w:r w:rsidRPr="00540410">
        <w:tab/>
        <w:t xml:space="preserve">si compiace che la legge </w:t>
      </w:r>
      <w:proofErr w:type="spellStart"/>
      <w:r w:rsidRPr="00540410">
        <w:t>Magnitsky</w:t>
      </w:r>
      <w:proofErr w:type="spellEnd"/>
      <w:r w:rsidRPr="00540410">
        <w:t xml:space="preserve"> dell'UE sia stata recentemente applicata nei confronti degli attori responsabili della repressione transnazionale dei dissidenti e dei difensori dei diritti umani e chiede che siano effettuate maggiori iscrizioni in elenco per rispecchiare questa tendenza crescente a livello globale e per valutare sistematicamente gli atti di repressione transnazionale, tra cui la sorveglianza digitale, le vessazioni nei confronti degli esuli, le intimidazioni transfrontaliere, la disinformazione e gli abusi giuridici; invita il Consiglio ad adottare una definizione operativa di "repressione transnazionale" che garantisca sanzioni coerenti, anche nei confronti di mandatari non statali quali società di sicurezza private e organizzazioni della diaspora; invita l'UE a intensificare l'adozione di sanzioni nei confronti di persone ed entità che sono state credibilmente dimostrate responsabili di atti di repressione transnazionale contro i difensori dei diritti umani, comprese vessazioni nei confronti di parenti, attacchi digitali e intimidazioni all'estero;</w:t>
      </w:r>
    </w:p>
    <w:p w14:paraId="10D22693" w14:textId="5A2A3A43" w:rsidR="005733D5" w:rsidRPr="00540410" w:rsidRDefault="005733D5" w:rsidP="005733D5">
      <w:pPr>
        <w:pStyle w:val="NormalHanging12a"/>
      </w:pPr>
      <w:r w:rsidRPr="00540410">
        <w:t>13.</w:t>
      </w:r>
      <w:r w:rsidRPr="00540410">
        <w:tab/>
        <w:t>esorta gli Stati membri ad astenersi dall'intraprendere azioni politiche o diplomatiche bilaterali che compromettano il loro impegno a favore dei meccanismi internazionali di giustizia penale, compreso lo Statuto di Roma, nonché a favore della difesa dei diritti umani, o che contraddicano la posizione unitaria dell'UE in materia di sanzioni; incarica la vicepresidente della Commissione</w:t>
      </w:r>
      <w:r w:rsidR="00442B9D" w:rsidRPr="00540410">
        <w:t> </w:t>
      </w:r>
      <w:r w:rsidRPr="00540410">
        <w:t>/</w:t>
      </w:r>
      <w:r w:rsidR="00442B9D" w:rsidRPr="00540410">
        <w:t> </w:t>
      </w:r>
      <w:r w:rsidRPr="00540410">
        <w:t xml:space="preserve">alta rappresentante dell'Unione per gli affari </w:t>
      </w:r>
      <w:r w:rsidRPr="00540410">
        <w:lastRenderedPageBreak/>
        <w:t>esteri e la politica di sicurezza, qualora la presente raccomandazione non sia tenuta in considerazione, di sollecitare gli Stati membri interessati ad allineare le loro azioni e a mantenere la coesione dell'UE; invita gli Stati membri a rafforzare il coordinamento e a servirsi dei propri strumenti, quali la giurisdizione universale e le sanzioni nazionali, a condizione che li applichino in modo coordinato a sostegno degli obiettivi comuni dell'Unione, in modo da apportare cambiamenti significativi e contribuire al conseguimento degli obiettivi delle sanzioni dell'Unione;</w:t>
      </w:r>
    </w:p>
    <w:p w14:paraId="691E7EFC" w14:textId="77777777" w:rsidR="005733D5" w:rsidRPr="00540410" w:rsidRDefault="005733D5" w:rsidP="005733D5">
      <w:pPr>
        <w:pStyle w:val="NormalHanging12a"/>
      </w:pPr>
      <w:r w:rsidRPr="00540410">
        <w:t>14.</w:t>
      </w:r>
      <w:r w:rsidRPr="00540410">
        <w:tab/>
        <w:t>condanna il fatto che alcuni Stati membri non abbiano rispettato le sanzioni dell'UE consentendo a persone oggetto di sanzioni di entrare nel territorio dell'Unione, pregiudicando così la credibilità e l'efficacia delle sanzioni stesse; esorta tutti gli Stati membri a rispettare pienamente e incondizionatamente le sanzioni dell'UE; invita la Commissione, in quanto custode dei trattati, a garantire che gli Stati membri dell'UE si attengano alle sanzioni e ad affrontare con rigore e senza discriminazioni qualsiasi caso di inosservanza;</w:t>
      </w:r>
    </w:p>
    <w:p w14:paraId="51FA827B" w14:textId="7F33BFC1" w:rsidR="005733D5" w:rsidRPr="00540410" w:rsidRDefault="005733D5" w:rsidP="005733D5">
      <w:pPr>
        <w:pStyle w:val="NormalHanging12a"/>
      </w:pPr>
      <w:r w:rsidRPr="00540410">
        <w:t>15.</w:t>
      </w:r>
      <w:r w:rsidRPr="00540410">
        <w:tab/>
        <w:t>sottolinea che le misure restrittive dell'UE possono essere pienamente efficaci solo se interpretate, applicate e attuate in modo coerente, rapido e uniforme in tutti gli Stati membri; prende atto delle differenze esistenti tra gli Stati membri in termini di quadri giuridici, strutture amministrative e risorse operative per l'applicazione delle sanzioni; invita pertanto la Commissione e gli Stati membri ad adottare le misure necessarie per garantire un'applicazione più armonizzata e coordinata, anche potenziando le capacità di congelamento dei beni, migliorando lo scambio di informazioni e sviluppando meccanismi congiunti di monitoraggio e applicazione a livello dell'UE;</w:t>
      </w:r>
    </w:p>
    <w:p w14:paraId="126C88F8" w14:textId="77777777" w:rsidR="005733D5" w:rsidRPr="00540410" w:rsidRDefault="005733D5" w:rsidP="005733D5">
      <w:pPr>
        <w:pStyle w:val="NormalHanging12a"/>
      </w:pPr>
      <w:r w:rsidRPr="00540410">
        <w:t>16.</w:t>
      </w:r>
      <w:r w:rsidRPr="00540410">
        <w:tab/>
        <w:t xml:space="preserve">esorta il SEAE a individuare soluzioni legali per mobilitare gli interessi derivanti dai beni congelati delle persone oggetto di sanzioni nell'ambito della legge </w:t>
      </w:r>
      <w:proofErr w:type="spellStart"/>
      <w:r w:rsidRPr="00540410">
        <w:t>Magnitsky</w:t>
      </w:r>
      <w:proofErr w:type="spellEnd"/>
      <w:r w:rsidRPr="00540410">
        <w:t xml:space="preserve"> dell'UE, affinché possano essere utilizzate a beneficio delle vittime delle gravi violazioni dei diritti umani commesse dalle persone oggetto di sanzioni; incoraggia inoltre l'Unione a valutare la possibilità di definire una procedura specifica per quanto riguarda i proventi illeciti;</w:t>
      </w:r>
    </w:p>
    <w:p w14:paraId="68CF553A" w14:textId="77777777" w:rsidR="005733D5" w:rsidRPr="00540410" w:rsidRDefault="005733D5" w:rsidP="005733D5">
      <w:pPr>
        <w:pStyle w:val="NormalHanging12a"/>
      </w:pPr>
      <w:r w:rsidRPr="00540410">
        <w:t>17.</w:t>
      </w:r>
      <w:r w:rsidRPr="00540410">
        <w:tab/>
        <w:t xml:space="preserve">accoglie con grande favore l'adozione, da parte del Consiglio, di pacchetti tematici di sanzioni nel quadro della legge </w:t>
      </w:r>
      <w:proofErr w:type="spellStart"/>
      <w:r w:rsidRPr="00540410">
        <w:t>Magnitsky</w:t>
      </w:r>
      <w:proofErr w:type="spellEnd"/>
      <w:r w:rsidRPr="00540410">
        <w:t xml:space="preserve"> dell'UE; esorta il Consiglio </w:t>
      </w:r>
      <w:proofErr w:type="gramStart"/>
      <w:r w:rsidRPr="00540410">
        <w:t>ad</w:t>
      </w:r>
      <w:proofErr w:type="gramEnd"/>
      <w:r w:rsidRPr="00540410">
        <w:t xml:space="preserve"> adottare in modo sistematico e proattivo misure mirate analoghe per contrastare altre violazioni specifiche e gravi dei diritti umani, tra cui la tortura, le sparizioni forzate, le detenzioni arbitrarie e la repressione della società civile e dei difensori dei diritti umani;</w:t>
      </w:r>
    </w:p>
    <w:p w14:paraId="750588AE" w14:textId="7F5052E9" w:rsidR="005733D5" w:rsidRPr="00540410" w:rsidRDefault="005733D5" w:rsidP="005733D5">
      <w:pPr>
        <w:pStyle w:val="NormalHanging12a"/>
        <w:rPr>
          <w:bCs/>
          <w:iCs/>
        </w:rPr>
      </w:pPr>
      <w:r w:rsidRPr="00540410">
        <w:t>18.</w:t>
      </w:r>
      <w:r w:rsidRPr="00540410">
        <w:tab/>
        <w:t>invita nuovamente il Consiglio a passare gradualmente al voto a maggioranza qualificata per le decisioni nell'ambito della politica estera e di sicurezza comune che non hanno implicazioni nel settore militare o della difesa, come le sanzioni;</w:t>
      </w:r>
    </w:p>
    <w:p w14:paraId="705969A7" w14:textId="77777777" w:rsidR="005733D5" w:rsidRPr="00540410" w:rsidRDefault="005733D5" w:rsidP="005733D5">
      <w:pPr>
        <w:pStyle w:val="NormalHanging12a"/>
        <w:rPr>
          <w:b/>
          <w:bCs/>
          <w:i/>
          <w:iCs/>
          <w:szCs w:val="24"/>
        </w:rPr>
      </w:pPr>
      <w:r w:rsidRPr="00540410">
        <w:rPr>
          <w:b/>
          <w:i/>
        </w:rPr>
        <w:t>Rafforzamento della lotta contro l'impunità</w:t>
      </w:r>
    </w:p>
    <w:p w14:paraId="313721FB" w14:textId="77777777" w:rsidR="005733D5" w:rsidRPr="00540410" w:rsidRDefault="005733D5" w:rsidP="005733D5">
      <w:pPr>
        <w:pStyle w:val="NormalHanging12a"/>
      </w:pPr>
      <w:r w:rsidRPr="00540410">
        <w:t>19.</w:t>
      </w:r>
      <w:r w:rsidRPr="00540410">
        <w:tab/>
        <w:t>chiede che il regime di sanzioni dell'UE sia coerente con il diritto penale internazionale, il diritto internazionale umanitario e le politiche dell'UE relative allo Stato di diritto e alle libertà fondamentali e che funga da loro complemento, con l'obiettivo di rafforzare la lotta contro l'impunità in tutto il mondo;</w:t>
      </w:r>
    </w:p>
    <w:p w14:paraId="2B1F6CD5" w14:textId="77777777" w:rsidR="005733D5" w:rsidRPr="00540410" w:rsidRDefault="005733D5" w:rsidP="005733D5">
      <w:pPr>
        <w:pStyle w:val="NormalHanging12a"/>
      </w:pPr>
      <w:r w:rsidRPr="00540410">
        <w:t>20.</w:t>
      </w:r>
      <w:r w:rsidRPr="00540410">
        <w:tab/>
        <w:t xml:space="preserve">esorta l'UE ad allineare strategicamente l'elenco stilato nel quadro della legge </w:t>
      </w:r>
      <w:proofErr w:type="spellStart"/>
      <w:r w:rsidRPr="00540410">
        <w:t>Magnitsky</w:t>
      </w:r>
      <w:proofErr w:type="spellEnd"/>
      <w:r w:rsidRPr="00540410">
        <w:t xml:space="preserve"> dell'UE agli sforzi nazionali e internazionali in materia di giustizia penale, </w:t>
      </w:r>
      <w:r w:rsidRPr="00540410">
        <w:lastRenderedPageBreak/>
        <w:t>anche mediante l'iscrizione in elenco delle persone incriminate da tribunali internazionali, come la Corte penale internazionale, degli autori di crimini internazionali fondamentali e degli altri attori che ostacolano tali processi di assunzione di responsabilità;</w:t>
      </w:r>
    </w:p>
    <w:p w14:paraId="6F9EE844" w14:textId="77777777" w:rsidR="005733D5" w:rsidRPr="00540410" w:rsidRDefault="005733D5" w:rsidP="005733D5">
      <w:pPr>
        <w:pStyle w:val="NormalHanging12a"/>
      </w:pPr>
      <w:r w:rsidRPr="00540410">
        <w:t>21.</w:t>
      </w:r>
      <w:r w:rsidRPr="00540410">
        <w:tab/>
        <w:t>sottolinea che le sanzioni dovrebbero anche servire a garantire che gli autori di gravi violazioni dei diritti umani e di atti di corruzione non rimangano anonimi, rendendo così noti i responsabili;</w:t>
      </w:r>
    </w:p>
    <w:p w14:paraId="3E415E15" w14:textId="77777777" w:rsidR="005733D5" w:rsidRPr="00540410" w:rsidRDefault="005733D5" w:rsidP="005733D5">
      <w:pPr>
        <w:pStyle w:val="NormalHanging12a"/>
      </w:pPr>
      <w:r w:rsidRPr="00540410">
        <w:t>22.</w:t>
      </w:r>
      <w:r w:rsidRPr="00540410">
        <w:tab/>
        <w:t xml:space="preserve">esorta il Consiglio a garantire che tutte le regioni del mondo siano soggette allo stesso livello di controllo e impegno e a correggere gli squilibri geografici e tematici esistenti nell'elenco stilato nell'ambito della legge </w:t>
      </w:r>
      <w:proofErr w:type="spellStart"/>
      <w:r w:rsidRPr="00540410">
        <w:t>Magnitsky</w:t>
      </w:r>
      <w:proofErr w:type="spellEnd"/>
      <w:r w:rsidRPr="00540410">
        <w:t xml:space="preserve"> dell'UE, estendendo quest'ultimo al di là dell'attuale concentrazione geografica a tutte le persone ed entità responsabili di gravi violazioni dei diritti umani, a prescindere dal loro paese di origine;</w:t>
      </w:r>
    </w:p>
    <w:p w14:paraId="6CC31C53" w14:textId="4789A1F7" w:rsidR="005733D5" w:rsidRPr="00540410" w:rsidRDefault="005733D5" w:rsidP="005733D5">
      <w:pPr>
        <w:pStyle w:val="NormalHanging12a"/>
      </w:pPr>
      <w:r w:rsidRPr="00540410">
        <w:t>23.</w:t>
      </w:r>
      <w:r w:rsidRPr="00540410">
        <w:tab/>
        <w:t>incoraggia il Consiglio a prestare particolare attenzione a violazioni quali la violenza sessuale e di genere, le politiche discriminatorie e la persecuzione delle donne leader, delle giornaliste e delle attiviste, affinché tali categorie siano tenute in debita considerazione nelle future iscrizioni in elenco;</w:t>
      </w:r>
    </w:p>
    <w:p w14:paraId="14228E0C" w14:textId="06175B2C" w:rsidR="005733D5" w:rsidRPr="00540410" w:rsidRDefault="005733D5" w:rsidP="005733D5">
      <w:pPr>
        <w:pStyle w:val="NormalHanging12a"/>
      </w:pPr>
      <w:r w:rsidRPr="00540410">
        <w:t>24.</w:t>
      </w:r>
      <w:r w:rsidRPr="00540410">
        <w:tab/>
        <w:t xml:space="preserve">osserva che una percentuale significativa delle persone finora oggetto di sanzioni nel quadro della legge </w:t>
      </w:r>
      <w:proofErr w:type="spellStart"/>
      <w:r w:rsidRPr="00540410">
        <w:t>Magnitsky</w:t>
      </w:r>
      <w:proofErr w:type="spellEnd"/>
      <w:r w:rsidRPr="00540410">
        <w:t xml:space="preserve"> dell'UE era parte dell'apparato repressivo dello Stato, ma non prendeva decisioni, mentre solo una minoranza delle persone iscritte in elenco ricopriva incarichi di leadership politica o militare; esorta il Consiglio a estendere le designazioni al di là di quelle di basso livello nell'ottica di includere i leader politici e militari, colpendo così i responsabili delle decisioni che hanno condotto a gravi violazioni dei diritti umani;</w:t>
      </w:r>
    </w:p>
    <w:p w14:paraId="0CB0196F" w14:textId="77777777" w:rsidR="005733D5" w:rsidRPr="00540410" w:rsidRDefault="005733D5" w:rsidP="005733D5">
      <w:pPr>
        <w:pStyle w:val="NormalHanging12a"/>
      </w:pPr>
      <w:r w:rsidRPr="00540410">
        <w:t>25.</w:t>
      </w:r>
      <w:r w:rsidRPr="00540410">
        <w:tab/>
        <w:t xml:space="preserve">chiede una comunicazione più intensa ed efficace in merito alle sanzioni imposte a riconferma della posizione globale dell'UE sui diritti umani e sulla lotta contro l'impunità, dal momento che in alcuni casi le persone oggetto di sanzioni sono dipinte come eroi dalla propaganda nazionale e sono addirittura premiate dai regimi repressivi; osserva che l'effetto deterrente della legge </w:t>
      </w:r>
      <w:proofErr w:type="spellStart"/>
      <w:r w:rsidRPr="00540410">
        <w:t>Magnitsky</w:t>
      </w:r>
      <w:proofErr w:type="spellEnd"/>
      <w:r w:rsidRPr="00540410">
        <w:t xml:space="preserve"> dell'UE è particolarmente efficace nei confronti di persone ed entità che possiedono beni nell'UE o che dispongono dei mezzi per recarvisi;</w:t>
      </w:r>
    </w:p>
    <w:p w14:paraId="5ACC7E34" w14:textId="77777777" w:rsidR="005733D5" w:rsidRPr="00540410" w:rsidRDefault="005733D5" w:rsidP="005733D5">
      <w:pPr>
        <w:pStyle w:val="NormalHanging12a"/>
      </w:pPr>
      <w:r w:rsidRPr="00540410">
        <w:t>26.</w:t>
      </w:r>
      <w:r w:rsidRPr="00540410">
        <w:tab/>
        <w:t xml:space="preserve">condanna qualsiasi </w:t>
      </w:r>
      <w:proofErr w:type="spellStart"/>
      <w:r w:rsidRPr="00540410">
        <w:t>controsanzione</w:t>
      </w:r>
      <w:proofErr w:type="spellEnd"/>
      <w:r w:rsidRPr="00540410">
        <w:t xml:space="preserve"> imposta all'UE, alle sue istituzioni e ai suoi Stati membri, organi o cittadini unicamente per aver promosso e difeso i diritti umani, la democrazia e lo Stato di diritto attraverso la legge </w:t>
      </w:r>
      <w:proofErr w:type="spellStart"/>
      <w:r w:rsidRPr="00540410">
        <w:t>Magnitsky</w:t>
      </w:r>
      <w:proofErr w:type="spellEnd"/>
      <w:r w:rsidRPr="00540410">
        <w:t xml:space="preserve"> dell'UE;</w:t>
      </w:r>
    </w:p>
    <w:p w14:paraId="72128AA5" w14:textId="77777777" w:rsidR="005733D5" w:rsidRPr="00540410" w:rsidRDefault="005733D5" w:rsidP="005733D5">
      <w:pPr>
        <w:pStyle w:val="NormalHanging12a"/>
        <w:rPr>
          <w:b/>
          <w:bCs/>
          <w:i/>
          <w:iCs/>
          <w:szCs w:val="24"/>
        </w:rPr>
      </w:pPr>
      <w:r w:rsidRPr="00540410">
        <w:rPr>
          <w:b/>
          <w:i/>
        </w:rPr>
        <w:t>Trasparenza, assunzione di responsabilità e ruolo della società civile</w:t>
      </w:r>
    </w:p>
    <w:p w14:paraId="4C5DE283" w14:textId="77777777" w:rsidR="005733D5" w:rsidRPr="00540410" w:rsidRDefault="005733D5" w:rsidP="005733D5">
      <w:pPr>
        <w:pStyle w:val="NormalHanging12a"/>
      </w:pPr>
      <w:r w:rsidRPr="00540410">
        <w:t>27.</w:t>
      </w:r>
      <w:r w:rsidRPr="00540410">
        <w:tab/>
        <w:t>raccomanda una maggiore trasparenza e chiari orientamenti nel processo sanzionatorio, sempre nel rispetto del diritto delle persone iscritte in elenco a un controllo giurisdizionale effettivo;</w:t>
      </w:r>
    </w:p>
    <w:p w14:paraId="48C79E1F" w14:textId="77777777" w:rsidR="005733D5" w:rsidRPr="00540410" w:rsidRDefault="005733D5" w:rsidP="005733D5">
      <w:pPr>
        <w:pStyle w:val="NormalHanging12a"/>
      </w:pPr>
      <w:r w:rsidRPr="00540410">
        <w:t>28.</w:t>
      </w:r>
      <w:r w:rsidRPr="00540410">
        <w:tab/>
        <w:t>raccomanda che i cambiamenti comportamentali costanti, dimostrabili, autentici e duraturi delle persone e delle entità iscritte in elenco, come la cooperazione continua con i meccanismi giudiziari internazionali, siano formalmente riconosciuti come criterio di cancellazione dall'elenco, in modo da incentivare l'assunzione di responsabilità e la conformità;</w:t>
      </w:r>
    </w:p>
    <w:p w14:paraId="2D09DFA2" w14:textId="77777777" w:rsidR="005733D5" w:rsidRPr="00540410" w:rsidRDefault="005733D5" w:rsidP="005733D5">
      <w:pPr>
        <w:pStyle w:val="NormalHanging12a"/>
      </w:pPr>
      <w:r w:rsidRPr="00540410">
        <w:lastRenderedPageBreak/>
        <w:t>29.</w:t>
      </w:r>
      <w:r w:rsidRPr="00540410">
        <w:tab/>
        <w:t>propone l'introduzione di un meccanismo di consultazione strutturato e trasparente per la trasmissione di segnalazioni da parte della società civile e il suo coinvolgimento nel processo sanzionatorio, corredata da misure di protezione per gli informatori, compresa l'istituzione di un punto di contatto dedicato del SEAE; raccomanda la creazione di una finestra di bilancio per rafforzare la capacità del SEAE di valutare, esaminare e trattare sistematicamente le informazioni e le proposte della società civile, nonché di darvi seguito;</w:t>
      </w:r>
    </w:p>
    <w:p w14:paraId="6ED5118E" w14:textId="0C52604F" w:rsidR="005733D5" w:rsidRPr="00540410" w:rsidRDefault="005733D5" w:rsidP="005733D5">
      <w:pPr>
        <w:pStyle w:val="NormalHanging12a"/>
      </w:pPr>
      <w:r w:rsidRPr="00540410">
        <w:t>30.</w:t>
      </w:r>
      <w:r w:rsidRPr="00540410">
        <w:tab/>
        <w:t>invita il Consiglio e la vicepresidente della Commissione</w:t>
      </w:r>
      <w:r w:rsidR="00D0740A" w:rsidRPr="00540410">
        <w:t> </w:t>
      </w:r>
      <w:r w:rsidRPr="00540410">
        <w:t>/</w:t>
      </w:r>
      <w:r w:rsidR="00D0740A" w:rsidRPr="00540410">
        <w:t> </w:t>
      </w:r>
      <w:r w:rsidRPr="00540410">
        <w:t xml:space="preserve">alta rappresentante dell'Unione per gli affari esteri e la politica di sicurezza a prevedere un ruolo complementare per il Parlamento nella raccolta e nella proposta di casi di gravi violazioni dei diritti umani da esaminare nell'ambito del regime sanzionatorio, nonché a trasmettere al Parlamento relazioni annuali sulle decisioni in materia di sanzioni nell'ambito della legge </w:t>
      </w:r>
      <w:proofErr w:type="spellStart"/>
      <w:r w:rsidRPr="00540410">
        <w:t>Magnitsky</w:t>
      </w:r>
      <w:proofErr w:type="spellEnd"/>
      <w:r w:rsidRPr="00540410">
        <w:t xml:space="preserve"> dell'UE, anche in caso di elusione delle sanzioni; chiede che le raccomandazioni di iscrizione in elenco contenute nelle risoluzioni del Parlamento siano attentamente prese in considerazione dal Consiglio;</w:t>
      </w:r>
    </w:p>
    <w:p w14:paraId="7F0F6E44" w14:textId="77777777" w:rsidR="005733D5" w:rsidRPr="00540410" w:rsidRDefault="005733D5" w:rsidP="005733D5">
      <w:pPr>
        <w:pStyle w:val="NormalHanging12a"/>
        <w:rPr>
          <w:b/>
          <w:bCs/>
          <w:i/>
          <w:iCs/>
          <w:szCs w:val="24"/>
        </w:rPr>
      </w:pPr>
      <w:r w:rsidRPr="00540410">
        <w:rPr>
          <w:b/>
          <w:i/>
        </w:rPr>
        <w:t>Prevenzione dell'elusione e rafforzamento degli strumenti di applicazione</w:t>
      </w:r>
    </w:p>
    <w:p w14:paraId="0E06264F" w14:textId="491163AD" w:rsidR="005733D5" w:rsidRPr="00540410" w:rsidRDefault="005733D5" w:rsidP="005733D5">
      <w:pPr>
        <w:pStyle w:val="NormalHanging12a"/>
      </w:pPr>
      <w:r w:rsidRPr="00540410">
        <w:t>31.</w:t>
      </w:r>
      <w:r w:rsidRPr="00540410">
        <w:tab/>
        <w:t xml:space="preserve">chiede che la legge </w:t>
      </w:r>
      <w:proofErr w:type="spellStart"/>
      <w:r w:rsidRPr="00540410">
        <w:t>Magnitsky</w:t>
      </w:r>
      <w:proofErr w:type="spellEnd"/>
      <w:r w:rsidRPr="00540410">
        <w:t xml:space="preserve"> dell'UE sia rivista per prevenire l'elusione delle sanzioni, pubblicando orientamenti espliciti e aggiornati sul divieto di fornire risorse economiche e sostegno tecnico e materiale alle persone ed entità iscritte nell'elenco e precisando che il divieto di fornire sostegno tecnico e materiale comprende l'assistenza non finanziaria, come le infrastrutture TIC, i software, l'agevolazione giuridica e gli strumenti informatici utilizzati a fini repressivi; sottolinea la necessità di rafforzare il regime di sanzioni dell'UE ampliando e diversificando il ricorso alle sanzioni secondarie al fine di colpire i funzionari governativi, le entità, le imprese e le persone coinvolte nell'agevolazione delle violazioni e nell'elusione delle sanzioni, che consentirebbero ai regimi autoritari di continuare a commettere gravi violazioni dei diritti umani;</w:t>
      </w:r>
    </w:p>
    <w:p w14:paraId="1CF86511" w14:textId="77777777" w:rsidR="005733D5" w:rsidRPr="00540410" w:rsidRDefault="005733D5" w:rsidP="005733D5">
      <w:pPr>
        <w:pStyle w:val="NormalHanging12a"/>
      </w:pPr>
      <w:r w:rsidRPr="00540410">
        <w:t>32.</w:t>
      </w:r>
      <w:r w:rsidRPr="00540410">
        <w:tab/>
        <w:t>invita la Commissione a rafforzare la cooperazione con l'Autorità bancaria europea, l'Autorità europea degli strumenti finanziari e dei mercati, l'Autorità antiriciclaggio e le unità di informazione finanziaria nazionali al fine di determinare sistematicamente se prodotti finanziari poco trasparenti, cripto-attività e strutture offshore vengano utilizzati per eludere le sanzioni;</w:t>
      </w:r>
    </w:p>
    <w:p w14:paraId="0049F1C8" w14:textId="77777777" w:rsidR="005733D5" w:rsidRPr="00540410" w:rsidRDefault="005733D5" w:rsidP="005733D5">
      <w:pPr>
        <w:pStyle w:val="NormalHanging12a"/>
      </w:pPr>
      <w:r w:rsidRPr="00540410">
        <w:t>33.</w:t>
      </w:r>
      <w:r w:rsidRPr="00540410">
        <w:tab/>
        <w:t xml:space="preserve">incoraggia a procedere a un incrocio dei dati delle entità iscritte nell'elenco stilato nell'ambito della legge </w:t>
      </w:r>
      <w:proofErr w:type="spellStart"/>
      <w:r w:rsidRPr="00540410">
        <w:t>Magnitsky</w:t>
      </w:r>
      <w:proofErr w:type="spellEnd"/>
      <w:r w:rsidRPr="00540410">
        <w:t xml:space="preserve"> dell'UE e di quelle iscritte negli elenchi stilati nell'ambito di regimi di sanzioni geografiche, se del caso;</w:t>
      </w:r>
    </w:p>
    <w:p w14:paraId="2FCD2667" w14:textId="77777777" w:rsidR="005733D5" w:rsidRPr="00540410" w:rsidRDefault="005733D5" w:rsidP="005733D5">
      <w:pPr>
        <w:pStyle w:val="NormalHanging12a"/>
      </w:pPr>
      <w:r w:rsidRPr="00540410">
        <w:t>34.</w:t>
      </w:r>
      <w:r w:rsidRPr="00540410">
        <w:tab/>
        <w:t>invita il Consiglio a rivedere le clausole derogatorie allo scopo di garantire che i contratti conclusi prima dell'iscrizione in elenco di una persona non vadano a vantaggio dei suoi familiari o associati o di qualsiasi entità da questa controllata;</w:t>
      </w:r>
    </w:p>
    <w:p w14:paraId="6C46FF5B" w14:textId="77777777" w:rsidR="005733D5" w:rsidRPr="00540410" w:rsidRDefault="005733D5" w:rsidP="005733D5">
      <w:pPr>
        <w:pStyle w:val="NormalHanging12a"/>
        <w:jc w:val="center"/>
      </w:pPr>
      <w:r w:rsidRPr="00540410">
        <w:t>°</w:t>
      </w:r>
    </w:p>
    <w:p w14:paraId="7ABF2849" w14:textId="77777777" w:rsidR="005733D5" w:rsidRPr="00540410" w:rsidRDefault="005733D5" w:rsidP="005733D5">
      <w:pPr>
        <w:pStyle w:val="NormalHanging12a"/>
        <w:jc w:val="center"/>
      </w:pPr>
      <w:r w:rsidRPr="00540410">
        <w:t>°</w:t>
      </w:r>
      <w:r w:rsidRPr="00540410">
        <w:tab/>
        <w:t>°</w:t>
      </w:r>
    </w:p>
    <w:p w14:paraId="59DC9A29" w14:textId="4C73BD2C" w:rsidR="00E365E1" w:rsidRPr="00540410" w:rsidRDefault="005733D5" w:rsidP="00E27E62">
      <w:pPr>
        <w:pStyle w:val="NormalHanging12a"/>
      </w:pPr>
      <w:r w:rsidRPr="00540410">
        <w:t>35.</w:t>
      </w:r>
      <w:r w:rsidRPr="00540410">
        <w:tab/>
        <w:t>incarica la sua Presidente di trasmettere la presente risoluzione al Consiglio, alla Commissione e alla vicepresidente della Commissione</w:t>
      </w:r>
      <w:r w:rsidR="00D0740A" w:rsidRPr="00540410">
        <w:t> </w:t>
      </w:r>
      <w:r w:rsidRPr="00540410">
        <w:t>/</w:t>
      </w:r>
      <w:r w:rsidR="00D0740A" w:rsidRPr="00540410">
        <w:t> </w:t>
      </w:r>
      <w:r w:rsidRPr="00540410">
        <w:t>alta rappresentante dell'Unione per gli affari esteri e la politica di sicurezza.</w:t>
      </w:r>
    </w:p>
    <w:sectPr w:rsidR="00E365E1" w:rsidRPr="00540410" w:rsidSect="00A81F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B7176" w14:textId="77777777" w:rsidR="00B041C3" w:rsidRPr="00A81FFB" w:rsidRDefault="00B041C3">
      <w:r w:rsidRPr="00A81FFB">
        <w:separator/>
      </w:r>
    </w:p>
  </w:endnote>
  <w:endnote w:type="continuationSeparator" w:id="0">
    <w:p w14:paraId="105201D2" w14:textId="77777777" w:rsidR="00B041C3" w:rsidRPr="00A81FFB" w:rsidRDefault="00B041C3">
      <w:r w:rsidRPr="00A81F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1EE68" w14:textId="77777777" w:rsidR="00064002" w:rsidRPr="00A81F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1D97A" w14:textId="77777777" w:rsidR="00064002" w:rsidRPr="00A81F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64D58" w14:textId="77777777" w:rsidR="00064002" w:rsidRPr="00A81F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7C7C9" w14:textId="77777777" w:rsidR="00B041C3" w:rsidRPr="00A81FFB" w:rsidRDefault="00B041C3">
      <w:r w:rsidRPr="00A81FFB">
        <w:separator/>
      </w:r>
    </w:p>
  </w:footnote>
  <w:footnote w:type="continuationSeparator" w:id="0">
    <w:p w14:paraId="3EB83786" w14:textId="77777777" w:rsidR="00B041C3" w:rsidRPr="00A81FFB" w:rsidRDefault="00B041C3">
      <w:r w:rsidRPr="00A81FFB">
        <w:continuationSeparator/>
      </w:r>
    </w:p>
  </w:footnote>
  <w:footnote w:id="1">
    <w:p w14:paraId="28089806" w14:textId="463338F5" w:rsidR="005733D5" w:rsidRPr="00A81FFB" w:rsidRDefault="005733D5" w:rsidP="00A81FFB">
      <w:pPr>
        <w:ind w:left="567" w:hanging="567"/>
      </w:pPr>
      <w:r w:rsidRPr="00A81FFB">
        <w:rPr>
          <w:rStyle w:val="FootnoteReference"/>
        </w:rPr>
        <w:footnoteRef/>
      </w:r>
      <w:r w:rsidR="00A81FFB" w:rsidRPr="00A81FFB">
        <w:t xml:space="preserve"> </w:t>
      </w:r>
      <w:r w:rsidR="00A81FFB" w:rsidRPr="00A81FFB">
        <w:tab/>
      </w:r>
      <w:r w:rsidRPr="00A81FFB">
        <w:t>GU L 410</w:t>
      </w:r>
      <w:r w:rsidR="00AA24D7">
        <w:t xml:space="preserve"> </w:t>
      </w:r>
      <w:r w:rsidRPr="00A81FFB">
        <w:t xml:space="preserve">I del 7.12.2020, pag. 13, ELI: </w:t>
      </w:r>
      <w:hyperlink r:id="rId1" w:history="1">
        <w:r w:rsidRPr="00A81FFB">
          <w:rPr>
            <w:rStyle w:val="Hyperlink"/>
            <w:color w:val="0563C1"/>
          </w:rPr>
          <w:t>http://data.europa.eu/eli/dec/2020/1999/oj</w:t>
        </w:r>
      </w:hyperlink>
      <w:r w:rsidRPr="00A81FFB">
        <w:t>.</w:t>
      </w:r>
    </w:p>
  </w:footnote>
  <w:footnote w:id="2">
    <w:p w14:paraId="6CBCE6C8" w14:textId="361CF1C3" w:rsidR="005733D5" w:rsidRPr="00A81FFB" w:rsidRDefault="005733D5" w:rsidP="00A81FFB">
      <w:pPr>
        <w:pStyle w:val="FootnoteText"/>
        <w:ind w:left="567" w:hanging="567"/>
        <w:rPr>
          <w:sz w:val="24"/>
          <w:lang w:val="it-IT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A81FFB">
        <w:rPr>
          <w:sz w:val="24"/>
          <w:lang w:val="it-IT"/>
        </w:rPr>
        <w:t xml:space="preserve"> </w:t>
      </w:r>
      <w:r w:rsidR="00A81FFB" w:rsidRPr="00A81FFB">
        <w:rPr>
          <w:sz w:val="24"/>
          <w:lang w:val="it-IT"/>
        </w:rPr>
        <w:tab/>
      </w:r>
      <w:r w:rsidRPr="00A81FFB">
        <w:rPr>
          <w:sz w:val="24"/>
          <w:lang w:val="it-IT"/>
        </w:rPr>
        <w:t>GU L 410</w:t>
      </w:r>
      <w:r w:rsidR="00AA24D7">
        <w:rPr>
          <w:sz w:val="24"/>
          <w:lang w:val="it-IT"/>
        </w:rPr>
        <w:t xml:space="preserve"> </w:t>
      </w:r>
      <w:r w:rsidRPr="00A81FFB">
        <w:rPr>
          <w:sz w:val="24"/>
          <w:lang w:val="it-IT"/>
        </w:rPr>
        <w:t xml:space="preserve">I del 7.12.2020, pag. 1, ELI: </w:t>
      </w:r>
      <w:hyperlink r:id="rId2" w:history="1">
        <w:r w:rsidRPr="00A81FFB">
          <w:rPr>
            <w:rStyle w:val="Hyperlink"/>
            <w:color w:val="0563C1"/>
            <w:sz w:val="24"/>
            <w:lang w:val="it-IT"/>
          </w:rPr>
          <w:t>http://</w:t>
        </w:r>
        <w:r w:rsidRPr="00A81FFB">
          <w:rPr>
            <w:rStyle w:val="Hyperlink"/>
            <w:color w:val="0563C1"/>
            <w:sz w:val="24"/>
            <w:lang w:val="it-IT"/>
          </w:rPr>
          <w:t>d</w:t>
        </w:r>
        <w:r w:rsidRPr="00A81FFB">
          <w:rPr>
            <w:rStyle w:val="Hyperlink"/>
            <w:color w:val="0563C1"/>
            <w:sz w:val="24"/>
            <w:lang w:val="it-IT"/>
          </w:rPr>
          <w:t>ata.europa.eu/eli/reg/2020/1998/oj</w:t>
        </w:r>
      </w:hyperlink>
      <w:r w:rsidRPr="00A81FFB">
        <w:rPr>
          <w:sz w:val="24"/>
          <w:lang w:val="it-IT"/>
        </w:rPr>
        <w:t xml:space="preserve">. </w:t>
      </w:r>
    </w:p>
  </w:footnote>
  <w:footnote w:id="3">
    <w:p w14:paraId="25EE873C" w14:textId="0F7388C1" w:rsidR="005733D5" w:rsidRPr="00A81FFB" w:rsidRDefault="005733D5" w:rsidP="00A81FFB">
      <w:pPr>
        <w:ind w:left="567" w:hanging="567"/>
      </w:pPr>
      <w:r w:rsidRPr="00A81FFB">
        <w:rPr>
          <w:rStyle w:val="FootnoteReference"/>
        </w:rPr>
        <w:footnoteRef/>
      </w:r>
      <w:r w:rsidR="00A81FFB" w:rsidRPr="00A81FFB">
        <w:t xml:space="preserve"> </w:t>
      </w:r>
      <w:r w:rsidR="00A81FFB" w:rsidRPr="00A81FFB">
        <w:tab/>
      </w:r>
      <w:r w:rsidRPr="00A81FFB">
        <w:t>GU L 71</w:t>
      </w:r>
      <w:r w:rsidR="00AA24D7">
        <w:t xml:space="preserve"> </w:t>
      </w:r>
      <w:r w:rsidRPr="00A81FFB">
        <w:t xml:space="preserve">I del 2.3.2021, pag. 1, ELI: </w:t>
      </w:r>
      <w:hyperlink r:id="rId3" w:history="1">
        <w:r w:rsidRPr="00A81FFB">
          <w:rPr>
            <w:rStyle w:val="Hyperlink"/>
            <w:color w:val="0563C1"/>
          </w:rPr>
          <w:t>http://data.europa.eu/eli/reg_impl/2021/371/oj</w:t>
        </w:r>
      </w:hyperlink>
      <w:r w:rsidRPr="00A81FFB">
        <w:t xml:space="preserve">. </w:t>
      </w:r>
    </w:p>
  </w:footnote>
  <w:footnote w:id="4">
    <w:p w14:paraId="4AC6D6F2" w14:textId="5E520F74" w:rsidR="005733D5" w:rsidRPr="00A81FFB" w:rsidRDefault="005733D5" w:rsidP="00A81FFB">
      <w:pPr>
        <w:pStyle w:val="FootnoteText"/>
        <w:ind w:left="567" w:hanging="567"/>
        <w:rPr>
          <w:sz w:val="24"/>
          <w:lang w:val="it-IT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A81FFB">
        <w:rPr>
          <w:sz w:val="24"/>
          <w:lang w:val="it-IT"/>
        </w:rPr>
        <w:t xml:space="preserve"> </w:t>
      </w:r>
      <w:r w:rsidR="00A81FFB" w:rsidRPr="00A81FFB">
        <w:rPr>
          <w:sz w:val="24"/>
          <w:lang w:val="it-IT"/>
        </w:rPr>
        <w:tab/>
      </w:r>
      <w:r w:rsidRPr="00A81FFB">
        <w:rPr>
          <w:sz w:val="24"/>
          <w:lang w:val="it-IT"/>
        </w:rPr>
        <w:t>GU L 99</w:t>
      </w:r>
      <w:r w:rsidR="00AA24D7">
        <w:rPr>
          <w:sz w:val="24"/>
          <w:lang w:val="it-IT"/>
        </w:rPr>
        <w:t xml:space="preserve"> </w:t>
      </w:r>
      <w:r w:rsidRPr="00A81FFB">
        <w:rPr>
          <w:sz w:val="24"/>
          <w:lang w:val="it-IT"/>
        </w:rPr>
        <w:t xml:space="preserve">I del 22.3.2021, pag. 1, ELI: </w:t>
      </w:r>
      <w:hyperlink r:id="rId4" w:history="1">
        <w:r w:rsidRPr="00A81FFB">
          <w:rPr>
            <w:rStyle w:val="Hyperlink"/>
            <w:color w:val="0563C1"/>
            <w:sz w:val="24"/>
            <w:lang w:val="it-IT"/>
          </w:rPr>
          <w:t>http://data.europa.eu/eli/reg_impl/2021/478/oj</w:t>
        </w:r>
      </w:hyperlink>
      <w:r w:rsidRPr="00A81FFB">
        <w:rPr>
          <w:sz w:val="24"/>
          <w:lang w:val="it-IT"/>
        </w:rPr>
        <w:t xml:space="preserve">. </w:t>
      </w:r>
    </w:p>
  </w:footnote>
  <w:footnote w:id="5">
    <w:p w14:paraId="4930ED10" w14:textId="77777777" w:rsidR="005733D5" w:rsidRPr="000A7E43" w:rsidRDefault="005733D5" w:rsidP="00A81FFB">
      <w:pPr>
        <w:pStyle w:val="FootnoteText"/>
        <w:ind w:left="567" w:hanging="567"/>
        <w:rPr>
          <w:sz w:val="24"/>
          <w:lang w:val="fi-FI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0A7E43">
        <w:rPr>
          <w:sz w:val="24"/>
          <w:lang w:val="fi-FI"/>
        </w:rPr>
        <w:t xml:space="preserve"> </w:t>
      </w:r>
      <w:r w:rsidR="00A81FFB" w:rsidRPr="000A7E43">
        <w:rPr>
          <w:sz w:val="24"/>
          <w:lang w:val="fi-FI"/>
        </w:rPr>
        <w:tab/>
      </w:r>
      <w:r w:rsidRPr="000A7E43">
        <w:rPr>
          <w:sz w:val="24"/>
          <w:lang w:val="fi-FI"/>
        </w:rPr>
        <w:t xml:space="preserve">GU L, 2025/1111, 28.5.2025, ELI: </w:t>
      </w:r>
      <w:hyperlink r:id="rId5" w:history="1">
        <w:r w:rsidRPr="000A7E43">
          <w:rPr>
            <w:rStyle w:val="Hyperlink"/>
            <w:color w:val="0563C1"/>
            <w:sz w:val="24"/>
            <w:lang w:val="fi-FI"/>
          </w:rPr>
          <w:t>http://data.europa.eu/eli/reg_impl/2025/1111/oj</w:t>
        </w:r>
      </w:hyperlink>
      <w:r w:rsidRPr="000A7E43">
        <w:rPr>
          <w:sz w:val="24"/>
          <w:lang w:val="fi-FI"/>
        </w:rPr>
        <w:t xml:space="preserve">. </w:t>
      </w:r>
    </w:p>
  </w:footnote>
  <w:footnote w:id="6">
    <w:p w14:paraId="75034EE8" w14:textId="0D27CFF4" w:rsidR="005733D5" w:rsidRPr="00A81FFB" w:rsidRDefault="005733D5" w:rsidP="00A81FFB">
      <w:pPr>
        <w:pStyle w:val="FootnoteText"/>
        <w:ind w:left="567" w:hanging="567"/>
        <w:rPr>
          <w:sz w:val="24"/>
          <w:lang w:val="it-IT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A81FFB">
        <w:rPr>
          <w:sz w:val="24"/>
          <w:lang w:val="it-IT"/>
        </w:rPr>
        <w:t xml:space="preserve"> </w:t>
      </w:r>
      <w:r w:rsidR="00A81FFB" w:rsidRPr="00A81FFB">
        <w:rPr>
          <w:sz w:val="24"/>
          <w:lang w:val="it-IT"/>
        </w:rPr>
        <w:tab/>
      </w:r>
      <w:r w:rsidRPr="00A81FFB">
        <w:rPr>
          <w:sz w:val="24"/>
          <w:lang w:val="it-IT"/>
        </w:rPr>
        <w:t>GU L 71</w:t>
      </w:r>
      <w:r w:rsidR="00AA24D7">
        <w:rPr>
          <w:sz w:val="24"/>
          <w:lang w:val="it-IT"/>
        </w:rPr>
        <w:t xml:space="preserve"> </w:t>
      </w:r>
      <w:r w:rsidRPr="00A81FFB">
        <w:rPr>
          <w:sz w:val="24"/>
          <w:lang w:val="it-IT"/>
        </w:rPr>
        <w:t xml:space="preserve">I del 2.3.2021, pag. 6, ELI: </w:t>
      </w:r>
      <w:hyperlink r:id="rId6" w:history="1">
        <w:r w:rsidRPr="00A81FFB">
          <w:rPr>
            <w:rStyle w:val="Hyperlink"/>
            <w:color w:val="0563C1"/>
            <w:sz w:val="24"/>
            <w:lang w:val="it-IT"/>
          </w:rPr>
          <w:t>http://data.europa.eu/eli/dec/2021/372/oj</w:t>
        </w:r>
      </w:hyperlink>
      <w:r w:rsidRPr="00A81FFB">
        <w:rPr>
          <w:sz w:val="24"/>
          <w:lang w:val="it-IT"/>
        </w:rPr>
        <w:t xml:space="preserve">. </w:t>
      </w:r>
    </w:p>
  </w:footnote>
  <w:footnote w:id="7">
    <w:p w14:paraId="1AF72128" w14:textId="4B616BF4" w:rsidR="005733D5" w:rsidRPr="00A81FFB" w:rsidRDefault="005733D5" w:rsidP="00A81FFB">
      <w:pPr>
        <w:pStyle w:val="FootnoteText"/>
        <w:ind w:left="567" w:hanging="567"/>
        <w:rPr>
          <w:sz w:val="24"/>
          <w:lang w:val="it-IT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A81FFB">
        <w:rPr>
          <w:sz w:val="24"/>
          <w:lang w:val="it-IT"/>
        </w:rPr>
        <w:t xml:space="preserve"> </w:t>
      </w:r>
      <w:r w:rsidR="00A81FFB" w:rsidRPr="00A81FFB">
        <w:rPr>
          <w:sz w:val="24"/>
          <w:lang w:val="it-IT"/>
        </w:rPr>
        <w:tab/>
      </w:r>
      <w:r w:rsidRPr="00A81FFB">
        <w:rPr>
          <w:sz w:val="24"/>
          <w:lang w:val="it-IT"/>
        </w:rPr>
        <w:t>GU L 99</w:t>
      </w:r>
      <w:r w:rsidR="00AA24D7">
        <w:rPr>
          <w:sz w:val="24"/>
          <w:lang w:val="it-IT"/>
        </w:rPr>
        <w:t xml:space="preserve"> </w:t>
      </w:r>
      <w:r w:rsidRPr="00A81FFB">
        <w:rPr>
          <w:sz w:val="24"/>
          <w:lang w:val="it-IT"/>
        </w:rPr>
        <w:t xml:space="preserve">I del 22.3.2021, pag. 25, ELI: </w:t>
      </w:r>
      <w:hyperlink r:id="rId7" w:history="1">
        <w:r w:rsidRPr="00A81FFB">
          <w:rPr>
            <w:rStyle w:val="Hyperlink"/>
            <w:color w:val="0563C1"/>
            <w:sz w:val="24"/>
            <w:lang w:val="it-IT"/>
          </w:rPr>
          <w:t>http://data.europa.eu/eli/dec/2021/481/oj</w:t>
        </w:r>
      </w:hyperlink>
      <w:r w:rsidRPr="00A81FFB">
        <w:rPr>
          <w:sz w:val="24"/>
          <w:lang w:val="it-IT"/>
        </w:rPr>
        <w:t xml:space="preserve">. </w:t>
      </w:r>
    </w:p>
  </w:footnote>
  <w:footnote w:id="8">
    <w:p w14:paraId="15BFAD36" w14:textId="73773ED6" w:rsidR="005733D5" w:rsidRPr="00A81FFB" w:rsidRDefault="005733D5" w:rsidP="00A81FFB">
      <w:pPr>
        <w:pStyle w:val="FootnoteText"/>
        <w:ind w:left="567" w:hanging="567"/>
        <w:rPr>
          <w:sz w:val="24"/>
          <w:lang w:val="it-IT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A81FFB">
        <w:rPr>
          <w:sz w:val="24"/>
          <w:lang w:val="it-IT"/>
        </w:rPr>
        <w:t xml:space="preserve"> </w:t>
      </w:r>
      <w:r w:rsidR="00A81FFB" w:rsidRPr="00A81FFB">
        <w:rPr>
          <w:sz w:val="24"/>
          <w:lang w:val="it-IT"/>
        </w:rPr>
        <w:tab/>
      </w:r>
      <w:r w:rsidRPr="00A81FFB">
        <w:rPr>
          <w:sz w:val="24"/>
          <w:lang w:val="it-IT"/>
        </w:rPr>
        <w:t>GU L 445</w:t>
      </w:r>
      <w:r w:rsidR="00AA24D7">
        <w:rPr>
          <w:sz w:val="24"/>
          <w:lang w:val="it-IT"/>
        </w:rPr>
        <w:t xml:space="preserve"> </w:t>
      </w:r>
      <w:r w:rsidRPr="00A81FFB">
        <w:rPr>
          <w:sz w:val="24"/>
          <w:lang w:val="it-IT"/>
        </w:rPr>
        <w:t xml:space="preserve">I del 13.12.2021, pag. 17, ELI: </w:t>
      </w:r>
      <w:hyperlink r:id="rId8" w:history="1">
        <w:r w:rsidRPr="00A81FFB">
          <w:rPr>
            <w:rStyle w:val="Hyperlink"/>
            <w:color w:val="0563C1"/>
            <w:sz w:val="24"/>
            <w:lang w:val="it-IT"/>
          </w:rPr>
          <w:t>http://data.europa.eu/eli/dec/2021/2197/oj</w:t>
        </w:r>
      </w:hyperlink>
      <w:r w:rsidRPr="00A81FFB">
        <w:rPr>
          <w:sz w:val="24"/>
          <w:lang w:val="it-IT"/>
        </w:rPr>
        <w:t xml:space="preserve">. </w:t>
      </w:r>
    </w:p>
  </w:footnote>
  <w:footnote w:id="9">
    <w:p w14:paraId="7564B480" w14:textId="40B297B8" w:rsidR="005733D5" w:rsidRPr="00A81FFB" w:rsidRDefault="005733D5" w:rsidP="00A81FFB">
      <w:pPr>
        <w:pStyle w:val="FootnoteText"/>
        <w:ind w:left="567" w:hanging="567"/>
        <w:rPr>
          <w:sz w:val="24"/>
          <w:lang w:val="it-IT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A81FFB">
        <w:rPr>
          <w:sz w:val="24"/>
          <w:lang w:val="it-IT"/>
        </w:rPr>
        <w:t xml:space="preserve"> </w:t>
      </w:r>
      <w:r w:rsidR="00A81FFB" w:rsidRPr="00A81FFB">
        <w:rPr>
          <w:sz w:val="24"/>
          <w:lang w:val="it-IT"/>
        </w:rPr>
        <w:tab/>
      </w:r>
      <w:r w:rsidRPr="00A81FFB">
        <w:rPr>
          <w:sz w:val="24"/>
          <w:lang w:val="it-IT"/>
        </w:rPr>
        <w:t>GU L 183</w:t>
      </w:r>
      <w:r w:rsidR="00AA24D7">
        <w:rPr>
          <w:sz w:val="24"/>
          <w:lang w:val="it-IT"/>
        </w:rPr>
        <w:t xml:space="preserve"> </w:t>
      </w:r>
      <w:r w:rsidRPr="00A81FFB">
        <w:rPr>
          <w:sz w:val="24"/>
          <w:lang w:val="it-IT"/>
        </w:rPr>
        <w:t xml:space="preserve">I del 20.7.2023, pag. 60, ELI: </w:t>
      </w:r>
      <w:hyperlink r:id="rId9" w:history="1">
        <w:r w:rsidRPr="00A81FFB">
          <w:rPr>
            <w:rStyle w:val="Hyperlink"/>
            <w:color w:val="0563C1"/>
            <w:sz w:val="24"/>
            <w:lang w:val="it-IT"/>
          </w:rPr>
          <w:t>http:/</w:t>
        </w:r>
        <w:r w:rsidRPr="00A81FFB">
          <w:rPr>
            <w:rStyle w:val="Hyperlink"/>
            <w:color w:val="0563C1"/>
            <w:sz w:val="24"/>
            <w:lang w:val="it-IT"/>
          </w:rPr>
          <w:t>/</w:t>
        </w:r>
        <w:r w:rsidRPr="00A81FFB">
          <w:rPr>
            <w:rStyle w:val="Hyperlink"/>
            <w:color w:val="0563C1"/>
            <w:sz w:val="24"/>
            <w:lang w:val="it-IT"/>
          </w:rPr>
          <w:t>data.europa.eu/eli/dec/2023/1504/oj</w:t>
        </w:r>
      </w:hyperlink>
      <w:r w:rsidRPr="00A81FFB">
        <w:rPr>
          <w:sz w:val="24"/>
          <w:lang w:val="it-IT"/>
        </w:rPr>
        <w:t xml:space="preserve">. </w:t>
      </w:r>
    </w:p>
  </w:footnote>
  <w:footnote w:id="10">
    <w:p w14:paraId="336D8212" w14:textId="1E7350FA" w:rsidR="005733D5" w:rsidRPr="00A81FFB" w:rsidRDefault="005733D5" w:rsidP="00A81FFB">
      <w:pPr>
        <w:pStyle w:val="FootnoteText"/>
        <w:ind w:left="567" w:hanging="567"/>
        <w:rPr>
          <w:sz w:val="24"/>
          <w:lang w:val="it-IT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A81FFB">
        <w:rPr>
          <w:sz w:val="24"/>
          <w:lang w:val="it-IT"/>
        </w:rPr>
        <w:t xml:space="preserve"> </w:t>
      </w:r>
      <w:r w:rsidR="00A81FFB" w:rsidRPr="00A81FFB">
        <w:rPr>
          <w:sz w:val="24"/>
          <w:lang w:val="it-IT"/>
        </w:rPr>
        <w:tab/>
      </w:r>
      <w:r w:rsidRPr="00A81FFB">
        <w:rPr>
          <w:sz w:val="24"/>
          <w:lang w:val="it-IT"/>
        </w:rPr>
        <w:t>GU L 221</w:t>
      </w:r>
      <w:r w:rsidR="00AA24D7">
        <w:rPr>
          <w:sz w:val="24"/>
          <w:lang w:val="it-IT"/>
        </w:rPr>
        <w:t xml:space="preserve"> </w:t>
      </w:r>
      <w:r w:rsidRPr="00A81FFB">
        <w:rPr>
          <w:sz w:val="24"/>
          <w:lang w:val="it-IT"/>
        </w:rPr>
        <w:t xml:space="preserve">I dell'8.9.2023, pag. 6, ELI: </w:t>
      </w:r>
      <w:hyperlink r:id="rId10" w:history="1">
        <w:r w:rsidRPr="00A81FFB">
          <w:rPr>
            <w:rStyle w:val="Hyperlink"/>
            <w:sz w:val="24"/>
            <w:lang w:val="it-IT"/>
          </w:rPr>
          <w:t>http://data.eur</w:t>
        </w:r>
        <w:r w:rsidRPr="00A81FFB">
          <w:rPr>
            <w:rStyle w:val="Hyperlink"/>
            <w:sz w:val="24"/>
            <w:lang w:val="it-IT"/>
          </w:rPr>
          <w:t>o</w:t>
        </w:r>
        <w:r w:rsidRPr="00A81FFB">
          <w:rPr>
            <w:rStyle w:val="Hyperlink"/>
            <w:sz w:val="24"/>
            <w:lang w:val="it-IT"/>
          </w:rPr>
          <w:t>pa.eu/eli/dec/2023/1716/oj</w:t>
        </w:r>
      </w:hyperlink>
      <w:r w:rsidRPr="00A81FFB">
        <w:rPr>
          <w:sz w:val="24"/>
          <w:lang w:val="it-IT"/>
        </w:rPr>
        <w:t xml:space="preserve">. </w:t>
      </w:r>
    </w:p>
  </w:footnote>
  <w:footnote w:id="11">
    <w:p w14:paraId="0B23B1DA" w14:textId="77777777" w:rsidR="005733D5" w:rsidRPr="000A7E43" w:rsidRDefault="005733D5" w:rsidP="00A81FFB">
      <w:pPr>
        <w:pStyle w:val="FootnoteText"/>
        <w:ind w:left="567" w:hanging="567"/>
        <w:rPr>
          <w:sz w:val="24"/>
          <w:lang w:val="fi-FI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0A7E43">
        <w:rPr>
          <w:sz w:val="24"/>
          <w:lang w:val="fi-FI"/>
        </w:rPr>
        <w:t xml:space="preserve"> </w:t>
      </w:r>
      <w:r w:rsidR="00A81FFB" w:rsidRPr="000A7E43">
        <w:rPr>
          <w:sz w:val="24"/>
          <w:lang w:val="fi-FI"/>
        </w:rPr>
        <w:tab/>
      </w:r>
      <w:r w:rsidRPr="000A7E43">
        <w:rPr>
          <w:sz w:val="24"/>
          <w:lang w:val="fi-FI"/>
        </w:rPr>
        <w:t xml:space="preserve">GU L, 2024/1025, 5.4.2024, ELI: </w:t>
      </w:r>
      <w:hyperlink r:id="rId11" w:history="1">
        <w:r w:rsidRPr="000A7E43">
          <w:rPr>
            <w:rStyle w:val="Hyperlink"/>
            <w:sz w:val="24"/>
            <w:lang w:val="fi-FI"/>
          </w:rPr>
          <w:t>http://data.europa.eu/eli/dec/2024/1025/oj</w:t>
        </w:r>
      </w:hyperlink>
      <w:r w:rsidRPr="000A7E43">
        <w:rPr>
          <w:sz w:val="24"/>
          <w:lang w:val="fi-FI"/>
        </w:rPr>
        <w:t xml:space="preserve">. </w:t>
      </w:r>
    </w:p>
  </w:footnote>
  <w:footnote w:id="12">
    <w:p w14:paraId="736AAC58" w14:textId="77777777" w:rsidR="005733D5" w:rsidRPr="000A7E43" w:rsidRDefault="005733D5" w:rsidP="00A81FFB">
      <w:pPr>
        <w:pStyle w:val="FootnoteText"/>
        <w:ind w:left="567" w:hanging="567"/>
        <w:rPr>
          <w:sz w:val="24"/>
          <w:lang w:val="fi-FI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0A7E43">
        <w:rPr>
          <w:sz w:val="24"/>
          <w:lang w:val="fi-FI"/>
        </w:rPr>
        <w:t xml:space="preserve"> </w:t>
      </w:r>
      <w:r w:rsidR="00A81FFB" w:rsidRPr="000A7E43">
        <w:rPr>
          <w:sz w:val="24"/>
          <w:lang w:val="fi-FI"/>
        </w:rPr>
        <w:tab/>
      </w:r>
      <w:r w:rsidRPr="000A7E43">
        <w:rPr>
          <w:sz w:val="24"/>
          <w:lang w:val="fi-FI"/>
        </w:rPr>
        <w:t xml:space="preserve">GU L, 2024/1074, 12.4.2024, ELI: </w:t>
      </w:r>
      <w:hyperlink r:id="rId12" w:history="1">
        <w:r w:rsidRPr="000A7E43">
          <w:rPr>
            <w:rStyle w:val="Hyperlink"/>
            <w:sz w:val="24"/>
            <w:lang w:val="fi-FI"/>
          </w:rPr>
          <w:t>http://data.europa.eu/eli/dec/2024/1074/oj</w:t>
        </w:r>
      </w:hyperlink>
      <w:r w:rsidRPr="000A7E43">
        <w:rPr>
          <w:sz w:val="24"/>
          <w:lang w:val="fi-FI"/>
        </w:rPr>
        <w:t xml:space="preserve">. </w:t>
      </w:r>
    </w:p>
  </w:footnote>
  <w:footnote w:id="13">
    <w:p w14:paraId="5E6295FE" w14:textId="77777777" w:rsidR="005733D5" w:rsidRPr="000A7E43" w:rsidRDefault="005733D5" w:rsidP="00A81FFB">
      <w:pPr>
        <w:pStyle w:val="FootnoteText"/>
        <w:ind w:left="567" w:hanging="567"/>
        <w:rPr>
          <w:sz w:val="24"/>
          <w:lang w:val="fi-FI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0A7E43">
        <w:rPr>
          <w:sz w:val="24"/>
          <w:lang w:val="fi-FI"/>
        </w:rPr>
        <w:t xml:space="preserve"> </w:t>
      </w:r>
      <w:r w:rsidR="00A81FFB" w:rsidRPr="000A7E43">
        <w:rPr>
          <w:sz w:val="24"/>
          <w:lang w:val="fi-FI"/>
        </w:rPr>
        <w:tab/>
      </w:r>
      <w:r w:rsidRPr="000A7E43">
        <w:rPr>
          <w:sz w:val="24"/>
          <w:lang w:val="fi-FI"/>
        </w:rPr>
        <w:t xml:space="preserve">GU L, 2024/1175, 19.4.2024, ELI: </w:t>
      </w:r>
      <w:hyperlink r:id="rId13" w:history="1">
        <w:r w:rsidRPr="000A7E43">
          <w:rPr>
            <w:rStyle w:val="Hyperlink"/>
            <w:sz w:val="24"/>
            <w:lang w:val="fi-FI"/>
          </w:rPr>
          <w:t>http://data.europa.eu/eli/dec/2024/1175/oj</w:t>
        </w:r>
      </w:hyperlink>
      <w:r w:rsidRPr="000A7E43">
        <w:rPr>
          <w:sz w:val="24"/>
          <w:lang w:val="fi-FI"/>
        </w:rPr>
        <w:t xml:space="preserve">. </w:t>
      </w:r>
    </w:p>
  </w:footnote>
  <w:footnote w:id="14">
    <w:p w14:paraId="07210C04" w14:textId="77777777" w:rsidR="005733D5" w:rsidRPr="000A7E43" w:rsidRDefault="005733D5" w:rsidP="00A81FFB">
      <w:pPr>
        <w:pStyle w:val="FootnoteText"/>
        <w:ind w:left="567" w:hanging="567"/>
        <w:rPr>
          <w:sz w:val="24"/>
          <w:lang w:val="fi-FI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0A7E43">
        <w:rPr>
          <w:sz w:val="24"/>
          <w:lang w:val="fi-FI"/>
        </w:rPr>
        <w:t xml:space="preserve"> </w:t>
      </w:r>
      <w:r w:rsidR="00A81FFB" w:rsidRPr="000A7E43">
        <w:rPr>
          <w:sz w:val="24"/>
          <w:lang w:val="fi-FI"/>
        </w:rPr>
        <w:tab/>
      </w:r>
      <w:r w:rsidRPr="000A7E43">
        <w:rPr>
          <w:sz w:val="24"/>
          <w:lang w:val="fi-FI"/>
        </w:rPr>
        <w:t xml:space="preserve">GU L, 2024/1967, 15.7.2024, ELI: </w:t>
      </w:r>
      <w:hyperlink r:id="rId14" w:history="1">
        <w:r w:rsidRPr="000A7E43">
          <w:rPr>
            <w:rStyle w:val="Hyperlink"/>
            <w:sz w:val="24"/>
            <w:lang w:val="fi-FI"/>
          </w:rPr>
          <w:t>http://data.europa.eu/eli/dec/2024/1967/oj</w:t>
        </w:r>
      </w:hyperlink>
      <w:r w:rsidRPr="000A7E43">
        <w:rPr>
          <w:sz w:val="24"/>
          <w:lang w:val="fi-FI"/>
        </w:rPr>
        <w:t xml:space="preserve">. </w:t>
      </w:r>
    </w:p>
  </w:footnote>
  <w:footnote w:id="15">
    <w:p w14:paraId="19D6A7A8" w14:textId="77777777" w:rsidR="005733D5" w:rsidRPr="000A7E43" w:rsidRDefault="005733D5" w:rsidP="00A81FFB">
      <w:pPr>
        <w:pStyle w:val="FootnoteText"/>
        <w:ind w:left="567" w:hanging="567"/>
        <w:rPr>
          <w:sz w:val="24"/>
          <w:lang w:val="fi-FI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0A7E43">
        <w:rPr>
          <w:sz w:val="24"/>
          <w:lang w:val="fi-FI"/>
        </w:rPr>
        <w:t xml:space="preserve"> </w:t>
      </w:r>
      <w:r w:rsidR="00A81FFB" w:rsidRPr="000A7E43">
        <w:rPr>
          <w:sz w:val="24"/>
          <w:lang w:val="fi-FI"/>
        </w:rPr>
        <w:tab/>
      </w:r>
      <w:r w:rsidRPr="000A7E43">
        <w:rPr>
          <w:sz w:val="24"/>
          <w:lang w:val="fi-FI"/>
        </w:rPr>
        <w:t xml:space="preserve">GU L, 2024/3004, 3.12.2024, ELI: </w:t>
      </w:r>
      <w:hyperlink r:id="rId15" w:history="1">
        <w:r w:rsidRPr="000A7E43">
          <w:rPr>
            <w:rStyle w:val="Hyperlink"/>
            <w:sz w:val="24"/>
            <w:lang w:val="fi-FI"/>
          </w:rPr>
          <w:t>http://data.europa.eu/eli/dec/2024/3004/oj</w:t>
        </w:r>
      </w:hyperlink>
      <w:r w:rsidRPr="000A7E43">
        <w:rPr>
          <w:sz w:val="24"/>
          <w:lang w:val="fi-FI"/>
        </w:rPr>
        <w:t xml:space="preserve">. </w:t>
      </w:r>
    </w:p>
  </w:footnote>
  <w:footnote w:id="16">
    <w:p w14:paraId="5AEAA654" w14:textId="77777777" w:rsidR="005733D5" w:rsidRPr="000A7E43" w:rsidRDefault="005733D5" w:rsidP="00A81FFB">
      <w:pPr>
        <w:pStyle w:val="FootnoteText"/>
        <w:ind w:left="567" w:hanging="567"/>
        <w:rPr>
          <w:sz w:val="24"/>
          <w:lang w:val="fi-FI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0A7E43">
        <w:rPr>
          <w:sz w:val="24"/>
          <w:lang w:val="fi-FI"/>
        </w:rPr>
        <w:t xml:space="preserve"> </w:t>
      </w:r>
      <w:r w:rsidR="00A81FFB" w:rsidRPr="000A7E43">
        <w:rPr>
          <w:sz w:val="24"/>
          <w:lang w:val="fi-FI"/>
        </w:rPr>
        <w:tab/>
      </w:r>
      <w:r w:rsidRPr="000A7E43">
        <w:rPr>
          <w:sz w:val="24"/>
          <w:lang w:val="fi-FI"/>
        </w:rPr>
        <w:t xml:space="preserve">GU L, 2025/346, 19.2.2025, ELI: </w:t>
      </w:r>
      <w:hyperlink r:id="rId16" w:history="1">
        <w:r w:rsidRPr="000A7E43">
          <w:rPr>
            <w:rStyle w:val="Hyperlink"/>
            <w:sz w:val="24"/>
            <w:lang w:val="fi-FI"/>
          </w:rPr>
          <w:t>http://data.europa.eu/eli/dec/2025/346/oj</w:t>
        </w:r>
      </w:hyperlink>
      <w:r w:rsidRPr="000A7E43">
        <w:rPr>
          <w:sz w:val="24"/>
          <w:lang w:val="fi-FI"/>
        </w:rPr>
        <w:t xml:space="preserve">. </w:t>
      </w:r>
    </w:p>
  </w:footnote>
  <w:footnote w:id="17">
    <w:p w14:paraId="76FBDD99" w14:textId="77777777" w:rsidR="005733D5" w:rsidRPr="000A7E43" w:rsidRDefault="005733D5" w:rsidP="00A81FFB">
      <w:pPr>
        <w:pStyle w:val="FootnoteText"/>
        <w:ind w:left="567" w:hanging="567"/>
        <w:rPr>
          <w:sz w:val="24"/>
          <w:lang w:val="fi-FI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0A7E43">
        <w:rPr>
          <w:sz w:val="24"/>
          <w:lang w:val="fi-FI"/>
        </w:rPr>
        <w:t xml:space="preserve"> </w:t>
      </w:r>
      <w:r w:rsidR="00A81FFB" w:rsidRPr="000A7E43">
        <w:rPr>
          <w:sz w:val="24"/>
          <w:lang w:val="fi-FI"/>
        </w:rPr>
        <w:tab/>
      </w:r>
      <w:r w:rsidRPr="000A7E43">
        <w:rPr>
          <w:sz w:val="24"/>
          <w:lang w:val="fi-FI"/>
        </w:rPr>
        <w:t xml:space="preserve">GU L, 2025/1110, 28.5.2025, ELI: </w:t>
      </w:r>
      <w:hyperlink r:id="rId17" w:history="1">
        <w:r w:rsidRPr="000A7E43">
          <w:rPr>
            <w:rStyle w:val="Hyperlink"/>
            <w:sz w:val="24"/>
            <w:lang w:val="fi-FI"/>
          </w:rPr>
          <w:t>http://data.europa.eu/eli/dec/2025/1110/oj</w:t>
        </w:r>
      </w:hyperlink>
      <w:r w:rsidRPr="000A7E43">
        <w:rPr>
          <w:sz w:val="24"/>
          <w:lang w:val="fi-FI"/>
        </w:rPr>
        <w:t xml:space="preserve">. </w:t>
      </w:r>
    </w:p>
  </w:footnote>
  <w:footnote w:id="18">
    <w:p w14:paraId="377124CD" w14:textId="77777777" w:rsidR="005733D5" w:rsidRPr="00A81FFB" w:rsidRDefault="005733D5" w:rsidP="00A81FFB">
      <w:pPr>
        <w:pStyle w:val="FootnoteText"/>
        <w:ind w:left="567" w:hanging="567"/>
        <w:rPr>
          <w:sz w:val="24"/>
          <w:lang w:val="it-IT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A81FFB">
        <w:rPr>
          <w:sz w:val="24"/>
          <w:lang w:val="it-IT"/>
        </w:rPr>
        <w:t xml:space="preserve"> </w:t>
      </w:r>
      <w:r w:rsidR="00A81FFB" w:rsidRPr="00A81FFB">
        <w:rPr>
          <w:sz w:val="24"/>
          <w:lang w:val="it-IT"/>
        </w:rPr>
        <w:tab/>
      </w:r>
      <w:r w:rsidRPr="00A81FFB">
        <w:rPr>
          <w:sz w:val="24"/>
          <w:lang w:val="it-IT"/>
        </w:rPr>
        <w:t>GU C 99 dell'1.3.2022, pag. 152.</w:t>
      </w:r>
    </w:p>
  </w:footnote>
  <w:footnote w:id="19">
    <w:p w14:paraId="0A9DADCF" w14:textId="3B29C2A2" w:rsidR="005733D5" w:rsidRPr="00540410" w:rsidRDefault="005733D5" w:rsidP="00A81FFB">
      <w:pPr>
        <w:pStyle w:val="FootnoteText"/>
        <w:ind w:left="567" w:hanging="567"/>
        <w:rPr>
          <w:sz w:val="24"/>
          <w:lang w:val="it-IT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540410">
        <w:rPr>
          <w:sz w:val="24"/>
          <w:lang w:val="it-IT"/>
        </w:rPr>
        <w:t xml:space="preserve"> </w:t>
      </w:r>
      <w:r w:rsidR="00A81FFB" w:rsidRPr="00540410">
        <w:rPr>
          <w:sz w:val="24"/>
          <w:lang w:val="it-IT"/>
        </w:rPr>
        <w:tab/>
      </w:r>
      <w:r w:rsidR="000A7E43" w:rsidRPr="00540410">
        <w:rPr>
          <w:sz w:val="24"/>
          <w:lang w:val="it-IT"/>
        </w:rPr>
        <w:t>GU C, C/2025/4390, 9.9.2025, ELI: </w:t>
      </w:r>
      <w:hyperlink r:id="rId18" w:tgtFrame="_blank" w:tooltip="Gives access to this document through its ELI URI." w:history="1">
        <w:r w:rsidR="000A7E43" w:rsidRPr="00540410">
          <w:rPr>
            <w:rStyle w:val="Hyperlink"/>
            <w:sz w:val="24"/>
            <w:lang w:val="it-IT"/>
          </w:rPr>
          <w:t>http://data.europa.eu/eli/C/2025/4390/</w:t>
        </w:r>
        <w:proofErr w:type="spellStart"/>
        <w:r w:rsidR="000A7E43" w:rsidRPr="00540410">
          <w:rPr>
            <w:rStyle w:val="Hyperlink"/>
            <w:sz w:val="24"/>
            <w:lang w:val="it-IT"/>
          </w:rPr>
          <w:t>oj</w:t>
        </w:r>
        <w:proofErr w:type="spellEnd"/>
      </w:hyperlink>
      <w:r w:rsidRPr="00540410">
        <w:rPr>
          <w:sz w:val="24"/>
          <w:lang w:val="it-IT"/>
        </w:rPr>
        <w:t>.</w:t>
      </w:r>
    </w:p>
  </w:footnote>
  <w:footnote w:id="20">
    <w:p w14:paraId="5E218FCD" w14:textId="77777777" w:rsidR="005733D5" w:rsidRPr="000A7E43" w:rsidRDefault="005733D5" w:rsidP="00A81FFB">
      <w:pPr>
        <w:pStyle w:val="FootnoteText"/>
        <w:ind w:left="567" w:hanging="567"/>
        <w:rPr>
          <w:sz w:val="24"/>
          <w:lang w:val="fi-FI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0A7E43">
        <w:rPr>
          <w:sz w:val="24"/>
          <w:lang w:val="fi-FI"/>
        </w:rPr>
        <w:t xml:space="preserve"> </w:t>
      </w:r>
      <w:r w:rsidR="00A81FFB" w:rsidRPr="000A7E43">
        <w:rPr>
          <w:sz w:val="24"/>
          <w:lang w:val="fi-FI"/>
        </w:rPr>
        <w:tab/>
      </w:r>
      <w:r w:rsidRPr="000A7E43">
        <w:rPr>
          <w:sz w:val="24"/>
          <w:lang w:val="fi-FI"/>
        </w:rPr>
        <w:t xml:space="preserve">GU L, 2023/2721, 5.12.2023, ELI: </w:t>
      </w:r>
      <w:hyperlink r:id="rId19" w:history="1">
        <w:r w:rsidRPr="000A7E43">
          <w:rPr>
            <w:rStyle w:val="Hyperlink"/>
            <w:sz w:val="24"/>
            <w:lang w:val="fi-FI"/>
          </w:rPr>
          <w:t>http://data.europa.eu/eli/dec/2023/2721/oj</w:t>
        </w:r>
      </w:hyperlink>
      <w:r w:rsidRPr="000A7E43">
        <w:rPr>
          <w:sz w:val="24"/>
          <w:lang w:val="fi-FI"/>
        </w:rPr>
        <w:t xml:space="preserve">. </w:t>
      </w:r>
    </w:p>
  </w:footnote>
  <w:footnote w:id="21">
    <w:p w14:paraId="48968EC1" w14:textId="34022E11" w:rsidR="005733D5" w:rsidRPr="00A81FFB" w:rsidRDefault="005733D5" w:rsidP="00A81FFB">
      <w:pPr>
        <w:pStyle w:val="FootnoteText"/>
        <w:ind w:left="567" w:hanging="567"/>
        <w:rPr>
          <w:sz w:val="24"/>
          <w:lang w:val="it-IT"/>
        </w:rPr>
      </w:pPr>
      <w:r w:rsidRPr="00A81FFB">
        <w:rPr>
          <w:rStyle w:val="FootnoteReference"/>
          <w:sz w:val="24"/>
          <w:lang w:val="it-IT"/>
        </w:rPr>
        <w:footnoteRef/>
      </w:r>
      <w:r w:rsidR="00A81FFB" w:rsidRPr="00A81FFB">
        <w:rPr>
          <w:sz w:val="24"/>
          <w:lang w:val="it-IT"/>
        </w:rPr>
        <w:t xml:space="preserve"> </w:t>
      </w:r>
      <w:r w:rsidR="00A81FFB" w:rsidRPr="00A81FFB">
        <w:rPr>
          <w:sz w:val="24"/>
          <w:lang w:val="it-IT"/>
        </w:rPr>
        <w:tab/>
      </w:r>
      <w:r w:rsidRPr="00A81FFB">
        <w:rPr>
          <w:sz w:val="24"/>
          <w:lang w:val="it-IT"/>
        </w:rPr>
        <w:t>Regolamento (CE) n. 2271/96 del Consiglio</w:t>
      </w:r>
      <w:r w:rsidR="00970079">
        <w:rPr>
          <w:sz w:val="24"/>
          <w:lang w:val="it-IT"/>
        </w:rPr>
        <w:t>,</w:t>
      </w:r>
      <w:r w:rsidRPr="00A81FFB">
        <w:rPr>
          <w:sz w:val="24"/>
          <w:lang w:val="it-IT"/>
        </w:rPr>
        <w:t xml:space="preserve"> del 22 novembre 1996</w:t>
      </w:r>
      <w:r w:rsidR="00970079">
        <w:rPr>
          <w:sz w:val="24"/>
          <w:lang w:val="it-IT"/>
        </w:rPr>
        <w:t>,</w:t>
      </w:r>
      <w:r w:rsidRPr="00A81FFB">
        <w:rPr>
          <w:sz w:val="24"/>
          <w:lang w:val="it-IT"/>
        </w:rPr>
        <w:t xml:space="preserve"> relativo alla protezione dagli effetti extraterritoriali derivanti dall'applicazione di una normativa adottata da un paese terzo, e dalle azioni su di essa basate o da essa derivanti (GU L 309 del 29.11.1996, pag. 1, ELI: </w:t>
      </w:r>
      <w:hyperlink r:id="rId20" w:history="1">
        <w:r w:rsidRPr="00A81FFB">
          <w:rPr>
            <w:rStyle w:val="Hyperlink"/>
            <w:sz w:val="24"/>
            <w:lang w:val="it-IT"/>
          </w:rPr>
          <w:t>http://data.europa.eu/eli/reg/1996/2271/</w:t>
        </w:r>
        <w:proofErr w:type="spellStart"/>
        <w:r w:rsidRPr="00A81FFB">
          <w:rPr>
            <w:rStyle w:val="Hyperlink"/>
            <w:sz w:val="24"/>
            <w:lang w:val="it-IT"/>
          </w:rPr>
          <w:t>oj</w:t>
        </w:r>
        <w:proofErr w:type="spellEnd"/>
      </w:hyperlink>
      <w:r w:rsidRPr="00A81FFB">
        <w:rPr>
          <w:sz w:val="24"/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74802" w14:textId="77777777" w:rsidR="00064002" w:rsidRPr="00A81F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05FB5" w14:textId="77777777" w:rsidR="00064002" w:rsidRPr="00A81F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908E8" w14:textId="77777777" w:rsidR="00064002" w:rsidRPr="00A81F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78295403">
    <w:abstractNumId w:val="9"/>
  </w:num>
  <w:num w:numId="2" w16cid:durableId="1007058581">
    <w:abstractNumId w:val="9"/>
  </w:num>
  <w:num w:numId="3" w16cid:durableId="1387333758">
    <w:abstractNumId w:val="7"/>
  </w:num>
  <w:num w:numId="4" w16cid:durableId="388039337">
    <w:abstractNumId w:val="7"/>
  </w:num>
  <w:num w:numId="5" w16cid:durableId="961883998">
    <w:abstractNumId w:val="6"/>
  </w:num>
  <w:num w:numId="6" w16cid:durableId="130949702">
    <w:abstractNumId w:val="6"/>
  </w:num>
  <w:num w:numId="7" w16cid:durableId="359013298">
    <w:abstractNumId w:val="5"/>
  </w:num>
  <w:num w:numId="8" w16cid:durableId="987049129">
    <w:abstractNumId w:val="5"/>
  </w:num>
  <w:num w:numId="9" w16cid:durableId="39132608">
    <w:abstractNumId w:val="4"/>
  </w:num>
  <w:num w:numId="10" w16cid:durableId="1770544609">
    <w:abstractNumId w:val="4"/>
  </w:num>
  <w:num w:numId="11" w16cid:durableId="1326474522">
    <w:abstractNumId w:val="8"/>
  </w:num>
  <w:num w:numId="12" w16cid:durableId="1228691945">
    <w:abstractNumId w:val="8"/>
  </w:num>
  <w:num w:numId="13" w16cid:durableId="1531994552">
    <w:abstractNumId w:val="3"/>
  </w:num>
  <w:num w:numId="14" w16cid:durableId="423914021">
    <w:abstractNumId w:val="3"/>
  </w:num>
  <w:num w:numId="15" w16cid:durableId="974867977">
    <w:abstractNumId w:val="2"/>
  </w:num>
  <w:num w:numId="16" w16cid:durableId="978459041">
    <w:abstractNumId w:val="2"/>
  </w:num>
  <w:num w:numId="17" w16cid:durableId="758797520">
    <w:abstractNumId w:val="1"/>
  </w:num>
  <w:num w:numId="18" w16cid:durableId="137697509">
    <w:abstractNumId w:val="1"/>
  </w:num>
  <w:num w:numId="19" w16cid:durableId="1269391317">
    <w:abstractNumId w:val="0"/>
  </w:num>
  <w:num w:numId="20" w16cid:durableId="1649435853">
    <w:abstractNumId w:val="0"/>
  </w:num>
  <w:num w:numId="21" w16cid:durableId="1532186066">
    <w:abstractNumId w:val="9"/>
  </w:num>
  <w:num w:numId="22" w16cid:durableId="1605071664">
    <w:abstractNumId w:val="7"/>
  </w:num>
  <w:num w:numId="23" w16cid:durableId="410662320">
    <w:abstractNumId w:val="6"/>
  </w:num>
  <w:num w:numId="24" w16cid:durableId="1649433264">
    <w:abstractNumId w:val="5"/>
  </w:num>
  <w:num w:numId="25" w16cid:durableId="580211779">
    <w:abstractNumId w:val="4"/>
  </w:num>
  <w:num w:numId="26" w16cid:durableId="560483405">
    <w:abstractNumId w:val="8"/>
  </w:num>
  <w:num w:numId="27" w16cid:durableId="1399208040">
    <w:abstractNumId w:val="3"/>
  </w:num>
  <w:num w:numId="28" w16cid:durableId="425811666">
    <w:abstractNumId w:val="2"/>
  </w:num>
  <w:num w:numId="29" w16cid:durableId="1915775705">
    <w:abstractNumId w:val="1"/>
  </w:num>
  <w:num w:numId="30" w16cid:durableId="1031877781">
    <w:abstractNumId w:val="0"/>
  </w:num>
  <w:num w:numId="31" w16cid:durableId="1187596564">
    <w:abstractNumId w:val="9"/>
  </w:num>
  <w:num w:numId="32" w16cid:durableId="336882636">
    <w:abstractNumId w:val="7"/>
  </w:num>
  <w:num w:numId="33" w16cid:durableId="171070296">
    <w:abstractNumId w:val="6"/>
  </w:num>
  <w:num w:numId="34" w16cid:durableId="870460234">
    <w:abstractNumId w:val="5"/>
  </w:num>
  <w:num w:numId="35" w16cid:durableId="247544981">
    <w:abstractNumId w:val="4"/>
  </w:num>
  <w:num w:numId="36" w16cid:durableId="1330061948">
    <w:abstractNumId w:val="8"/>
  </w:num>
  <w:num w:numId="37" w16cid:durableId="368721477">
    <w:abstractNumId w:val="3"/>
  </w:num>
  <w:num w:numId="38" w16cid:durableId="1338581695">
    <w:abstractNumId w:val="2"/>
  </w:num>
  <w:num w:numId="39" w16cid:durableId="2057896761">
    <w:abstractNumId w:val="1"/>
  </w:num>
  <w:num w:numId="40" w16cid:durableId="637799932">
    <w:abstractNumId w:val="0"/>
  </w:num>
  <w:num w:numId="41" w16cid:durableId="1680740922">
    <w:abstractNumId w:val="10"/>
  </w:num>
  <w:num w:numId="42" w16cid:durableId="490947697">
    <w:abstractNumId w:val="10"/>
  </w:num>
  <w:num w:numId="43" w16cid:durableId="547566917">
    <w:abstractNumId w:val="10"/>
  </w:num>
  <w:num w:numId="44" w16cid:durableId="12368152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6/2025"/>
    <w:docVar w:name="dvlangue" w:val="IT"/>
    <w:docVar w:name="dvnumam" w:val="0"/>
    <w:docVar w:name="dvpe" w:val="775.385"/>
    <w:docVar w:name="dvrapporteur" w:val="Relatore: "/>
    <w:docVar w:name="dvtitre" w:val="Risoluzione del Parlamento europeo del 21 gennaio 2026 &quot;Combattere l'impunità con le sanzioni dell'UE, incluso il regime globale di sanzioni dell'UE in materia di diritti umani (cosiddetta &quot;legge Magnitsky dell'UE&quot;)&quot;(2025/2049(INI))"/>
  </w:docVars>
  <w:rsids>
    <w:rsidRoot w:val="00B041C3"/>
    <w:rsid w:val="00002272"/>
    <w:rsid w:val="00064002"/>
    <w:rsid w:val="000677B9"/>
    <w:rsid w:val="000831BA"/>
    <w:rsid w:val="000A42CC"/>
    <w:rsid w:val="000A7E43"/>
    <w:rsid w:val="000D62E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B9D"/>
    <w:rsid w:val="00471C19"/>
    <w:rsid w:val="004867E3"/>
    <w:rsid w:val="00494A28"/>
    <w:rsid w:val="004C0004"/>
    <w:rsid w:val="004C5D52"/>
    <w:rsid w:val="0050519A"/>
    <w:rsid w:val="005072A1"/>
    <w:rsid w:val="00514517"/>
    <w:rsid w:val="00540410"/>
    <w:rsid w:val="00545827"/>
    <w:rsid w:val="00560270"/>
    <w:rsid w:val="005733D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079"/>
    <w:rsid w:val="00981893"/>
    <w:rsid w:val="00A1687D"/>
    <w:rsid w:val="00A43E52"/>
    <w:rsid w:val="00A4678D"/>
    <w:rsid w:val="00A778C7"/>
    <w:rsid w:val="00A81FFB"/>
    <w:rsid w:val="00AA24D7"/>
    <w:rsid w:val="00AB441E"/>
    <w:rsid w:val="00AB6293"/>
    <w:rsid w:val="00AE0928"/>
    <w:rsid w:val="00AF3B82"/>
    <w:rsid w:val="00B041C3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740A"/>
    <w:rsid w:val="00D56C11"/>
    <w:rsid w:val="00D834A0"/>
    <w:rsid w:val="00D872DF"/>
    <w:rsid w:val="00D91E21"/>
    <w:rsid w:val="00DA7FCD"/>
    <w:rsid w:val="00E27E6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F2F1D"/>
  <w15:chartTrackingRefBased/>
  <w15:docId w15:val="{7F1A1C95-F06A-4EBF-926D-95E6E8EC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733D5"/>
    <w:pPr>
      <w:spacing w:after="240"/>
      <w:ind w:left="567" w:hanging="567"/>
    </w:pPr>
  </w:style>
  <w:style w:type="paragraph" w:customStyle="1" w:styleId="EPComma">
    <w:name w:val="EPComma"/>
    <w:basedOn w:val="Normal"/>
    <w:rsid w:val="005733D5"/>
    <w:pPr>
      <w:spacing w:before="480" w:after="240"/>
    </w:pPr>
  </w:style>
  <w:style w:type="character" w:styleId="Hyperlink">
    <w:name w:val="Hyperlink"/>
    <w:basedOn w:val="DefaultParagraphFont"/>
    <w:rsid w:val="005733D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A7E43"/>
    <w:rPr>
      <w:sz w:val="24"/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0A7E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A7E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1/2197/oj" TargetMode="External"/><Relationship Id="rId13" Type="http://schemas.openxmlformats.org/officeDocument/2006/relationships/hyperlink" Target="http://data.europa.eu/eli/dec/2024/1175/oj" TargetMode="External"/><Relationship Id="rId18" Type="http://schemas.openxmlformats.org/officeDocument/2006/relationships/hyperlink" Target="http://data.europa.eu/eli/C/2025/4390/oj" TargetMode="External"/><Relationship Id="rId3" Type="http://schemas.openxmlformats.org/officeDocument/2006/relationships/hyperlink" Target="http://data.europa.eu/eli/reg_impl/2021/371/oj" TargetMode="External"/><Relationship Id="rId7" Type="http://schemas.openxmlformats.org/officeDocument/2006/relationships/hyperlink" Target="http://data.europa.eu/eli/dec/2021/481/oj" TargetMode="External"/><Relationship Id="rId12" Type="http://schemas.openxmlformats.org/officeDocument/2006/relationships/hyperlink" Target="http://data.europa.eu/eli/dec/2024/1074/oj" TargetMode="External"/><Relationship Id="rId17" Type="http://schemas.openxmlformats.org/officeDocument/2006/relationships/hyperlink" Target="http://data.europa.eu/eli/dec/2025/1110/oj" TargetMode="External"/><Relationship Id="rId2" Type="http://schemas.openxmlformats.org/officeDocument/2006/relationships/hyperlink" Target="http://data.europa.eu/eli/reg/2020/1998/oj" TargetMode="External"/><Relationship Id="rId16" Type="http://schemas.openxmlformats.org/officeDocument/2006/relationships/hyperlink" Target="http://data.europa.eu/eli/dec/2025/346/oj" TargetMode="External"/><Relationship Id="rId20" Type="http://schemas.openxmlformats.org/officeDocument/2006/relationships/hyperlink" Target="http://data.europa.eu/eli/reg/1996/2271/oj" TargetMode="External"/><Relationship Id="rId1" Type="http://schemas.openxmlformats.org/officeDocument/2006/relationships/hyperlink" Target="http://data.europa.eu/eli/dec/2020/1999/oj" TargetMode="External"/><Relationship Id="rId6" Type="http://schemas.openxmlformats.org/officeDocument/2006/relationships/hyperlink" Target="http://data.europa.eu/eli/dec/2021/372/oj" TargetMode="External"/><Relationship Id="rId11" Type="http://schemas.openxmlformats.org/officeDocument/2006/relationships/hyperlink" Target="http://data.europa.eu/eli/dec/2024/1025/oj" TargetMode="External"/><Relationship Id="rId5" Type="http://schemas.openxmlformats.org/officeDocument/2006/relationships/hyperlink" Target="http://data.europa.eu/eli/reg_impl/2025/1111/oj" TargetMode="External"/><Relationship Id="rId15" Type="http://schemas.openxmlformats.org/officeDocument/2006/relationships/hyperlink" Target="http://data.europa.eu/eli/dec/2024/3004/oj" TargetMode="External"/><Relationship Id="rId10" Type="http://schemas.openxmlformats.org/officeDocument/2006/relationships/hyperlink" Target="http://data.europa.eu/eli/dec/2023/1716/oj" TargetMode="External"/><Relationship Id="rId19" Type="http://schemas.openxmlformats.org/officeDocument/2006/relationships/hyperlink" Target="http://data.europa.eu/eli/dec/2023/2721/oj" TargetMode="External"/><Relationship Id="rId4" Type="http://schemas.openxmlformats.org/officeDocument/2006/relationships/hyperlink" Target="http://data.europa.eu/eli/reg_impl/2021/478/oj" TargetMode="External"/><Relationship Id="rId9" Type="http://schemas.openxmlformats.org/officeDocument/2006/relationships/hyperlink" Target="http://data.europa.eu/eli/dec/2023/1504/oj" TargetMode="External"/><Relationship Id="rId14" Type="http://schemas.openxmlformats.org/officeDocument/2006/relationships/hyperlink" Target="http://data.europa.eu/eli/dec/2024/1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4351</Words>
  <Characters>25915</Characters>
  <Application>Microsoft Office Word</Application>
  <DocSecurity>0</DocSecurity>
  <Lines>893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CAPPELLI Rita</cp:lastModifiedBy>
  <cp:revision>2</cp:revision>
  <cp:lastPrinted>2004-11-19T15:42:00Z</cp:lastPrinted>
  <dcterms:created xsi:type="dcterms:W3CDTF">2026-03-03T09:08:00Z</dcterms:created>
  <dcterms:modified xsi:type="dcterms:W3CDTF">2026-03-03T09:08:00Z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A10-0266/2025</vt:lpwstr>
  </property>
  <property fmtid="{D5CDD505-2E9C-101B-9397-08002B2CF9AE}" pid="4" name="&lt;Type&gt;">
    <vt:lpwstr>RR</vt:lpwstr>
  </property>
</Properties>
</file>