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693E" w14:paraId="234482F2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E292020" w14:textId="77777777" w:rsidR="00751A4A" w:rsidRPr="00AA693E" w:rsidRDefault="005A49CA" w:rsidP="0010095E">
            <w:pPr>
              <w:pStyle w:val="EPName"/>
            </w:pPr>
            <w:r w:rsidRPr="00AA693E">
              <w:t>Parlament Europejski</w:t>
            </w:r>
          </w:p>
          <w:p w14:paraId="3AC265D5" w14:textId="77777777" w:rsidR="00751A4A" w:rsidRPr="00AA69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693E">
              <w:t>2024</w:t>
            </w:r>
            <w:r w:rsidR="00817416" w:rsidRPr="00AA693E">
              <w:t>-202</w:t>
            </w:r>
            <w:r w:rsidRPr="00AA693E">
              <w:t>9</w:t>
            </w:r>
          </w:p>
        </w:tc>
        <w:tc>
          <w:tcPr>
            <w:tcW w:w="2268" w:type="dxa"/>
            <w:shd w:val="clear" w:color="auto" w:fill="auto"/>
          </w:tcPr>
          <w:p w14:paraId="4EC9801C" w14:textId="77777777" w:rsidR="00751A4A" w:rsidRPr="00AA693E" w:rsidRDefault="00187494" w:rsidP="0010095E">
            <w:pPr>
              <w:pStyle w:val="EPLogo"/>
            </w:pPr>
            <w:r w:rsidRPr="00AA693E">
              <w:rPr>
                <w:noProof/>
                <w:lang w:eastAsia="ja-JP"/>
              </w:rPr>
              <w:drawing>
                <wp:inline distT="0" distB="0" distL="0" distR="0" wp14:anchorId="5BAAD639" wp14:editId="43E939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60506A" w14:textId="77777777" w:rsidR="00D058B8" w:rsidRPr="00AA693E" w:rsidRDefault="00D058B8" w:rsidP="004C5D52">
      <w:pPr>
        <w:pStyle w:val="LineTop"/>
      </w:pPr>
    </w:p>
    <w:p w14:paraId="07F9A576" w14:textId="77777777" w:rsidR="00680577" w:rsidRPr="00AA693E" w:rsidRDefault="005A49CA" w:rsidP="00680577">
      <w:pPr>
        <w:pStyle w:val="EPBodyTA1"/>
      </w:pPr>
      <w:r w:rsidRPr="00AA693E">
        <w:t>TEKSTY PRZYJĘTE</w:t>
      </w:r>
    </w:p>
    <w:p w14:paraId="0F4D6721" w14:textId="77777777" w:rsidR="00D058B8" w:rsidRPr="00AA693E" w:rsidRDefault="00D058B8" w:rsidP="00D058B8">
      <w:pPr>
        <w:pStyle w:val="LineBottom"/>
      </w:pPr>
    </w:p>
    <w:p w14:paraId="277A0680" w14:textId="4B6258D8" w:rsidR="005A49CA" w:rsidRPr="00AA693E" w:rsidRDefault="005A49CA" w:rsidP="005A49CA">
      <w:pPr>
        <w:pStyle w:val="ATHeading1"/>
      </w:pPr>
      <w:bookmarkStart w:id="0" w:name="TANumber"/>
      <w:r w:rsidRPr="00AA693E">
        <w:t>P10_TA(2026)00</w:t>
      </w:r>
      <w:r w:rsidR="00593437">
        <w:t>15</w:t>
      </w:r>
      <w:bookmarkEnd w:id="0"/>
    </w:p>
    <w:p w14:paraId="0F58281B" w14:textId="53A32BF9" w:rsidR="005A49CA" w:rsidRPr="00AA693E" w:rsidRDefault="00DE3432" w:rsidP="00DE3432">
      <w:pPr>
        <w:pStyle w:val="ATHeading2"/>
      </w:pPr>
      <w:bookmarkStart w:id="1" w:name="title"/>
      <w:r>
        <w:t>Zastosowanie sankcji unijnych w zwalczaniu bezkarności, w tym poprzez globalny system sankcji UE za naruszenia praw człowieka (europejska ustawa Magnickiego)</w:t>
      </w:r>
      <w:bookmarkEnd w:id="1"/>
    </w:p>
    <w:p w14:paraId="440751D9" w14:textId="77777777" w:rsidR="005A49CA" w:rsidRPr="00AA693E" w:rsidRDefault="005A49CA" w:rsidP="005A49CA">
      <w:pPr>
        <w:rPr>
          <w:i/>
          <w:vanish/>
        </w:rPr>
      </w:pPr>
      <w:r w:rsidRPr="00AA693E">
        <w:rPr>
          <w:i/>
        </w:rPr>
        <w:fldChar w:fldCharType="begin"/>
      </w:r>
      <w:r w:rsidRPr="00AA693E">
        <w:rPr>
          <w:i/>
        </w:rPr>
        <w:instrText xml:space="preserve"> TC"(</w:instrText>
      </w:r>
      <w:bookmarkStart w:id="2" w:name="DocNumber"/>
      <w:r w:rsidRPr="00AA693E">
        <w:rPr>
          <w:i/>
        </w:rPr>
        <w:instrText>A10-0266/2025</w:instrText>
      </w:r>
      <w:bookmarkEnd w:id="2"/>
      <w:r w:rsidRPr="00AA693E">
        <w:rPr>
          <w:i/>
        </w:rPr>
        <w:instrText xml:space="preserve"> - Sprawozdawca: Antonio López-Istúriz White)"\l3 \n&gt; \* MERGEFORMAT </w:instrText>
      </w:r>
      <w:r w:rsidRPr="00AA693E">
        <w:rPr>
          <w:i/>
        </w:rPr>
        <w:fldChar w:fldCharType="end"/>
      </w:r>
    </w:p>
    <w:p w14:paraId="67DBDAF4" w14:textId="77777777" w:rsidR="005A49CA" w:rsidRPr="00AA693E" w:rsidRDefault="005A49CA" w:rsidP="005A49CA">
      <w:pPr>
        <w:rPr>
          <w:vanish/>
        </w:rPr>
      </w:pPr>
      <w:bookmarkStart w:id="3" w:name="Commission"/>
      <w:r w:rsidRPr="00AA693E">
        <w:rPr>
          <w:vanish/>
        </w:rPr>
        <w:t>Komisja Spraw Zagranicznych</w:t>
      </w:r>
      <w:bookmarkEnd w:id="3"/>
    </w:p>
    <w:p w14:paraId="786BBCC5" w14:textId="77777777" w:rsidR="005A49CA" w:rsidRPr="00AA693E" w:rsidRDefault="005A49CA" w:rsidP="005A49CA">
      <w:pPr>
        <w:rPr>
          <w:vanish/>
        </w:rPr>
      </w:pPr>
      <w:bookmarkStart w:id="4" w:name="PE"/>
      <w:r w:rsidRPr="00AA693E">
        <w:rPr>
          <w:vanish/>
        </w:rPr>
        <w:t>PE775.385</w:t>
      </w:r>
      <w:bookmarkEnd w:id="4"/>
    </w:p>
    <w:p w14:paraId="5835D49D" w14:textId="448730BC" w:rsidR="005A49CA" w:rsidRPr="00AA693E" w:rsidRDefault="005A49CA" w:rsidP="005A49CA">
      <w:pPr>
        <w:pStyle w:val="ATHeading3"/>
      </w:pPr>
      <w:bookmarkStart w:id="5" w:name="Sujet"/>
      <w:r w:rsidRPr="00AA693E">
        <w:t xml:space="preserve">Rezolucja Parlamentu Europejskiego z dnia </w:t>
      </w:r>
      <w:r w:rsidR="00DE3432">
        <w:t>21 stycznia</w:t>
      </w:r>
      <w:r w:rsidRPr="00AA693E">
        <w:t xml:space="preserve"> 2026 r. w sprawie zastosowania sankcji unijnych w zwalczaniu bezkarności, w tym poprzez globalny system sankcji UE za naruszenia praw człowieka (europejska ustawa Magnickiego)</w:t>
      </w:r>
      <w:bookmarkEnd w:id="5"/>
      <w:r w:rsidRPr="00AA693E">
        <w:t xml:space="preserve"> </w:t>
      </w:r>
      <w:bookmarkStart w:id="6" w:name="References"/>
      <w:r w:rsidRPr="00AA693E">
        <w:t>(2025/2049(INI))</w:t>
      </w:r>
      <w:bookmarkEnd w:id="6"/>
    </w:p>
    <w:p w14:paraId="6DBB78FF" w14:textId="77777777" w:rsidR="007D3387" w:rsidRPr="00AA693E" w:rsidRDefault="007D3387" w:rsidP="007D3387">
      <w:pPr>
        <w:pStyle w:val="EPComma"/>
      </w:pPr>
      <w:r w:rsidRPr="00AA693E">
        <w:rPr>
          <w:i/>
        </w:rPr>
        <w:t>Parlament Europejski</w:t>
      </w:r>
      <w:r w:rsidRPr="00AA693E">
        <w:t>,</w:t>
      </w:r>
    </w:p>
    <w:p w14:paraId="4C1DC03A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 xml:space="preserve">uwzględniając Powszechną deklarację praw człowieka z 10 grudnia 1948 r., </w:t>
      </w:r>
    </w:p>
    <w:p w14:paraId="2C6458FF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 xml:space="preserve">uwzględniając Europejską Konwencję o ochronie praw człowieka i podstawowych wolności z 4 listopada 1950 r., </w:t>
      </w:r>
    </w:p>
    <w:p w14:paraId="20B70601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 xml:space="preserve">uwzględniając Międzynarodowy pakt praw obywatelskich i politycznych z 16 grudnia 1966 r.,  </w:t>
      </w:r>
    </w:p>
    <w:p w14:paraId="286E2643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 xml:space="preserve">uwzględniając konwencję ONZ w sprawie zakazu stosowania tortur oraz innego okrutnego, nieludzkiego lub poniżającego traktowania albo karania z 10 grudnia 1984 r., </w:t>
      </w:r>
    </w:p>
    <w:p w14:paraId="24BEA046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Traktat o Unii Europejskiej (TUE), w szczególności jego art. 2, art. 3 ust. 5, art. 21, art. 23, art. 29 i art. 31 ust. 2,</w:t>
      </w:r>
    </w:p>
    <w:p w14:paraId="40175F4B" w14:textId="74EC9BEA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art. 215 Traktatu o funkcjonowaniu Unii Europejskiej, który dotyczy przyjmowania środków ograniczających wobec osób fizycznych lub prawnych, grup lub podmiotów innych niż państwa,</w:t>
      </w:r>
    </w:p>
    <w:p w14:paraId="5BAF8D1F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Kartę praw podstawowych Unii Europejskiej,</w:t>
      </w:r>
    </w:p>
    <w:p w14:paraId="78C5C609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deklarację nr 25 załączoną do Traktatu z Lizbony, która dotyczy konieczności ochrony i przestrzegania praw procesowych osób lub podmiotów, wobec których UE przyjmuje środki ograniczające lub środki służące zwalczaniu terroryzmu,</w:t>
      </w:r>
    </w:p>
    <w:p w14:paraId="564B3710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swoje rezolucje przyjęte zgodnie z art. 150 Regulaminu, dotyczące łamania praw człowieka, demokracji i praworządności (tzw. rezolucje w trybie pilnym),</w:t>
      </w:r>
    </w:p>
    <w:p w14:paraId="1E8C3AF4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decyzję Rady (WPZiB) 2020/1999</w:t>
      </w:r>
      <w:r w:rsidRPr="00AA693E">
        <w:rPr>
          <w:rStyle w:val="FootnoteReference"/>
        </w:rPr>
        <w:footnoteReference w:id="1"/>
      </w:r>
      <w:r w:rsidRPr="00AA693E">
        <w:t xml:space="preserve"> oraz rozporządzenie Rady (UE) </w:t>
      </w:r>
      <w:r w:rsidRPr="00AA693E">
        <w:lastRenderedPageBreak/>
        <w:t>2020/1998</w:t>
      </w:r>
      <w:r w:rsidRPr="00AA693E">
        <w:rPr>
          <w:rStyle w:val="FootnoteReference"/>
        </w:rPr>
        <w:footnoteReference w:id="2"/>
      </w:r>
      <w:r w:rsidRPr="00AA693E">
        <w:t xml:space="preserve"> z dnia 7 grudnia 2020 r. w sprawie środków ograniczających stosowanych w sytuacji poważnych pogwałceń i naruszeń praw człowieka,</w:t>
      </w:r>
    </w:p>
    <w:p w14:paraId="04BE69D4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rozporządzenie wykonawcze Rady (UE) 2021/371 z dnia 2 marca 2021 r.</w:t>
      </w:r>
      <w:r w:rsidRPr="00AA693E">
        <w:rPr>
          <w:rStyle w:val="FootnoteReference"/>
        </w:rPr>
        <w:footnoteReference w:id="3"/>
      </w:r>
      <w:r w:rsidRPr="00AA693E">
        <w:t>, (UE) 2021/478 z dnia 22 marca 2021 r.</w:t>
      </w:r>
      <w:r w:rsidRPr="00AA693E">
        <w:rPr>
          <w:rStyle w:val="FootnoteReference"/>
        </w:rPr>
        <w:footnoteReference w:id="4"/>
      </w:r>
      <w:r w:rsidRPr="00AA693E">
        <w:t xml:space="preserve"> oraz (UE) 2025/1111 z dnia 28 maja 2025 r.</w:t>
      </w:r>
      <w:r w:rsidRPr="00AA693E">
        <w:rPr>
          <w:rStyle w:val="FootnoteReference"/>
        </w:rPr>
        <w:footnoteReference w:id="5"/>
      </w:r>
      <w:r w:rsidRPr="00AA693E">
        <w:t xml:space="preserve"> wykonujące rozporządzenie (UE) 2020/1998 w sprawie środków ograniczających stosowanych w sytuacji poważnych pogwałceń i naruszeń praw człowieka,</w:t>
      </w:r>
    </w:p>
    <w:p w14:paraId="17EE8C8F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decyzje Rady zmieniające decyzję Rady (WPZiB) 2020/1999, w tym decyzje Rady (WPZiB) 2021/372 z dnia 2 marca 2021 r.</w:t>
      </w:r>
      <w:r w:rsidRPr="00AA693E">
        <w:rPr>
          <w:rStyle w:val="FootnoteReference"/>
        </w:rPr>
        <w:footnoteReference w:id="6"/>
      </w:r>
      <w:r w:rsidRPr="00AA693E">
        <w:t>, (WPZiB) 2021/481 z dnia 22 marca 2021 r.</w:t>
      </w:r>
      <w:r w:rsidRPr="00AA693E">
        <w:rPr>
          <w:rStyle w:val="FootnoteReference"/>
        </w:rPr>
        <w:footnoteReference w:id="7"/>
      </w:r>
      <w:r w:rsidRPr="00AA693E">
        <w:t>, (WPZiB) 2021/2197 z dnia 13 grudnia 2021 r.</w:t>
      </w:r>
      <w:r w:rsidRPr="00AA693E">
        <w:rPr>
          <w:rStyle w:val="FootnoteReference"/>
        </w:rPr>
        <w:footnoteReference w:id="8"/>
      </w:r>
      <w:r w:rsidRPr="00AA693E">
        <w:t>, (WPZiB) 2023/1504 z dnia 20 lipca 2023 r.</w:t>
      </w:r>
      <w:r w:rsidRPr="00AA693E">
        <w:rPr>
          <w:rStyle w:val="FootnoteReference"/>
        </w:rPr>
        <w:footnoteReference w:id="9"/>
      </w:r>
      <w:r w:rsidRPr="00AA693E">
        <w:t>, (WPZiB) 2023/1716 z dnia 8 września 2023 r.</w:t>
      </w:r>
      <w:r w:rsidRPr="00AA693E">
        <w:rPr>
          <w:rStyle w:val="FootnoteReference"/>
        </w:rPr>
        <w:footnoteReference w:id="10"/>
      </w:r>
      <w:r w:rsidRPr="00AA693E">
        <w:t>, (WPZiB) 2024/1025 z dnia 4 kwietnia 2024 r.</w:t>
      </w:r>
      <w:r w:rsidRPr="00AA693E">
        <w:rPr>
          <w:rStyle w:val="FootnoteReference"/>
        </w:rPr>
        <w:footnoteReference w:id="11"/>
      </w:r>
      <w:r w:rsidRPr="00AA693E">
        <w:t>, (WPZiB) 2024/1074 z dnia 4 kwietnia 2024 r.</w:t>
      </w:r>
      <w:r w:rsidRPr="00AA693E">
        <w:rPr>
          <w:rStyle w:val="FootnoteReference"/>
        </w:rPr>
        <w:footnoteReference w:id="12"/>
      </w:r>
      <w:r w:rsidRPr="00AA693E">
        <w:t>, (WPZiB) 2024/1175 z dnia 19 kwietnia 2024 r.</w:t>
      </w:r>
      <w:r w:rsidRPr="00AA693E">
        <w:rPr>
          <w:rStyle w:val="FootnoteReference"/>
        </w:rPr>
        <w:footnoteReference w:id="13"/>
      </w:r>
      <w:r w:rsidRPr="00AA693E">
        <w:t>, 2024/1967 z 15 lipca 2024 r.</w:t>
      </w:r>
      <w:r w:rsidRPr="00AA693E">
        <w:rPr>
          <w:rStyle w:val="FootnoteReference"/>
        </w:rPr>
        <w:footnoteReference w:id="14"/>
      </w:r>
      <w:r w:rsidRPr="00AA693E">
        <w:t>, (WPZiB) 2024/3004 z dnia 2 grudnia 2024 r.</w:t>
      </w:r>
      <w:r w:rsidRPr="00AA693E">
        <w:rPr>
          <w:rStyle w:val="FootnoteReference"/>
        </w:rPr>
        <w:footnoteReference w:id="15"/>
      </w:r>
      <w:r w:rsidRPr="00AA693E">
        <w:t>, (WPZiB) 2025/346 z dnia 18 lutego 2025 r.</w:t>
      </w:r>
      <w:r w:rsidRPr="00AA693E">
        <w:rPr>
          <w:rStyle w:val="FootnoteReference"/>
        </w:rPr>
        <w:footnoteReference w:id="16"/>
      </w:r>
      <w:r w:rsidRPr="00AA693E">
        <w:t xml:space="preserve"> i (WPZiB) 2025/1110 z dnia 27 maja 2025 r.</w:t>
      </w:r>
      <w:r w:rsidRPr="00AA693E">
        <w:rPr>
          <w:rStyle w:val="FootnoteReference"/>
        </w:rPr>
        <w:footnoteReference w:id="17"/>
      </w:r>
      <w:r w:rsidRPr="00AA693E">
        <w:t>,</w:t>
      </w:r>
    </w:p>
    <w:p w14:paraId="359319AD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swoją rezolucję z dnia 8 lipca 2021 r. w sprawie globalnego systemu sankcji UE za naruszenia praw człowieka (europejska ustawa Magnickiego)</w:t>
      </w:r>
      <w:r w:rsidRPr="00AA693E">
        <w:rPr>
          <w:rStyle w:val="FootnoteReference"/>
        </w:rPr>
        <w:footnoteReference w:id="18"/>
      </w:r>
      <w:r w:rsidRPr="00AA693E">
        <w:t xml:space="preserve"> oraz swoją rezolucję z dnia 2 kwietnia 2025 r. w sprawie praw człowieka i demokracji na świecie oraz polityki Unii Europejskiej w tym zakresie – sprawozdanie roczne za 2024 r.</w:t>
      </w:r>
      <w:r w:rsidRPr="00AA693E">
        <w:rPr>
          <w:rStyle w:val="FootnoteReference"/>
        </w:rPr>
        <w:footnoteReference w:id="19"/>
      </w:r>
      <w:r w:rsidRPr="00AA693E">
        <w:t>,</w:t>
      </w:r>
    </w:p>
    <w:p w14:paraId="674CBF83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konkluzje Rady z dnia 18 listopada 2020 r. w sprawie planu działania UE dotyczącego praw człowieka i demokracji na lata 2020–2024, który przedłużono do 2027 r.,</w:t>
      </w:r>
    </w:p>
    <w:p w14:paraId="065BF13D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decyzję Rady (WPZiB) 2023/2721 z dnia 4 grudnia 2023 r. zmieniającą decyzję (WPZiB) 2020/1999 w sprawie środków ograniczających stosowanych w sytuacji poważnych pogwałceń i naruszeń praw człowieka</w:t>
      </w:r>
      <w:r w:rsidRPr="00AA693E">
        <w:rPr>
          <w:rStyle w:val="FootnoteReference"/>
        </w:rPr>
        <w:footnoteReference w:id="20"/>
      </w:r>
      <w:r w:rsidRPr="00AA693E">
        <w:t>, która przedłużyła obowiązywanie globalnego systemu sankcji UE za naruszenia praw człowieka (unijna ustawa Magnickiego) o trzy lata, czyli do 8 grudnia 2026 r.;</w:t>
      </w:r>
    </w:p>
    <w:p w14:paraId="1042732D" w14:textId="77777777" w:rsidR="007D3387" w:rsidRPr="00AA693E" w:rsidRDefault="007D3387" w:rsidP="007D3387">
      <w:pPr>
        <w:pStyle w:val="NormalHanging12a"/>
      </w:pPr>
      <w:r w:rsidRPr="00AA693E">
        <w:lastRenderedPageBreak/>
        <w:t>–</w:t>
      </w:r>
      <w:r w:rsidRPr="00AA693E">
        <w:tab/>
        <w:t>uwzględniając art. 55 Regulaminu,</w:t>
      </w:r>
    </w:p>
    <w:p w14:paraId="604939CC" w14:textId="77777777" w:rsidR="007D3387" w:rsidRPr="00AA693E" w:rsidRDefault="007D3387" w:rsidP="007D3387">
      <w:pPr>
        <w:pStyle w:val="NormalHanging12a"/>
      </w:pPr>
      <w:r w:rsidRPr="00AA693E">
        <w:t>–</w:t>
      </w:r>
      <w:r w:rsidRPr="00AA693E">
        <w:tab/>
        <w:t>uwzględniając sprawozdanie Komisji Spraw Zagranicznych (A10-0266/2025),</w:t>
      </w:r>
    </w:p>
    <w:p w14:paraId="743B26A4" w14:textId="77777777" w:rsidR="007D3387" w:rsidRPr="00AA693E" w:rsidRDefault="007D3387" w:rsidP="007D3387">
      <w:pPr>
        <w:pStyle w:val="NormalHanging12a"/>
      </w:pPr>
      <w:r w:rsidRPr="00AA693E">
        <w:t>A.</w:t>
      </w:r>
      <w:r w:rsidRPr="00AA693E">
        <w:tab/>
        <w:t>mając na uwadze, że art. 21 Traktatu o Unii Europejskiej (TUE) stanowi, iż działania Unii oparte są na zasadach demokracji, państwa prawnego, powszechności i niepodzielności praw człowieka i podstawowych wolności, poszanowania godności ludzkiej, zasad równości i solidarności oraz poszanowania zasad Karty Narodów Zjednoczonych oraz prawa międzynarodowego;</w:t>
      </w:r>
    </w:p>
    <w:p w14:paraId="1C46521F" w14:textId="77777777" w:rsidR="007D3387" w:rsidRPr="00AA693E" w:rsidRDefault="007D3387" w:rsidP="007D3387">
      <w:pPr>
        <w:pStyle w:val="NormalHanging12a"/>
      </w:pPr>
      <w:r w:rsidRPr="00AA693E">
        <w:t>B.</w:t>
      </w:r>
      <w:r w:rsidRPr="00AA693E">
        <w:tab/>
        <w:t>mając na uwadze, że przyjęta w grudniu 2020 r. unijna ustawa Magnickiego umożliwia UE nakładanie sankcji na osoby i podmioty odpowiedzialne za poważne naruszenia praw człowieka na całym świecie; mając na uwadze, że niektóre państwa członkowskie UE przyjęły własne przepisy krajowe w duchu unijnej ustawy Magnickiego, które są ważnymi narzędziami uzupełniającymi sankcje UE; mając na uwadze, że Stany Zjednoczone, Kanada, Zjednoczone Królestwo, Australia i inne kraje o zbieżnych poglądach przyjęły podobne systemy sankcji; mając na uwadze, że współpraca i koordynacja w dziedzinie sankcji między krajami o zbieżnych poglądach zwiększa skuteczność sankcji;</w:t>
      </w:r>
    </w:p>
    <w:p w14:paraId="50C94282" w14:textId="77777777" w:rsidR="007D3387" w:rsidRPr="00AA693E" w:rsidRDefault="007D3387" w:rsidP="007D3387">
      <w:pPr>
        <w:pStyle w:val="NormalHanging12a"/>
      </w:pPr>
      <w:r w:rsidRPr="00AA693E">
        <w:t xml:space="preserve">C. </w:t>
      </w:r>
      <w:r w:rsidRPr="00AA693E">
        <w:tab/>
        <w:t xml:space="preserve">mając na uwadze, że 27 sierpnia 2019 r. siedmiu sędziów Europejskiego Trybunału Praw Człowieka rozpatrujących sprawę </w:t>
      </w:r>
      <w:r w:rsidRPr="00AA693E">
        <w:rPr>
          <w:i/>
          <w:iCs/>
        </w:rPr>
        <w:t>Magnicki i inni przeciwko Rosji</w:t>
      </w:r>
      <w:r w:rsidRPr="00AA693E">
        <w:t xml:space="preserve"> (skargi nr 32631/09 i 53799/12) orzekło jednogłośnie, że Rosja odpowiada za śmierć Siergieja Magnickiego w więzieniu oraz że poddano go umyślnym aktom przemocy stanowiącym nieludzkie i poniżające traktowanie; mając na uwadze, że pomimo dochodzeń w sprawie jego zatrzymania, tortur, śmierci i bezprawnego pośmiertnego postępowania przeciw niemu nikogo nie pociągnięto do odpowiedzialności karnej;</w:t>
      </w:r>
    </w:p>
    <w:p w14:paraId="5409477F" w14:textId="77777777" w:rsidR="007D3387" w:rsidRPr="00AA693E" w:rsidRDefault="007D3387" w:rsidP="007D3387">
      <w:pPr>
        <w:pStyle w:val="NormalHanging12a"/>
      </w:pPr>
      <w:r w:rsidRPr="00AA693E">
        <w:t>D.</w:t>
      </w:r>
      <w:r w:rsidRPr="00AA693E">
        <w:tab/>
        <w:t>mając na uwadze, że w rezolucji z 8 lipca 2021 r. w sprawie globalnego systemu sankcji UE za naruszenia praw człowieka (europejska ustawa Magnickiego) Parlament wyraził zadowolenie z przyjęcia systemu sankcji jako niezbędnego uzupełnienia zestawu narzędzi UE w zakresie praw człowieka i polityki zagranicznej;</w:t>
      </w:r>
    </w:p>
    <w:p w14:paraId="0308BDEA" w14:textId="77777777" w:rsidR="007D3387" w:rsidRPr="00AA693E" w:rsidRDefault="007D3387" w:rsidP="007D3387">
      <w:pPr>
        <w:pStyle w:val="NormalHanging12a"/>
      </w:pPr>
      <w:r w:rsidRPr="00AA693E">
        <w:t>E.</w:t>
      </w:r>
      <w:r w:rsidRPr="00AA693E">
        <w:tab/>
        <w:t>mając na uwadze, że globalny system sankcji UE za naruszenia praw człowieka stosuje się w przypadku wielu różnych naruszeń praw człowieka, a sankcjami mogą być objęte różne osoby i podmioty, takie jak sprawcy, ich pomocnicy i strony trzecie udzielające materialnego wsparcia lub pomocy technicznej w stosowaniu represji;</w:t>
      </w:r>
    </w:p>
    <w:p w14:paraId="016A6745" w14:textId="77777777" w:rsidR="007D3387" w:rsidRPr="00AA693E" w:rsidRDefault="007D3387" w:rsidP="007D3387">
      <w:pPr>
        <w:pStyle w:val="NormalHanging12a"/>
      </w:pPr>
      <w:r w:rsidRPr="00AA693E">
        <w:t xml:space="preserve">F. </w:t>
      </w:r>
      <w:r w:rsidRPr="00AA693E">
        <w:tab/>
        <w:t xml:space="preserve">mając na uwadze, że globalny system sankcji UE za naruszenia praw człowieka jest wymierzony przeciwko indywidualnym sprawcom i podmiotom, a nie całym sektorom gospodarki, co ogranicza skutki uboczne dla ogółu społeczeństwa i nie utrudnia dostępu do żywności, leków ani usług publicznych; </w:t>
      </w:r>
    </w:p>
    <w:p w14:paraId="6A086A74" w14:textId="19469571" w:rsidR="007D3387" w:rsidRPr="00AA693E" w:rsidRDefault="007D3387" w:rsidP="007D3387">
      <w:pPr>
        <w:pStyle w:val="NormalHanging12a"/>
      </w:pPr>
      <w:r w:rsidRPr="00AA693E">
        <w:t>G.</w:t>
      </w:r>
      <w:r w:rsidRPr="00AA693E">
        <w:tab/>
        <w:t xml:space="preserve">mając na uwadze, że globalny system sankcji UE za naruszenia praw człowieka stosuje się również w przypadku powszechnych naruszeń lub nadużyć oraz systemowych lub poważnych zagrożeń dla celów wspólnej polityki zagranicznej i bezpieczeństwa określonych w art. 21 TUE, takich jak tortury i inne okrutne, nieludzkie lub poniżające traktowanie lub karanie, niewolnictwo, pozasądowe, doraźne lub arbitralne egzekucje i zabójstwa, wymuszone zaginięcia, arbitralne aresztowania lub zatrzymania, handel ludźmi, przemoc seksualna i przemoc ze względu na płeć, pogwałcenia lub naruszenia prawa do pokojowego zgromadzania się i zrzeszania się, pogwałcenia lub naruszenia prawa do wolności opinii i wypowiedzi oraz pogwałcenia lub naruszenia prawa do </w:t>
      </w:r>
      <w:r w:rsidRPr="00AA693E">
        <w:lastRenderedPageBreak/>
        <w:t>wolności religii lub przekonań;</w:t>
      </w:r>
    </w:p>
    <w:p w14:paraId="5FE8D14E" w14:textId="77777777" w:rsidR="007D3387" w:rsidRPr="00AA693E" w:rsidRDefault="007D3387" w:rsidP="007D3387">
      <w:pPr>
        <w:pStyle w:val="NormalHanging12a"/>
      </w:pPr>
      <w:r w:rsidRPr="00AA693E">
        <w:t>H.</w:t>
      </w:r>
      <w:r w:rsidRPr="00AA693E">
        <w:tab/>
        <w:t>mając na uwadze, że objęcie sankcjami w ramach globalnego systemu sankcji UE za naruszenia praw człowieka jest wyrazem międzynarodowego uznania dla ofiar naruszeń praw człowieka;</w:t>
      </w:r>
    </w:p>
    <w:p w14:paraId="01B27D06" w14:textId="77777777" w:rsidR="007D3387" w:rsidRPr="00AA693E" w:rsidRDefault="007D3387" w:rsidP="007D3387">
      <w:pPr>
        <w:pStyle w:val="NormalHanging12a"/>
      </w:pPr>
      <w:r w:rsidRPr="00AA693E">
        <w:t>I.</w:t>
      </w:r>
      <w:r w:rsidRPr="00AA693E">
        <w:tab/>
        <w:t xml:space="preserve">mając na uwadze, że na liście poważnych naruszeń praw człowieka, które mogą pociągnąć za sobą nałożenie sankcji w ramach globalnego systemu sankcji UE za naruszenia praw człowieka, nie umieszczono jeszcze represji transgranicznych; </w:t>
      </w:r>
    </w:p>
    <w:p w14:paraId="377300EF" w14:textId="77777777" w:rsidR="007D3387" w:rsidRPr="00AA693E" w:rsidRDefault="007D3387" w:rsidP="007D3387">
      <w:pPr>
        <w:pStyle w:val="NormalHanging12a"/>
      </w:pPr>
      <w:r w:rsidRPr="00AA693E">
        <w:t>J.</w:t>
      </w:r>
      <w:r w:rsidRPr="00AA693E">
        <w:tab/>
        <w:t>mając na uwadze, że w swoich licznych rezolucjach Parlament apelował o częstsze i bardziej elastyczne nakładanie sankcji za najpoważniejsze zbrodnie wagi międzynarodowej lub poważne naruszenia praw człowieka;</w:t>
      </w:r>
    </w:p>
    <w:p w14:paraId="51F79BAE" w14:textId="77777777" w:rsidR="007D3387" w:rsidRPr="00AA693E" w:rsidRDefault="007D3387" w:rsidP="007D3387">
      <w:pPr>
        <w:pStyle w:val="NormalHanging12a"/>
      </w:pPr>
      <w:r w:rsidRPr="00AA693E">
        <w:t>K.</w:t>
      </w:r>
      <w:r w:rsidRPr="00AA693E">
        <w:tab/>
        <w:t>mając na uwadze, że na dzień 4 listopada 2025 r. lista osób i podmiotów objętych sankcjami w ramach globalnego systemu sankcji UE za naruszenia praw człowieka liczyła 168 pozycji (131 osób i 37 podmiotów); mając na uwadze, że lista osób i podmiotów objętych sankcjami wydłużyła się, ale niewiele wiadomo o wpływie i skuteczności tego systemu;</w:t>
      </w:r>
    </w:p>
    <w:p w14:paraId="231C3E4D" w14:textId="77777777" w:rsidR="007D3387" w:rsidRPr="00AA693E" w:rsidRDefault="007D3387" w:rsidP="007D3387">
      <w:pPr>
        <w:pStyle w:val="NormalHanging12a"/>
      </w:pPr>
      <w:r w:rsidRPr="00AA693E">
        <w:t>L.</w:t>
      </w:r>
      <w:r w:rsidRPr="00AA693E">
        <w:tab/>
        <w:t>mając na uwadze, że pomimo postępów nadal istnieją znaczne luki pod względem geograficznym i tematycznym, jeżeli chodzi o objęcie sankcjami osób i podmiotów figurujących na wykazach transgranicznych oraz ustanawianie poziomów odniesienia dostosowanych do celów sankcji; mając na uwadze, że pomimo wielu apeli Parlamentu w globalnym systemie sankcji UE za naruszenia praw człowieka wciąż nie uznaje się korupcji za przestępstwo;</w:t>
      </w:r>
    </w:p>
    <w:p w14:paraId="0D8ECC85" w14:textId="77777777" w:rsidR="007D3387" w:rsidRPr="00AA693E" w:rsidRDefault="007D3387" w:rsidP="007D3387">
      <w:pPr>
        <w:pStyle w:val="NormalHanging12a"/>
      </w:pPr>
      <w:r w:rsidRPr="00AA693E">
        <w:t>M.</w:t>
      </w:r>
      <w:r w:rsidRPr="00AA693E">
        <w:tab/>
        <w:t>mając na uwadze, że sankcjami objęto głównie osoby i podmioty, które są odpowiedzialne za naruszenia integralności cielesnej i praw obywatelskich i politycznych, zwłaszcza naruszenia wobec przeciwników politycznych i aktywistów – w przeważającej mierze mężczyzn – działających w reżimach autorytarnych, a nie za najpoważniejsze zbrodnie wagi międzynarodowej, takie jak ludobójstwo, zbrodnie przeciwko ludzkości i systematyczne naruszenia praw społeczno-gospodarczych;</w:t>
      </w:r>
    </w:p>
    <w:p w14:paraId="3A48B4CD" w14:textId="77777777" w:rsidR="007D3387" w:rsidRPr="00AA693E" w:rsidRDefault="007D3387" w:rsidP="007D3387">
      <w:pPr>
        <w:pStyle w:val="NormalHanging12a"/>
      </w:pPr>
      <w:r w:rsidRPr="00AA693E">
        <w:t>N.</w:t>
      </w:r>
      <w:r w:rsidRPr="00AA693E">
        <w:tab/>
        <w:t>mając na uwadze, że sankcje są w dużej mierze skoncentrowane geograficznie, zgodnie ze strategicznymi relacjami oraz interesami geopolitycznymi UE, co oznacza, że pozostałych obszarów i kontekstów nie uwzględnia się wystarczająco;</w:t>
      </w:r>
    </w:p>
    <w:p w14:paraId="124CF5F1" w14:textId="77777777" w:rsidR="007D3387" w:rsidRPr="00AA693E" w:rsidRDefault="007D3387" w:rsidP="007D3387">
      <w:pPr>
        <w:pStyle w:val="NormalHanging12a"/>
      </w:pPr>
      <w:r w:rsidRPr="00AA693E">
        <w:t>O.</w:t>
      </w:r>
      <w:r w:rsidRPr="00AA693E">
        <w:tab/>
        <w:t>mając na uwadze, że poufność ewentualnego objęcia sankcjami lub ich zniesienia ma kluczowe znaczenie dla skuteczności globalnego systemu sankcji UE za naruszenia praw człowieka; mając na uwadze, że Parlament powinien odgrywać rolę w tym procesie;</w:t>
      </w:r>
    </w:p>
    <w:p w14:paraId="2D83CD62" w14:textId="77777777" w:rsidR="007D3387" w:rsidRPr="00AA693E" w:rsidRDefault="007D3387" w:rsidP="007D3387">
      <w:pPr>
        <w:pStyle w:val="NormalHanging12a"/>
      </w:pPr>
      <w:r w:rsidRPr="00AA693E">
        <w:t xml:space="preserve">P. </w:t>
      </w:r>
      <w:r w:rsidRPr="00AA693E">
        <w:tab/>
        <w:t>mając na uwadze, że kontrola parlamentarna globalnego systemu sankcji UE za naruszenia praw człowieka jest konieczna, aby wzmocnić jego legitymację; mając na uwadze, że Rada wciąż niedostatecznie bierze pod uwagę rezolucje Parlamentu, które zawierają zalecenia dotyczące objęcia sankcjami kolejnych osób i podmiotów;</w:t>
      </w:r>
    </w:p>
    <w:p w14:paraId="346AF03C" w14:textId="77777777" w:rsidR="007D3387" w:rsidRPr="00AA693E" w:rsidRDefault="007D3387" w:rsidP="007D3387">
      <w:pPr>
        <w:pStyle w:val="NormalHanging12a"/>
      </w:pPr>
      <w:r w:rsidRPr="00AA693E">
        <w:t>Q.</w:t>
      </w:r>
      <w:r w:rsidRPr="00AA693E">
        <w:tab/>
        <w:t>mając na uwadze, że unijna ustawa Magnickiego przewiduje obecnie jedynie możliwość zamrożenia aktywów i objęcia zakazem otrzymywania wiz;</w:t>
      </w:r>
    </w:p>
    <w:p w14:paraId="058EFA27" w14:textId="77777777" w:rsidR="007D3387" w:rsidRPr="00AA693E" w:rsidRDefault="007D3387" w:rsidP="007D3387">
      <w:pPr>
        <w:pStyle w:val="NormalHanging12a"/>
      </w:pPr>
      <w:r w:rsidRPr="00AA693E">
        <w:t xml:space="preserve">R. </w:t>
      </w:r>
      <w:r w:rsidRPr="00AA693E">
        <w:tab/>
        <w:t xml:space="preserve">mając na uwadze, że obecny system mrożenia aktywów i obejmowania zakazem wydawania wiz można uzupełnić dodatkowymi środkami, takimi jak ograniczenia </w:t>
      </w:r>
      <w:r w:rsidRPr="00AA693E">
        <w:lastRenderedPageBreak/>
        <w:t>dotyczące usług finansowych, zamówień publicznych i udziału w projektach finansowanych przez UE, a zakres tego systemu należy rozszerzyć na członków najbliższej rodziny osób łamiących prawa człowieka;</w:t>
      </w:r>
    </w:p>
    <w:p w14:paraId="591F612A" w14:textId="77777777" w:rsidR="007D3387" w:rsidRPr="00AA693E" w:rsidRDefault="007D3387" w:rsidP="007D3387">
      <w:pPr>
        <w:pStyle w:val="NormalHanging12a"/>
      </w:pPr>
      <w:r w:rsidRPr="00AA693E">
        <w:t>S.</w:t>
      </w:r>
      <w:r w:rsidRPr="00AA693E">
        <w:tab/>
        <w:t>mając na uwadze, że wytyczne Komisji nadal niewystarczająco wyjaśniają, jaki jest zakres zakazów udzielania jakiegokolwiek wsparcia – w tym technicznego i materialnego – osobom i podmiotom objętym sankcjami;</w:t>
      </w:r>
    </w:p>
    <w:p w14:paraId="23DF6E89" w14:textId="77777777" w:rsidR="007D3387" w:rsidRPr="00AA693E" w:rsidRDefault="007D3387" w:rsidP="007D3387">
      <w:pPr>
        <w:pStyle w:val="NormalHanging12a"/>
      </w:pPr>
      <w:r w:rsidRPr="00AA693E">
        <w:t>T.</w:t>
      </w:r>
      <w:r w:rsidRPr="00AA693E">
        <w:tab/>
        <w:t>mając na uwadze, że niektóre luki dotyczące wdrażania ustawy, takie jak klauzule odstępstw dopuszczające umowy, które zawarto przed objęciem osoby fizycznej lub podmiotu sankcjami, umożliwiają obchodzenie sankcji i zmniejszają ich skuteczność;</w:t>
      </w:r>
    </w:p>
    <w:p w14:paraId="4DA05549" w14:textId="77777777" w:rsidR="007D3387" w:rsidRPr="00AA693E" w:rsidRDefault="007D3387" w:rsidP="007D3387">
      <w:pPr>
        <w:pStyle w:val="NormalHanging12a"/>
      </w:pPr>
      <w:r w:rsidRPr="00AA693E">
        <w:t>U.</w:t>
      </w:r>
      <w:r w:rsidRPr="00AA693E">
        <w:tab/>
        <w:t>mając na uwadze, że istniejące unijne systemy sankcji geograficznych przewidują więcej ograniczeń i że mogłyby one uzupełnić globalny system sankcji UE za naruszenia praw człowieka, gdyby osoby i podmioty obejmowano jednocześnie sankcjami w ramach kilku systemów;</w:t>
      </w:r>
    </w:p>
    <w:p w14:paraId="1AF4B15B" w14:textId="77777777" w:rsidR="007D3387" w:rsidRPr="00AA693E" w:rsidRDefault="007D3387" w:rsidP="007D3387">
      <w:pPr>
        <w:pStyle w:val="NormalHanging12a"/>
      </w:pPr>
      <w:r w:rsidRPr="00AA693E">
        <w:t>V.</w:t>
      </w:r>
      <w:r w:rsidRPr="00AA693E">
        <w:tab/>
        <w:t>mając na uwadze, że dotychczas globalny system sankcji UE za naruszenia praw człowieka koncentrował się w dużej mierze na urzędnikach i funkcjonariuszach niższego szczebla, a sankcje często nie dotykały osób posiadających rzeczywistą władzę polityczną i wojskową;</w:t>
      </w:r>
    </w:p>
    <w:p w14:paraId="3844AFC0" w14:textId="77777777" w:rsidR="007D3387" w:rsidRPr="00AA693E" w:rsidRDefault="007D3387" w:rsidP="007D3387">
      <w:pPr>
        <w:pStyle w:val="NormalHanging12a"/>
      </w:pPr>
      <w:r w:rsidRPr="00AA693E">
        <w:t>W.</w:t>
      </w:r>
      <w:r w:rsidRPr="00AA693E">
        <w:tab/>
        <w:t>mając na uwadze, że sankcjami w ramach globalnego system sankcji UE za naruszenia praw człowieka nie obejmowano jak dotąd podmiotów odpowiedzialnych za czyny, które w statucie rzymskim uznano za najpoważniejsze zbrodnie wagi międzynarodowej;</w:t>
      </w:r>
    </w:p>
    <w:p w14:paraId="3E171B5D" w14:textId="77777777" w:rsidR="007D3387" w:rsidRPr="00AA693E" w:rsidRDefault="007D3387" w:rsidP="007D3387">
      <w:pPr>
        <w:pStyle w:val="NormalHanging12a"/>
      </w:pPr>
      <w:r w:rsidRPr="00AA693E">
        <w:t>X.</w:t>
      </w:r>
      <w:r w:rsidRPr="00AA693E">
        <w:tab/>
        <w:t>mając na uwadze, że z uwagi na brak ustrukturyzowanego mechanizmu współdziałania podmioty społeczeństwa obywatelskiego nadal współpracują z instytucjami UE nieformalnie, proponując im, które osoby i podmioty objąć sankcjami; mając na uwadze, że Europejskiej Służbie Działań Zewnętrznych (ESDZ) brakuje zasobów do oceny i analizy otrzymywanych informacji oraz reagowania na nie;</w:t>
      </w:r>
    </w:p>
    <w:p w14:paraId="1781849F" w14:textId="77777777" w:rsidR="007D3387" w:rsidRPr="00AA693E" w:rsidRDefault="007D3387" w:rsidP="007D3387">
      <w:pPr>
        <w:pStyle w:val="NormalHanging12a"/>
      </w:pPr>
      <w:r w:rsidRPr="00AA693E">
        <w:t>Y.</w:t>
      </w:r>
      <w:r w:rsidRPr="00AA693E">
        <w:tab/>
        <w:t>mając na uwadze, że większa przejrzystość, koordynacja z mechanizmami rozliczalności oraz z podmiotami międzynarodowymi i krajami o zbieżnych poglądach oraz przyjmowanie sankcji na szczeblu ONZ zwiększyłyby skuteczność systemu sankcji;</w:t>
      </w:r>
    </w:p>
    <w:p w14:paraId="5EC98653" w14:textId="77777777" w:rsidR="007D3387" w:rsidRPr="00AA693E" w:rsidRDefault="007D3387" w:rsidP="007D3387">
      <w:pPr>
        <w:pStyle w:val="NormalHanging12a"/>
      </w:pPr>
      <w:r w:rsidRPr="00AA693E">
        <w:t>Z.</w:t>
      </w:r>
      <w:r w:rsidRPr="00AA693E">
        <w:tab/>
        <w:t>mając na uwadze, że niektóre państwa członkowskie nie stosują sankcji UE, zezwalając osobom objętym sankcjami na wjazd na terytorium UE; mając na uwadze, że nieprzestrzeganie sankcji poważnie szkodzi wiarygodności UE i osłabia skuteczność unijnych systemów sankcji;</w:t>
      </w:r>
    </w:p>
    <w:p w14:paraId="743311B0" w14:textId="77777777" w:rsidR="007D3387" w:rsidRPr="00AA693E" w:rsidRDefault="007D3387" w:rsidP="007D3387">
      <w:pPr>
        <w:pStyle w:val="NormalHanging12a"/>
      </w:pPr>
      <w:r w:rsidRPr="00AA693E">
        <w:t xml:space="preserve">AA. </w:t>
      </w:r>
      <w:r w:rsidRPr="00AA693E">
        <w:tab/>
        <w:t>mając na uwadze, że wdrażanie sankcji odbywa się w dużej mierze na szczeblu krajowym, a każde państwo członkowskie jest odpowiedzialne za egzekwowanie sankcji na swoim terytorium; mając na uwadze, że stwarza to ryzyko powstania słabych ogniw, czyli sytuacji, w której osoby fizyczne lub przedsiębiorstwa mogą próbować obchodzić sankcje przez przenoszenie pieniędzy lub działalności do państw członkowskich, które wolniej lub mniej rygorystycznie wdrażają przepisy; mając na uwadze, że instytucje UE wielokrotnie podkreślały, iż przepisy należy stosować bardziej jednolicie i w sposób bardziej skoordynowany, aby sankcje były faktycznie skuteczne;</w:t>
      </w:r>
    </w:p>
    <w:p w14:paraId="663A9096" w14:textId="77777777" w:rsidR="007D3387" w:rsidRPr="00AA693E" w:rsidRDefault="007D3387" w:rsidP="007D3387">
      <w:pPr>
        <w:pStyle w:val="NormalHanging12a"/>
      </w:pPr>
      <w:r w:rsidRPr="00AA693E">
        <w:t>AB.</w:t>
      </w:r>
      <w:r w:rsidRPr="00AA693E">
        <w:tab/>
        <w:t xml:space="preserve">mając na uwadze, że Parlament przyjął liczne rezolucje, w których apelował, aby </w:t>
      </w:r>
      <w:r w:rsidRPr="00AA693E">
        <w:lastRenderedPageBreak/>
        <w:t>wprowadzić głosowanie większością kwalifikowaną w sprawie przyjmowania sankcji w ramach globalnego systemu sankcji UE za naruszenia praw człowieka;</w:t>
      </w:r>
    </w:p>
    <w:p w14:paraId="6FC9A9E0" w14:textId="77777777" w:rsidR="007D3387" w:rsidRPr="00AA693E" w:rsidRDefault="007D3387" w:rsidP="007D3387">
      <w:pPr>
        <w:pStyle w:val="NormalHanging12a"/>
      </w:pPr>
      <w:r w:rsidRPr="00AA693E">
        <w:t>AC.</w:t>
      </w:r>
      <w:r w:rsidRPr="00AA693E">
        <w:tab/>
        <w:t>mając na uwadze, że przedłużenie obowiązywania globalnego systemu sankcji UE za naruszenia praw człowieka do grudnia 2026 r. stanowi okazję do przeglądu systemu;</w:t>
      </w:r>
    </w:p>
    <w:p w14:paraId="2686D8FC" w14:textId="77777777" w:rsidR="007D3387" w:rsidRPr="00AA693E" w:rsidRDefault="007D3387" w:rsidP="007D3387">
      <w:pPr>
        <w:pStyle w:val="NormalHanging12a"/>
      </w:pPr>
      <w:r w:rsidRPr="00AA693E">
        <w:t>1.</w:t>
      </w:r>
      <w:r w:rsidRPr="00AA693E">
        <w:tab/>
        <w:t>ponownie wyraża poparcie dla globalnego systemu sankcji UE za naruszenia praw człowieka, który jest nieodzownym narzędziem polityki zagranicznej służącym wzmacnianiu ochrony praw człowieka na świecie oraz umacnianiu zestawu instrumentów w dziedzinie praw człowieka, w szczególności biorąc pod uwagę, że system ten przyczynia się do zmiany zachowania osób i podmiotów objętych sankcjami oraz pomaga pociągać do odpowiedzialności bezpośrednich sprawców poważnych naruszeń praw człowieka, ich pomocników, podżegaczy i pośrednich zwolenników, a także osoby, które bezpośrednio lub pośrednio odnoszą korzyści z takich naruszeń, w tym członków najbliższej rodziny;</w:t>
      </w:r>
      <w:r w:rsidRPr="00AA693E">
        <w:rPr>
          <w:color w:val="538135" w:themeColor="accent6" w:themeShade="BF"/>
        </w:rPr>
        <w:t xml:space="preserve"> </w:t>
      </w:r>
      <w:r w:rsidRPr="00AA693E">
        <w:t>podkreśla, że instrument ten zaprojektowano tak, aby nie wpływał negatywnie na korzystanie z praw człowieka przez ludność;</w:t>
      </w:r>
    </w:p>
    <w:p w14:paraId="1E3EF086" w14:textId="77777777" w:rsidR="007D3387" w:rsidRPr="00AA693E" w:rsidRDefault="007D3387" w:rsidP="007D3387">
      <w:pPr>
        <w:pStyle w:val="NormalHanging12a"/>
      </w:pPr>
      <w:r w:rsidRPr="00AA693E">
        <w:t>2.</w:t>
      </w:r>
      <w:r w:rsidRPr="00AA693E">
        <w:tab/>
        <w:t>potwierdza swoje niezachwiane zaangażowanie na rzecz zwalczania bezkarności za poważne pogwałcenia i naruszenia praw człowieka na całym świecie dzięki skutecznemu wykorzystaniu istniejących instrumentów i narzędzi sankcji UE, w tym globalnego systemu sankcji UE za naruszenia praw człowieka; potwierdza swoje niezachwiane zaangażowanie na rzecz międzynarodowego systemu wymiaru sprawiedliwości, który stoi w obliczu bezprecedensowych wyzwań, w tym bezpodstawnych sankcji nakładanych na sędziów i pracowników Międzynarodowego Trybunału Karnego, z których niektórzy są obywatelami UE; w związku z tym wzywa UE do uruchomienia statusu blokującego</w:t>
      </w:r>
      <w:r w:rsidRPr="00AA693E">
        <w:rPr>
          <w:rStyle w:val="FootnoteReference"/>
        </w:rPr>
        <w:footnoteReference w:id="21"/>
      </w:r>
      <w:r w:rsidRPr="00AA693E">
        <w:t>, aby ograniczyć wpływ tych sankcji;</w:t>
      </w:r>
    </w:p>
    <w:p w14:paraId="6F9E0843" w14:textId="77777777" w:rsidR="007D3387" w:rsidRPr="00AA693E" w:rsidRDefault="007D3387" w:rsidP="007D3387">
      <w:pPr>
        <w:pStyle w:val="NormalHanging12a"/>
        <w:rPr>
          <w:b/>
          <w:bCs/>
          <w:i/>
          <w:iCs/>
          <w:szCs w:val="24"/>
        </w:rPr>
      </w:pPr>
      <w:r w:rsidRPr="00AA693E">
        <w:rPr>
          <w:b/>
          <w:i/>
        </w:rPr>
        <w:t>Spójność polityki i skuteczność strategiczna</w:t>
      </w:r>
    </w:p>
    <w:p w14:paraId="1CAFEC67" w14:textId="77777777" w:rsidR="007D3387" w:rsidRPr="00AA693E" w:rsidRDefault="007D3387" w:rsidP="007D3387">
      <w:pPr>
        <w:pStyle w:val="NormalHanging12a"/>
      </w:pPr>
      <w:r w:rsidRPr="00AA693E">
        <w:t>3.</w:t>
      </w:r>
      <w:r w:rsidRPr="00AA693E">
        <w:tab/>
        <w:t>apeluje o przeprowadzenie kompleksowej oceny skutków globalnego systemu sankcji UE za naruszenia praw człowieka oraz jego relacji z unijnymi sankcjami wymierzonymi w poszczególne kraje i innymi horyzontalnymi środkami ograniczającymi UE, aby ocenić spójność, proporcjonalność i skuteczność tego systemu, w tym w zakresie zmiany zachowania osób i podmiotów objętych sankcjami, zidentyfikować luki operacyjne oraz zapewnić spójne i strategiczne stosowanie sankcji na całym świecie, a także domaga się przeglądu globalnego systemu sankcji UE za naruszenia praw człowieka zgodnie z ustaleniami tej oceny skutków;</w:t>
      </w:r>
    </w:p>
    <w:p w14:paraId="240CDADA" w14:textId="77777777" w:rsidR="007D3387" w:rsidRPr="00AA693E" w:rsidRDefault="007D3387" w:rsidP="007D3387">
      <w:pPr>
        <w:pStyle w:val="NormalHanging12a"/>
      </w:pPr>
      <w:r w:rsidRPr="00AA693E">
        <w:t>4.</w:t>
      </w:r>
      <w:r w:rsidRPr="00AA693E">
        <w:tab/>
        <w:t>apeluje o ciągłe i systematyczne – co najmniej raz na 12 miesięcy – przeglądy wykazów osób i podmiotów objętych sankcjami w ramach globalnego systemu sankcji UE za naruszenia praw człowieka, aby zagwarantować spójność, proporcjonalność i zgodność tych wykazów z aktualnymi informacjami i orzeczeniami sądowymi;</w:t>
      </w:r>
    </w:p>
    <w:p w14:paraId="1C348FD9" w14:textId="77777777" w:rsidR="007D3387" w:rsidRPr="00AA693E" w:rsidRDefault="007D3387" w:rsidP="007D3387">
      <w:pPr>
        <w:pStyle w:val="NormalHanging12a"/>
      </w:pPr>
      <w:r w:rsidRPr="00AA693E">
        <w:t>5.</w:t>
      </w:r>
      <w:r w:rsidRPr="00AA693E">
        <w:tab/>
        <w:t>uważa, że należy udostępnić więcej informacji o kryteriach znoszenia sankcji, aby zwiększyć jasność prawa, sprawiedliwość proceduralną, przejrzystość i rozliczalność;</w:t>
      </w:r>
    </w:p>
    <w:p w14:paraId="277F4995" w14:textId="77777777" w:rsidR="007D3387" w:rsidRPr="00AA693E" w:rsidRDefault="007D3387" w:rsidP="007D3387">
      <w:pPr>
        <w:pStyle w:val="NormalHanging12a"/>
      </w:pPr>
      <w:r w:rsidRPr="00AA693E">
        <w:t>6.</w:t>
      </w:r>
      <w:r w:rsidRPr="00AA693E">
        <w:tab/>
        <w:t xml:space="preserve">ponownie podkreśla, że ważne jest, by globalny system sankcji UE za naruszenia praw człowieka był spójny z unijnymi krajowymi i horyzontalnymi środkami </w:t>
      </w:r>
      <w:r w:rsidRPr="00AA693E">
        <w:lastRenderedPageBreak/>
        <w:t>ograniczającymi, środkami sektorowymi i embargami na broń oraz istniejącymi międzynarodowymi ramami regulującymi nakładanie sankcji, a także by je uzupełniał;</w:t>
      </w:r>
    </w:p>
    <w:p w14:paraId="5936931F" w14:textId="77777777" w:rsidR="007D3387" w:rsidRPr="00AA693E" w:rsidRDefault="007D3387" w:rsidP="007D3387">
      <w:pPr>
        <w:pStyle w:val="NormalHanging12a"/>
      </w:pPr>
      <w:r w:rsidRPr="00AA693E">
        <w:t>7.</w:t>
      </w:r>
      <w:r w:rsidRPr="00AA693E">
        <w:tab/>
        <w:t xml:space="preserve">zachęca Radę, aby zadbała o spójność sankcji w ramach globalnego systemu sankcji UE za naruszenia praw człowieka z sankcjami partnerów o zbieżnych poglądach, w szczególności członków G7, oraz Rady Bezpieczeństwa ONZ, o ile jest to możliwe z politycznego i prawnego punktu widzenia, w celu zwiększenia legitymacji sankcji na świecie i ich skuteczności; </w:t>
      </w:r>
    </w:p>
    <w:p w14:paraId="1DB6FCBB" w14:textId="77777777" w:rsidR="007D3387" w:rsidRPr="00AA693E" w:rsidRDefault="007D3387" w:rsidP="007D3387">
      <w:pPr>
        <w:pStyle w:val="NormalHanging12a"/>
      </w:pPr>
      <w:r w:rsidRPr="00AA693E">
        <w:t>8.</w:t>
      </w:r>
      <w:r w:rsidRPr="00AA693E">
        <w:tab/>
        <w:t>wzywa Komisję i państwa członkowskie do zwiększenia synergii między globalnym systemem sankcji UE za naruszenia praw człowieka a międzynarodowymi mechanizmami rozliczalności – takimi jak ONZ, Międzynarodowy Trybunał Karny i regionalne trybunały praw człowieka – aby poprawić skuteczność działań UE przeciwko poważnym naruszeniom praw człowieka;</w:t>
      </w:r>
    </w:p>
    <w:p w14:paraId="100A5E10" w14:textId="77777777" w:rsidR="007D3387" w:rsidRPr="00AA693E" w:rsidRDefault="007D3387" w:rsidP="007D3387">
      <w:pPr>
        <w:pStyle w:val="NormalHanging12a"/>
      </w:pPr>
      <w:r w:rsidRPr="00AA693E">
        <w:t>9.</w:t>
      </w:r>
      <w:r w:rsidRPr="00AA693E">
        <w:tab/>
        <w:t>podkreśla, że ważne jest, aby kraje kandydujące do UE i potencjalne kraje kandydujące dostosowały się do sankcji w ramach globalnego systemu sankcji UE za naruszenia praw człowieka, tak jak powinny szerzej dostosować się do wspólnej polityki zagranicznej i bezpieczeństwa UE;</w:t>
      </w:r>
    </w:p>
    <w:p w14:paraId="78C75444" w14:textId="77777777" w:rsidR="007D3387" w:rsidRPr="00AA693E" w:rsidRDefault="007D3387" w:rsidP="007D3387">
      <w:pPr>
        <w:pStyle w:val="NormalHanging12a"/>
      </w:pPr>
      <w:r w:rsidRPr="00AA693E">
        <w:t>10.</w:t>
      </w:r>
      <w:r w:rsidRPr="00AA693E">
        <w:tab/>
        <w:t>w pełni popiera nakładanie ukierunkowanych unijnych sankcji antykorupcyjnych, co od dawna jest priorytetem Parlamentu – czy to za pomocą globalnego systemu sankcji UE za naruszenia praw człowieka, czy też innego systemu; zaleca rozszerzenie systemu na przypadki korupcji na dużą skalę i nadużywanie procedur udzielania zamówień publicznych, które bezpośrednio podtrzymują reżimy autorytarne, co pozwoli powiązać naruszenia praw człowieka z praktykami kleptokratycznymi; podkreśla w związku z tym, że sankcje antykorupcyjne powinny uwzględniać szerszy kontekst systemowy i być ściśle powiązane z kompleksowymi strategiami wobec odpowiednich podmiotów; z zadowoleniem przyjmuje fakt, że Komisja przedstawiła wniosek dotyczący systemu sankcji antykorupcyjnych; ubolewa, że niektóre państwa członkowskie zablokowały to dossier w Radzie;</w:t>
      </w:r>
    </w:p>
    <w:p w14:paraId="11F8A759" w14:textId="77777777" w:rsidR="007D3387" w:rsidRPr="00AA693E" w:rsidRDefault="007D3387" w:rsidP="007D3387">
      <w:pPr>
        <w:pStyle w:val="NormalHanging12a"/>
      </w:pPr>
      <w:r w:rsidRPr="00AA693E">
        <w:t xml:space="preserve">11. </w:t>
      </w:r>
      <w:r w:rsidRPr="00AA693E">
        <w:tab/>
        <w:t>podkreśla, że globalny system sankcji UE za naruszenia praw człowieka powinien również uwzględniać naruszenia praw człowieka, do których dochodzi przez inwigilację cyfrową, eksport oprogramowania szpiegowskiego i inne technologie wykorzystywane do represji, a także celowe niszczenie środowiska z wyraźnym zamiarem wyrządzenia szkody ludności cywilnej; apeluje o bezpośrednie objęcie sankcjami osób i podmiotów odpowiedzialnych za takie nadużycia;</w:t>
      </w:r>
    </w:p>
    <w:p w14:paraId="0B38B184" w14:textId="77777777" w:rsidR="007D3387" w:rsidRPr="00AA693E" w:rsidRDefault="007D3387" w:rsidP="007D3387">
      <w:pPr>
        <w:pStyle w:val="NormalHanging12a"/>
      </w:pPr>
      <w:r w:rsidRPr="00AA693E">
        <w:t xml:space="preserve">12. </w:t>
      </w:r>
      <w:r w:rsidRPr="00AA693E">
        <w:tab/>
        <w:t>z zadowoleniem przyjmuje niedawne wykorzystanie globalnego systemu sankcji UE za naruszenia praw człowieka przeciwko podmiotom odpowiedzialnym za ponadnarodowe represje wobec dysydentów i obrońców praw człowieka, a także apeluje o objęcie sankcjami większej liczby osób i podmiotów, aby odzwierciedlić ten coraz powszechniejszy globalny trend, i o systematyczną ocenę represji transgranicznych, w tym inwigilacji cyfrowej, nękania osób przebywających na uchodźstwie oraz transgranicznego zastraszania, dezinformacji i nadużyć prawnych; wzywa Radę do przyjęcia roboczej definicji represji transgranicznych, aby zapewnić spójność sankcji, w tym nakładanych na niepaństwowe podmioty zastępcze, takie jak prywatne firmy ochroniarskie i organizacje diaspory; wzywa UE do intensywniejszego nakładania sankcji na osoby i podmioty, co do których istnieją wiarygodne dowody, że są odpowiedzialne za transgraniczne represje wobec obrońców praw człowieka, w tym nękanie krewnych, ataki cyfrowe i zastraszanie za granicą;</w:t>
      </w:r>
    </w:p>
    <w:p w14:paraId="18FEC090" w14:textId="77777777" w:rsidR="007D3387" w:rsidRPr="00AA693E" w:rsidRDefault="007D3387" w:rsidP="007D3387">
      <w:pPr>
        <w:pStyle w:val="NormalHanging12a"/>
      </w:pPr>
      <w:r w:rsidRPr="00AA693E">
        <w:lastRenderedPageBreak/>
        <w:t>13.</w:t>
      </w:r>
      <w:r w:rsidRPr="00AA693E">
        <w:tab/>
        <w:t>wzywa państwa członkowskie, aby powstrzymały się od dwustronnych działań politycznych lub dyplomatycznych, które podważają zaangażowanie na rzecz międzynarodowych mechanizmów wymiaru sprawiedliwości w sprawach karnych, w tym statutu rzymskiego, i zaangażowanie na rzecz obrony praw człowieka lub które stoją w sprzeczności ze wspólnym stanowiskiem UE w sprawie sankcji; zobowiązuje wiceprzewodniczącą Komisji / wysoką przedstawicielkę Unii do spraw zagranicznych i polityki bezpieczeństwa, aby wzywała państwa członkowskie, które nie uwzględniają jej zaleceń, do dostosowania swoich działań i utrzymania jedności UE; zachęca państwa członkowskie do poprawy koordynacji i do korzystania z własnych instrumentów, takich jak jurysdykcja uniwersalna i sankcje krajowe – pod warunkiem że odbywa się to w sposób skoordynowany i wspiera realizację wspólnych celów UE, tak aby przynosiło to istotne zmiany i pomagało w osiągnięciu celów sankcji UE;</w:t>
      </w:r>
    </w:p>
    <w:p w14:paraId="002E2337" w14:textId="77777777" w:rsidR="007D3387" w:rsidRPr="00AA693E" w:rsidRDefault="007D3387" w:rsidP="007D3387">
      <w:pPr>
        <w:pStyle w:val="NormalHanging12a"/>
      </w:pPr>
      <w:r w:rsidRPr="00AA693E">
        <w:t>14.</w:t>
      </w:r>
      <w:r w:rsidRPr="00AA693E">
        <w:tab/>
        <w:t>potępia fakt, że niektóre państwa członkowskie UE nie stosują się do sankcji UE i pozwalają osobom objętym sankcjami na wjazd na terytorium UE, co naraża na szwank wiarygodność i skuteczność sankcji; wzywa wszystkie państwa członkowskie UE do pełnego i bezwarunkowego przestrzegania unijnych sankcji; wzywa Komisję, by jako strażniczka traktatów pilnowała, czy państwa członkowskie UE przestrzegają sankcji, oraz by skrupulatnie i bez wyjątków zajmowała się wszelkimi przypadkami ich nieprzestrzegania;</w:t>
      </w:r>
    </w:p>
    <w:p w14:paraId="0509B2BA" w14:textId="77777777" w:rsidR="007D3387" w:rsidRPr="00AA693E" w:rsidRDefault="007D3387" w:rsidP="007D3387">
      <w:pPr>
        <w:pStyle w:val="NormalHanging12a"/>
      </w:pPr>
      <w:r w:rsidRPr="00AA693E">
        <w:t>15.</w:t>
      </w:r>
      <w:r w:rsidRPr="00AA693E">
        <w:tab/>
        <w:t xml:space="preserve">podkreśla, że unijne sankcje mogą być w pełni skuteczne jedynie wówczas, gdy są spójnie, szybko i jednolicie interpretowane, egzekwowane i wdrażane we wszystkich państwach członkowskich; zwraca uwagę, że w różnych państwach członkowskich istnieją różne ramy prawne, struktury administracyjne i zasoby operacyjne na potrzeby wdrażania sankcji; wobec tego wzywa Komisję i państwa członkowskie, aby podjęły niezbędne kroki, które zapewnią bardziej jednolite i skoordynowane stosowanie sankcji, w tym przez zwiększenie zdolności do zamrażania aktywów, poprawę wymiany informacji oraz opracowanie wspólnych mechanizmów monitorowania i egzekwowania na szczeblu UE; </w:t>
      </w:r>
    </w:p>
    <w:p w14:paraId="601A3075" w14:textId="77777777" w:rsidR="007D3387" w:rsidRPr="00AA693E" w:rsidRDefault="007D3387" w:rsidP="007D3387">
      <w:pPr>
        <w:pStyle w:val="NormalHanging12a"/>
      </w:pPr>
      <w:r w:rsidRPr="00AA693E">
        <w:t>16.</w:t>
      </w:r>
      <w:r w:rsidRPr="00AA693E">
        <w:tab/>
        <w:t>wzywa ESDZ do określenia legalnych dróg mobilizacji odsetek z zamrożonych aktywów osób objętych sankcjami w ramach globalnego systemu sankcji UE za naruszenia praw człowieka, tak aby można było je wykorzystywać z korzyścią dla ofiar poważnych naruszeń praw człowieka, za które odpowiedzialne są osoby objęte sankcjami; zachęca ponadto UE do zbadania, czy można by ustanowić specjalną procedurę dotyczącą nieuczciwie uzyskanych korzyści;</w:t>
      </w:r>
    </w:p>
    <w:p w14:paraId="67C1EB21" w14:textId="77777777" w:rsidR="007D3387" w:rsidRPr="00AA693E" w:rsidRDefault="007D3387" w:rsidP="007D3387">
      <w:pPr>
        <w:pStyle w:val="NormalHanging12a"/>
      </w:pPr>
      <w:r w:rsidRPr="00AA693E">
        <w:t>17.</w:t>
      </w:r>
      <w:r w:rsidRPr="00AA693E">
        <w:tab/>
        <w:t>wyraża duże zadowolenie z tego, że Rada przyjęła pakiety sankcji tematycznych w ramach globalnego systemu sankcji UE za naruszenia praw człowieka; wzywa Radę do systematycznego i proaktywnego przyjmowania podobnych ukierunkowanych środków, tak aby można było zwalczać inne konkretne i poważne naruszenia praw człowieka, w tym tortury, wymuszone zaginięcia, arbitralne zatrzymania i represje wobec społeczeństwa obywatelskiego i obrońców praw człowieka;</w:t>
      </w:r>
    </w:p>
    <w:p w14:paraId="156636E5" w14:textId="77777777" w:rsidR="007D3387" w:rsidRPr="00AA693E" w:rsidRDefault="007D3387" w:rsidP="007D3387">
      <w:pPr>
        <w:pStyle w:val="NormalHanging12a"/>
        <w:rPr>
          <w:bCs/>
          <w:iCs/>
        </w:rPr>
      </w:pPr>
      <w:r w:rsidRPr="00AA693E">
        <w:t xml:space="preserve">18. </w:t>
      </w:r>
      <w:r w:rsidRPr="00AA693E">
        <w:tab/>
        <w:t>ponawia swój apel do Rady o stopniowe przejście na głosowanie większością kwalifikowaną przy podejmowaniu decyzji w obszarach wspólnej polityki zagranicznej i bezpieczeństwa, które nie mają wpływu na kwestie wojskowe lub obronne, takich jak sankcje;</w:t>
      </w:r>
    </w:p>
    <w:p w14:paraId="0D54A3DF" w14:textId="77777777" w:rsidR="007D3387" w:rsidRPr="00AA693E" w:rsidRDefault="007D3387" w:rsidP="007D3387">
      <w:pPr>
        <w:pStyle w:val="NormalHanging12a"/>
        <w:rPr>
          <w:b/>
          <w:bCs/>
          <w:i/>
          <w:iCs/>
          <w:szCs w:val="24"/>
        </w:rPr>
      </w:pPr>
      <w:r w:rsidRPr="00AA693E">
        <w:rPr>
          <w:b/>
          <w:i/>
        </w:rPr>
        <w:t>Intensyfikacja walki z bezkarnością</w:t>
      </w:r>
    </w:p>
    <w:p w14:paraId="031F49BA" w14:textId="77777777" w:rsidR="007D3387" w:rsidRPr="00AA693E" w:rsidRDefault="007D3387" w:rsidP="007D3387">
      <w:pPr>
        <w:pStyle w:val="NormalHanging12a"/>
      </w:pPr>
      <w:r w:rsidRPr="00AA693E">
        <w:lastRenderedPageBreak/>
        <w:t>19.</w:t>
      </w:r>
      <w:r w:rsidRPr="00AA693E">
        <w:tab/>
        <w:t>apeluje, aby unijny system sankcji był spójny z międzynarodowym prawem karnym, międzynarodowym prawem humanitarnym i strategiami politycznymi UE związanymi z praworządnością i podstawowymi wolnościami oraz je uzupełniał, tak aby zintensyfikować walkę z bezkarnością na całym świecie;</w:t>
      </w:r>
    </w:p>
    <w:p w14:paraId="625C2262" w14:textId="77777777" w:rsidR="007D3387" w:rsidRPr="00AA693E" w:rsidRDefault="007D3387" w:rsidP="007D3387">
      <w:pPr>
        <w:pStyle w:val="NormalHanging12a"/>
      </w:pPr>
      <w:r w:rsidRPr="00AA693E">
        <w:t>20.</w:t>
      </w:r>
      <w:r w:rsidRPr="00AA693E">
        <w:tab/>
        <w:t>wzywa UE do strategicznego dostosowania globalnego systemu sankcji UE za naruszenia praw człowieka do krajowych i międzynarodowych działań wymiaru sprawiedliwości w sprawach karnych, w tym przez objęcie sankcjami osób oskarżonych przez międzynarodowe sądy, np. Międzynarodowy Trybunał Karny, sprawców najpoważniejszych zbrodni wagi międzynarodowej oraz innych podmiotów utrudniających takie procesy pociągania do odpowiedzialności;</w:t>
      </w:r>
    </w:p>
    <w:p w14:paraId="03A00431" w14:textId="77777777" w:rsidR="007D3387" w:rsidRPr="00AA693E" w:rsidRDefault="007D3387" w:rsidP="007D3387">
      <w:pPr>
        <w:pStyle w:val="NormalHanging12a"/>
      </w:pPr>
      <w:r w:rsidRPr="00AA693E">
        <w:t>21.</w:t>
      </w:r>
      <w:r w:rsidRPr="00AA693E">
        <w:tab/>
        <w:t>podkreśla, że sankcje powinny również gwarantować, że osoby odpowiedzialne za poważne naruszenia praw człowieka i korupcję nie pozostaną anonimowe, a tym samym ujawniać tożsamość osób odpowiedzialnych za naruszenia;</w:t>
      </w:r>
    </w:p>
    <w:p w14:paraId="2CCD7636" w14:textId="77777777" w:rsidR="007D3387" w:rsidRPr="00AA693E" w:rsidRDefault="007D3387" w:rsidP="007D3387">
      <w:pPr>
        <w:pStyle w:val="NormalHanging12a"/>
      </w:pPr>
      <w:r w:rsidRPr="00AA693E">
        <w:t>22.</w:t>
      </w:r>
      <w:r w:rsidRPr="00AA693E">
        <w:tab/>
        <w:t>wzywa Radę do zadbania o to, by wszystkie regiony świata były traktowane z taką samą starannością i determinacją, oraz do skorygowania obecnej nierównowagi geograficznej i tematycznej, jeśli chodzi o osoby i podmioty objęte sankcjami w ramach globalnego systemu sankcji UE za naruszenia praw człowieka, przez rozszerzenie listy sankcyjnej poza regiony obecnej koncentracji geograficznej, na wszystkie osoby i podmioty odpowiedzialne za poważne naruszenia praw człowieka, niezależnie od kraju ich pochodzenia;</w:t>
      </w:r>
    </w:p>
    <w:p w14:paraId="613CC81D" w14:textId="77777777" w:rsidR="007D3387" w:rsidRPr="00AA693E" w:rsidRDefault="007D3387" w:rsidP="007D3387">
      <w:pPr>
        <w:pStyle w:val="NormalHanging12a"/>
      </w:pPr>
      <w:r w:rsidRPr="00AA693E">
        <w:t>23.</w:t>
      </w:r>
      <w:r w:rsidRPr="00AA693E">
        <w:tab/>
        <w:t xml:space="preserve">zachęca Radę, aby zwracała szczególną uwagę na takie naruszenia jak przemoc seksualna i przemoc ze względu na płeć, polityka dyskryminacji oraz prześladowanie liderek, dziennikarek i aktywistek, tak aby kategorie te były należycie uwzględniane w przyszłych wpisach na listę sankcyjną; </w:t>
      </w:r>
    </w:p>
    <w:p w14:paraId="73D5D9D9" w14:textId="77777777" w:rsidR="007D3387" w:rsidRPr="00AA693E" w:rsidRDefault="007D3387" w:rsidP="007D3387">
      <w:pPr>
        <w:pStyle w:val="NormalHanging12a"/>
      </w:pPr>
      <w:r w:rsidRPr="00AA693E">
        <w:t>24.</w:t>
      </w:r>
      <w:r w:rsidRPr="00AA693E">
        <w:tab/>
        <w:t xml:space="preserve">zauważa, że jak dotąd znaczna część osób objętych sankcjami w ramach globalnego systemu sankcji UE za naruszenia praw człowieka była zaangażowana w represyjny aparat państwa, ale nie podejmowała decyzji, a osoby zajmujące stanowiska kierownicze o charakterze politycznym lub wojskowym stanowiły mniejszość w grupie objętych sankcjami; wzywa Radę, aby nakładała sankcje nie tylko na osoby zajmujące stanowiska niskiego szczebla, ale też na przywódców politycznych i wojskowych, tak aby karze podlegały osoby odpowiedzialne za podejmowanie decyzji, które doprowadziły do poważnych naruszeń praw człowieka; </w:t>
      </w:r>
    </w:p>
    <w:p w14:paraId="6E134773" w14:textId="77777777" w:rsidR="007D3387" w:rsidRPr="00AA693E" w:rsidRDefault="007D3387" w:rsidP="007D3387">
      <w:pPr>
        <w:pStyle w:val="NormalHanging12a"/>
      </w:pPr>
      <w:r w:rsidRPr="00AA693E">
        <w:t>25.</w:t>
      </w:r>
      <w:r w:rsidRPr="00AA693E">
        <w:tab/>
        <w:t>apeluje o częstsze i skuteczniejsze informowanie o zastosowanych sankcjach, tak aby przypominać o ogólnym stanowisku UE w sprawie praw człowieka i walki z bezkarnością, jako że krajowa propaganda przedstawia czasem osoby objęte sankcjami jako bohaterów, a represyjne reżimy wręcz je nagradzają; zauważa, że element odstraszający globalnego systemu sankcji UE za naruszenia praw człowieka jest najskuteczniejszy w przypadku osób i podmiotów, które są właścicielami mienia w UE lub mają środki, by podróżować do UE;</w:t>
      </w:r>
    </w:p>
    <w:p w14:paraId="74A8FD16" w14:textId="77777777" w:rsidR="007D3387" w:rsidRPr="00AA693E" w:rsidRDefault="007D3387" w:rsidP="007D3387">
      <w:pPr>
        <w:pStyle w:val="NormalHanging12a"/>
      </w:pPr>
      <w:r w:rsidRPr="00AA693E">
        <w:t>26.</w:t>
      </w:r>
      <w:r w:rsidRPr="00AA693E">
        <w:tab/>
        <w:t>potępia wszelkie sankcje odwetowe nakładane na UE lub jej instytucje, państwa członkowskie, organy lub obywateli wyłącznie z tego powodu, że propagowali i szanowali prawa człowieka, demokrację i praworządność za pośrednictwem globalnego systemu sankcji UE za naruszenia praw człowieka;</w:t>
      </w:r>
    </w:p>
    <w:p w14:paraId="12022E01" w14:textId="77777777" w:rsidR="007D3387" w:rsidRPr="00AA693E" w:rsidRDefault="007D3387" w:rsidP="007D3387">
      <w:pPr>
        <w:pStyle w:val="NormalHanging12a"/>
        <w:rPr>
          <w:b/>
          <w:bCs/>
          <w:i/>
          <w:iCs/>
          <w:szCs w:val="24"/>
        </w:rPr>
      </w:pPr>
      <w:r w:rsidRPr="00AA693E">
        <w:rPr>
          <w:b/>
          <w:i/>
        </w:rPr>
        <w:t>Przejrzystość, rozliczalność i rola społeczeństwa obywatelskiego</w:t>
      </w:r>
    </w:p>
    <w:p w14:paraId="78AB9D53" w14:textId="77777777" w:rsidR="007D3387" w:rsidRPr="00AA693E" w:rsidRDefault="007D3387" w:rsidP="007D3387">
      <w:pPr>
        <w:pStyle w:val="NormalHanging12a"/>
      </w:pPr>
      <w:r w:rsidRPr="00AA693E">
        <w:lastRenderedPageBreak/>
        <w:t>27.</w:t>
      </w:r>
      <w:r w:rsidRPr="00AA693E">
        <w:tab/>
        <w:t>zaleca poprawę przejrzystości procesu nakładania sankcji oraz wydanie jasnych wytycznych na ten temat, przy jednoczesnym poszanowaniu praw osób objętych sankcjami do skutecznej kontroli sądowej;</w:t>
      </w:r>
    </w:p>
    <w:p w14:paraId="6ABF657F" w14:textId="77777777" w:rsidR="007D3387" w:rsidRPr="00AA693E" w:rsidRDefault="007D3387" w:rsidP="007D3387">
      <w:pPr>
        <w:pStyle w:val="NormalHanging12a"/>
      </w:pPr>
      <w:r w:rsidRPr="00AA693E">
        <w:t>28.</w:t>
      </w:r>
      <w:r w:rsidRPr="00AA693E">
        <w:tab/>
        <w:t>zaleca, aby ciągła, możliwa do wykazania, rzeczywista i trwała zmiana zachowania osób i podmiotów objętych sankcjami, np. trwająca współpraca z międzynarodowymi mechanizmami wymiaru sprawiedliwości, została formalnie uznana za kryterium zniesienia sankcji, co będzie zachęcać do przyjmowania odpowiedzialności i przestrzegania przepisów;</w:t>
      </w:r>
    </w:p>
    <w:p w14:paraId="4BA5AC27" w14:textId="77777777" w:rsidR="007D3387" w:rsidRPr="00AA693E" w:rsidRDefault="007D3387" w:rsidP="007D3387">
      <w:pPr>
        <w:pStyle w:val="NormalHanging12a"/>
      </w:pPr>
      <w:r w:rsidRPr="00AA693E">
        <w:t>29.</w:t>
      </w:r>
      <w:r w:rsidRPr="00AA693E">
        <w:tab/>
        <w:t>proponuje, by ustanowiono ustrukturyzowany i przejrzysty mechanizm konsultacji, przewidujący środki ochrony sygnalistów, który umożliwi społeczeństwu obywatelskiemu przekazywanie informacji i udział w procesie nakładania sankcji, w tym by utworzono specjalny punkt kontaktowy ESDZ; zaleca ustanowienie okna budżetowego w celu wzmocnienia zdolności ESDZ do systematycznej oceny, badania i przetwarzania informacji i propozycji społeczeństwa obywatelskiego oraz reagowania na nie;</w:t>
      </w:r>
    </w:p>
    <w:p w14:paraId="2DCA270A" w14:textId="77777777" w:rsidR="007D3387" w:rsidRPr="00AA693E" w:rsidRDefault="007D3387" w:rsidP="007D3387">
      <w:pPr>
        <w:pStyle w:val="NormalHanging12a"/>
      </w:pPr>
      <w:r w:rsidRPr="00AA693E">
        <w:t>30.</w:t>
      </w:r>
      <w:r w:rsidRPr="00AA693E">
        <w:tab/>
        <w:t>wzywa Radę i wiceprzewodniczącą Komisji / wysoką przedstawicielkę Unii do spraw zagranicznych i polityki bezpieczeństwa do zaproponowania, jaką uzupełniającą rolę powinien pełnić Parlament Europejski w rejestrowaniu przypadków poważnych naruszeń praw człowieka i proponowaniu ich do rozpatrzenia w ramach systemu sankcji, oraz do terminowego składaniu Parlamentowi sprawozdań w sprawie decyzji o sankcjach w ramach globalnego systemu sankcji UE za naruszenia praw człowieka, w tym w sprawie obchodzenia sankcji; wzywa Radę, aby dogłębnie rozważała zalecenia dotyczące wpisów na listę sankcyjną, zawarte w rezolucjach Parlamentu;</w:t>
      </w:r>
    </w:p>
    <w:p w14:paraId="3F48806D" w14:textId="77777777" w:rsidR="007D3387" w:rsidRPr="00AA693E" w:rsidRDefault="007D3387" w:rsidP="007D3387">
      <w:pPr>
        <w:pStyle w:val="NormalHanging12a"/>
        <w:rPr>
          <w:b/>
          <w:bCs/>
          <w:i/>
          <w:iCs/>
          <w:szCs w:val="24"/>
        </w:rPr>
      </w:pPr>
      <w:r w:rsidRPr="00AA693E">
        <w:rPr>
          <w:b/>
          <w:i/>
        </w:rPr>
        <w:t>Zapobieganie obchodzeniu przepisów i wzmocnienie narzędzi egzekwowania prawa</w:t>
      </w:r>
    </w:p>
    <w:p w14:paraId="5B73AE9C" w14:textId="77777777" w:rsidR="007D3387" w:rsidRPr="00AA693E" w:rsidRDefault="007D3387" w:rsidP="007D3387">
      <w:pPr>
        <w:pStyle w:val="NormalHanging12a"/>
      </w:pPr>
      <w:r w:rsidRPr="00AA693E">
        <w:t>31.</w:t>
      </w:r>
      <w:r w:rsidRPr="00AA693E">
        <w:tab/>
        <w:t xml:space="preserve">apeluje o taką zmianę unijnej ustawy Magnickiego, aby zapobiec obchodzeniu sankcji, w tym przez wydanie jednoznacznych i aktualnych wytycznych dotyczących zakazu zapewniania zasobów gospodarczych oraz wsparcia technicznego i materialnego osobom i podmiotom objętym sankcjami, które to wytyczne doprecyzują, że zakaz udzielania wsparcia technicznego i materialnego obejmuje pomoc pozafinansową, taką jak infrastruktura teleinformatyczna, oprogramowanie, ułatwienia prawne i narzędzia cybernetyczne wykorzystywane do represji; podkreśla, że należy wzmocnić unijny system sankcji przez rozszerzenie i zróżnicowanie stosowania sankcji wtórnych, dzięki czemu objęci nimi zostaną urzędnicy rządowi, podmioty, przedsiębiorstwa i osoby, którzy ułatwiają naruszenia i obchodzenie sankcji, umożliwiając reżimom autorytarnym dalsze poważne naruszenia praw człowieka; </w:t>
      </w:r>
    </w:p>
    <w:p w14:paraId="7FFE8EC7" w14:textId="77777777" w:rsidR="007D3387" w:rsidRPr="00AA693E" w:rsidRDefault="007D3387" w:rsidP="007D3387">
      <w:pPr>
        <w:pStyle w:val="NormalHanging12a"/>
      </w:pPr>
      <w:r w:rsidRPr="00AA693E">
        <w:t>32.</w:t>
      </w:r>
      <w:r w:rsidRPr="00AA693E">
        <w:tab/>
        <w:t>wzywa Komisję do zacieśnienia współpracy z Europejskim Urzędem Nadzoru Bankowego, Europejskim Urzędem Nadzoru Giełd i Papierów Wartościowych, Urzędem ds. Przeciwdziałania Praniu Pieniędzy i krajowymi jednostkami analityki finansowej, aby systematycznie sprawdzać, czy do unikania sankcji wykorzystuje się nieprzejrzyste produkty finansowe, kryptoaktywa i podmioty typu offshore;</w:t>
      </w:r>
    </w:p>
    <w:p w14:paraId="63B86F03" w14:textId="77777777" w:rsidR="007D3387" w:rsidRPr="00AA693E" w:rsidRDefault="007D3387" w:rsidP="007D3387">
      <w:pPr>
        <w:pStyle w:val="NormalHanging12a"/>
      </w:pPr>
      <w:r w:rsidRPr="00AA693E">
        <w:t>33.</w:t>
      </w:r>
      <w:r w:rsidRPr="00AA693E">
        <w:tab/>
        <w:t>zachęca, aby w stosownych przypadkach podmioty obejmować jednocześnie sankcjami w ramach globalnego systemu sankcji UE za naruszenia praw człowieka, jak i sankcjami w ramach geograficznych systemów sankcji;</w:t>
      </w:r>
    </w:p>
    <w:p w14:paraId="3587B6B5" w14:textId="77777777" w:rsidR="007D3387" w:rsidRPr="00AA693E" w:rsidRDefault="007D3387" w:rsidP="007D3387">
      <w:pPr>
        <w:pStyle w:val="NormalHanging12a"/>
      </w:pPr>
      <w:r w:rsidRPr="00AA693E">
        <w:t>34.</w:t>
      </w:r>
      <w:r w:rsidRPr="00AA693E">
        <w:tab/>
        <w:t xml:space="preserve">wzywa Radę do przeglądu klauzul dotyczących odstępstw w celu zagwarantowania, że </w:t>
      </w:r>
      <w:r w:rsidRPr="00AA693E">
        <w:lastRenderedPageBreak/>
        <w:t>umowy zawarte przed umieszczeniem danej osoby w wykazie nie będą przynosić korzyści członkom ich rodzin lub wspólnikom ani żadnym podmiotom kontrolowanym przez osobę objętą sankcjami;</w:t>
      </w:r>
    </w:p>
    <w:p w14:paraId="327917D2" w14:textId="77777777" w:rsidR="007D3387" w:rsidRPr="00AA693E" w:rsidRDefault="007D3387" w:rsidP="007D3387">
      <w:pPr>
        <w:pStyle w:val="NormalHanging12a"/>
        <w:jc w:val="center"/>
      </w:pPr>
      <w:r w:rsidRPr="00AA693E">
        <w:t>°</w:t>
      </w:r>
    </w:p>
    <w:p w14:paraId="6A939380" w14:textId="77777777" w:rsidR="007D3387" w:rsidRPr="00AA693E" w:rsidRDefault="007D3387" w:rsidP="007D3387">
      <w:pPr>
        <w:pStyle w:val="NormalHanging12a"/>
        <w:jc w:val="center"/>
      </w:pPr>
      <w:r w:rsidRPr="00AA693E">
        <w:t>°</w:t>
      </w:r>
      <w:r w:rsidRPr="00AA693E">
        <w:tab/>
        <w:t>°</w:t>
      </w:r>
    </w:p>
    <w:p w14:paraId="28158E0C" w14:textId="43DFBCDC" w:rsidR="00E365E1" w:rsidRPr="00AA693E" w:rsidRDefault="007D3387" w:rsidP="005C021D">
      <w:pPr>
        <w:pStyle w:val="NormalHanging12a"/>
      </w:pPr>
      <w:r w:rsidRPr="00AA693E">
        <w:t>35.</w:t>
      </w:r>
      <w:r w:rsidRPr="00AA693E">
        <w:tab/>
        <w:t>zobowiązuje swoją przewodniczącą do przekazania niniejszej rezolucji Radzie, Komisji i wiceprzewodniczącej Komisji / wysokiej przedstawicielce Unii do spraw zagranicznych i polityki bezpieczeństwa.</w:t>
      </w:r>
    </w:p>
    <w:sectPr w:rsidR="00E365E1" w:rsidRPr="00AA693E" w:rsidSect="00AA693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8844B" w14:textId="77777777" w:rsidR="005A49CA" w:rsidRPr="00AA693E" w:rsidRDefault="005A49CA">
      <w:r w:rsidRPr="00AA693E">
        <w:separator/>
      </w:r>
    </w:p>
  </w:endnote>
  <w:endnote w:type="continuationSeparator" w:id="0">
    <w:p w14:paraId="281A9B0F" w14:textId="77777777" w:rsidR="005A49CA" w:rsidRPr="00AA693E" w:rsidRDefault="005A49CA">
      <w:r w:rsidRPr="00AA69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2072B" w14:textId="77777777" w:rsidR="005A49CA" w:rsidRPr="00AA693E" w:rsidRDefault="005A49CA">
      <w:r w:rsidRPr="00AA693E">
        <w:separator/>
      </w:r>
    </w:p>
  </w:footnote>
  <w:footnote w:type="continuationSeparator" w:id="0">
    <w:p w14:paraId="53C860A0" w14:textId="77777777" w:rsidR="005A49CA" w:rsidRPr="00AA693E" w:rsidRDefault="005A49CA">
      <w:r w:rsidRPr="00AA693E">
        <w:continuationSeparator/>
      </w:r>
    </w:p>
  </w:footnote>
  <w:footnote w:id="1">
    <w:p w14:paraId="7F4D3570" w14:textId="1D69B6F8" w:rsidR="007D3387" w:rsidRPr="00AA693E" w:rsidRDefault="007D3387" w:rsidP="00AA693E">
      <w:pPr>
        <w:ind w:left="567" w:hanging="567"/>
      </w:pPr>
      <w:r w:rsidRPr="00AA693E">
        <w:rPr>
          <w:rStyle w:val="FootnoteReference"/>
        </w:rPr>
        <w:footnoteRef/>
      </w:r>
      <w:r w:rsidR="00AA693E" w:rsidRPr="00AA693E">
        <w:t xml:space="preserve"> </w:t>
      </w:r>
      <w:r w:rsidR="00AA693E" w:rsidRPr="00AA693E">
        <w:tab/>
      </w:r>
      <w:r w:rsidRPr="00AA693E">
        <w:t xml:space="preserve">Dz.U. L 410 I z 7.12.2020, s. 13, ELI: </w:t>
      </w:r>
      <w:hyperlink r:id="rId1" w:history="1">
        <w:r w:rsidRPr="00AA693E">
          <w:rPr>
            <w:rStyle w:val="Hyperlink"/>
            <w:color w:val="0563C1"/>
          </w:rPr>
          <w:t>http://data.europa.eu/eli/dec/2020/1999/oj</w:t>
        </w:r>
      </w:hyperlink>
      <w:r w:rsidRPr="00AA693E">
        <w:t>.</w:t>
      </w:r>
    </w:p>
  </w:footnote>
  <w:footnote w:id="2">
    <w:p w14:paraId="5008168D" w14:textId="517FD54B" w:rsidR="007D3387" w:rsidRPr="00AA693E" w:rsidRDefault="007D3387" w:rsidP="00AA693E">
      <w:pPr>
        <w:pStyle w:val="FootnoteText"/>
        <w:ind w:left="567" w:hanging="567"/>
        <w:rPr>
          <w:sz w:val="24"/>
          <w:lang w:val="pl-PL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AA693E">
        <w:rPr>
          <w:sz w:val="24"/>
          <w:lang w:val="pl-PL"/>
        </w:rPr>
        <w:t xml:space="preserve"> </w:t>
      </w:r>
      <w:r w:rsidR="00AA693E" w:rsidRPr="00AA693E">
        <w:rPr>
          <w:sz w:val="24"/>
          <w:lang w:val="pl-PL"/>
        </w:rPr>
        <w:tab/>
      </w:r>
      <w:r w:rsidRPr="00AA693E">
        <w:rPr>
          <w:sz w:val="24"/>
          <w:lang w:val="pl-PL"/>
        </w:rPr>
        <w:t xml:space="preserve">Dz.U. L 410 I z 7.12.2020, s. 1, ELI: </w:t>
      </w:r>
      <w:hyperlink r:id="rId2" w:history="1">
        <w:r w:rsidRPr="00AA693E">
          <w:rPr>
            <w:rStyle w:val="Hyperlink"/>
            <w:color w:val="0563C1"/>
            <w:sz w:val="24"/>
            <w:lang w:val="pl-PL"/>
          </w:rPr>
          <w:t>http://data.europa.eu/eli/reg/2020/1998/oj</w:t>
        </w:r>
      </w:hyperlink>
      <w:r w:rsidRPr="00AA693E">
        <w:rPr>
          <w:sz w:val="24"/>
          <w:lang w:val="pl-PL"/>
        </w:rPr>
        <w:t xml:space="preserve">. </w:t>
      </w:r>
    </w:p>
  </w:footnote>
  <w:footnote w:id="3">
    <w:p w14:paraId="61560BA4" w14:textId="52C208A8" w:rsidR="007D3387" w:rsidRPr="00AA693E" w:rsidRDefault="007D3387" w:rsidP="00AA693E">
      <w:pPr>
        <w:ind w:left="567" w:hanging="567"/>
      </w:pPr>
      <w:r w:rsidRPr="00AA693E">
        <w:rPr>
          <w:rStyle w:val="FootnoteReference"/>
        </w:rPr>
        <w:footnoteRef/>
      </w:r>
      <w:r w:rsidR="00AA693E" w:rsidRPr="00AA693E">
        <w:t xml:space="preserve"> </w:t>
      </w:r>
      <w:r w:rsidR="00AA693E" w:rsidRPr="00AA693E">
        <w:tab/>
      </w:r>
      <w:r w:rsidRPr="00AA693E">
        <w:t xml:space="preserve">Dz.U. L 71 I z 2.3.2021, s. 1, ELI: </w:t>
      </w:r>
      <w:hyperlink r:id="rId3" w:history="1">
        <w:r w:rsidRPr="00AA693E">
          <w:rPr>
            <w:rStyle w:val="Hyperlink"/>
            <w:color w:val="0563C1"/>
          </w:rPr>
          <w:t>http://data.europa.eu/eli/reg_impl/2021/371/oj</w:t>
        </w:r>
      </w:hyperlink>
      <w:r w:rsidRPr="00AA693E">
        <w:t xml:space="preserve">. </w:t>
      </w:r>
    </w:p>
  </w:footnote>
  <w:footnote w:id="4">
    <w:p w14:paraId="3D098C69" w14:textId="529DCA97" w:rsidR="007D3387" w:rsidRPr="00AA693E" w:rsidRDefault="007D3387" w:rsidP="00AA693E">
      <w:pPr>
        <w:pStyle w:val="FootnoteText"/>
        <w:ind w:left="567" w:hanging="567"/>
        <w:rPr>
          <w:sz w:val="24"/>
          <w:lang w:val="pl-PL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AA693E">
        <w:rPr>
          <w:sz w:val="24"/>
          <w:lang w:val="pl-PL"/>
        </w:rPr>
        <w:t xml:space="preserve"> </w:t>
      </w:r>
      <w:r w:rsidR="00AA693E" w:rsidRPr="00AA693E">
        <w:rPr>
          <w:sz w:val="24"/>
          <w:lang w:val="pl-PL"/>
        </w:rPr>
        <w:tab/>
      </w:r>
      <w:r w:rsidRPr="00AA693E">
        <w:rPr>
          <w:sz w:val="24"/>
          <w:lang w:val="pl-PL"/>
        </w:rPr>
        <w:t xml:space="preserve">Dz.U. L 99 I z 22.3.2021, s. 1, ELI: </w:t>
      </w:r>
      <w:hyperlink r:id="rId4" w:history="1">
        <w:r w:rsidRPr="00AA693E">
          <w:rPr>
            <w:rStyle w:val="Hyperlink"/>
            <w:color w:val="0563C1"/>
            <w:sz w:val="24"/>
            <w:lang w:val="pl-PL"/>
          </w:rPr>
          <w:t>http://data.europa.eu/eli/reg_impl/2021/478/oj</w:t>
        </w:r>
      </w:hyperlink>
      <w:r w:rsidRPr="00AA693E">
        <w:rPr>
          <w:sz w:val="24"/>
          <w:lang w:val="pl-PL"/>
        </w:rPr>
        <w:t xml:space="preserve">. </w:t>
      </w:r>
    </w:p>
  </w:footnote>
  <w:footnote w:id="5">
    <w:p w14:paraId="325C7F52" w14:textId="51203CD0" w:rsidR="007D3387" w:rsidRPr="000C032D" w:rsidRDefault="007D3387" w:rsidP="00AA693E">
      <w:pPr>
        <w:pStyle w:val="FootnoteText"/>
        <w:ind w:left="567" w:hanging="567"/>
        <w:rPr>
          <w:sz w:val="24"/>
          <w:lang w:val="fi-FI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0C032D">
        <w:rPr>
          <w:sz w:val="24"/>
          <w:lang w:val="fi-FI"/>
        </w:rPr>
        <w:t xml:space="preserve"> </w:t>
      </w:r>
      <w:r w:rsidR="00AA693E" w:rsidRPr="000C032D">
        <w:rPr>
          <w:sz w:val="24"/>
          <w:lang w:val="fi-FI"/>
        </w:rPr>
        <w:tab/>
      </w:r>
      <w:r w:rsidRPr="000C032D">
        <w:rPr>
          <w:sz w:val="24"/>
          <w:lang w:val="fi-FI"/>
        </w:rPr>
        <w:t xml:space="preserve">Dz.U. L, 2025/1111, 28.5.2025, ELI: </w:t>
      </w:r>
      <w:hyperlink r:id="rId5" w:history="1">
        <w:r w:rsidRPr="000C032D">
          <w:rPr>
            <w:rStyle w:val="Hyperlink"/>
            <w:color w:val="0563C1"/>
            <w:sz w:val="24"/>
            <w:lang w:val="fi-FI"/>
          </w:rPr>
          <w:t>http://data.europa.eu/eli/reg_impl/2025/1111/oj</w:t>
        </w:r>
      </w:hyperlink>
      <w:r w:rsidRPr="000C032D">
        <w:rPr>
          <w:sz w:val="24"/>
          <w:lang w:val="fi-FI"/>
        </w:rPr>
        <w:t xml:space="preserve">. </w:t>
      </w:r>
    </w:p>
  </w:footnote>
  <w:footnote w:id="6">
    <w:p w14:paraId="218D4B33" w14:textId="4675E273" w:rsidR="007D3387" w:rsidRPr="00AA693E" w:rsidRDefault="007D3387" w:rsidP="00AA693E">
      <w:pPr>
        <w:pStyle w:val="FootnoteText"/>
        <w:ind w:left="567" w:hanging="567"/>
        <w:rPr>
          <w:sz w:val="24"/>
          <w:lang w:val="pl-PL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AA693E">
        <w:rPr>
          <w:sz w:val="24"/>
          <w:lang w:val="pl-PL"/>
        </w:rPr>
        <w:t xml:space="preserve"> </w:t>
      </w:r>
      <w:r w:rsidR="00AA693E" w:rsidRPr="00AA693E">
        <w:rPr>
          <w:sz w:val="24"/>
          <w:lang w:val="pl-PL"/>
        </w:rPr>
        <w:tab/>
      </w:r>
      <w:r w:rsidRPr="00AA693E">
        <w:rPr>
          <w:sz w:val="24"/>
          <w:lang w:val="pl-PL"/>
        </w:rPr>
        <w:t xml:space="preserve">Dz.U. L 71 I z 2.3.2021, s. 6, ELI: </w:t>
      </w:r>
      <w:hyperlink r:id="rId6" w:history="1">
        <w:r w:rsidRPr="00AA693E">
          <w:rPr>
            <w:rStyle w:val="Hyperlink"/>
            <w:color w:val="0563C1"/>
            <w:sz w:val="24"/>
            <w:lang w:val="pl-PL"/>
          </w:rPr>
          <w:t>http://data.europa.eu/eli/dec/2021/372/oj</w:t>
        </w:r>
      </w:hyperlink>
      <w:r w:rsidRPr="00AA693E">
        <w:rPr>
          <w:sz w:val="24"/>
          <w:lang w:val="pl-PL"/>
        </w:rPr>
        <w:t xml:space="preserve">. </w:t>
      </w:r>
    </w:p>
  </w:footnote>
  <w:footnote w:id="7">
    <w:p w14:paraId="448AB845" w14:textId="666FFCDC" w:rsidR="007D3387" w:rsidRPr="00AA693E" w:rsidRDefault="007D3387" w:rsidP="00AA693E">
      <w:pPr>
        <w:pStyle w:val="FootnoteText"/>
        <w:ind w:left="567" w:hanging="567"/>
        <w:rPr>
          <w:sz w:val="24"/>
          <w:lang w:val="pl-PL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AA693E">
        <w:rPr>
          <w:sz w:val="24"/>
          <w:lang w:val="pl-PL"/>
        </w:rPr>
        <w:t xml:space="preserve"> </w:t>
      </w:r>
      <w:r w:rsidR="00AA693E" w:rsidRPr="00AA693E">
        <w:rPr>
          <w:sz w:val="24"/>
          <w:lang w:val="pl-PL"/>
        </w:rPr>
        <w:tab/>
      </w:r>
      <w:r w:rsidRPr="00AA693E">
        <w:rPr>
          <w:sz w:val="24"/>
          <w:lang w:val="pl-PL"/>
        </w:rPr>
        <w:t xml:space="preserve">Dz.U. L 99 I z 22.3.2021, s. 25, ELI: </w:t>
      </w:r>
      <w:hyperlink r:id="rId7" w:history="1">
        <w:r w:rsidRPr="00AA693E">
          <w:rPr>
            <w:rStyle w:val="Hyperlink"/>
            <w:color w:val="0563C1"/>
            <w:sz w:val="24"/>
            <w:lang w:val="pl-PL"/>
          </w:rPr>
          <w:t>http://data.europa.eu/eli/dec/2021/481/oj</w:t>
        </w:r>
      </w:hyperlink>
      <w:r w:rsidRPr="00AA693E">
        <w:rPr>
          <w:sz w:val="24"/>
          <w:lang w:val="pl-PL"/>
        </w:rPr>
        <w:t xml:space="preserve">. </w:t>
      </w:r>
    </w:p>
  </w:footnote>
  <w:footnote w:id="8">
    <w:p w14:paraId="18CC199E" w14:textId="68EFFAF0" w:rsidR="007D3387" w:rsidRPr="00AA693E" w:rsidRDefault="007D3387" w:rsidP="00AA693E">
      <w:pPr>
        <w:pStyle w:val="FootnoteText"/>
        <w:ind w:left="567" w:hanging="567"/>
        <w:rPr>
          <w:sz w:val="24"/>
          <w:lang w:val="pl-PL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AA693E">
        <w:rPr>
          <w:sz w:val="24"/>
          <w:lang w:val="pl-PL"/>
        </w:rPr>
        <w:t xml:space="preserve"> </w:t>
      </w:r>
      <w:r w:rsidR="00AA693E" w:rsidRPr="00AA693E">
        <w:rPr>
          <w:sz w:val="24"/>
          <w:lang w:val="pl-PL"/>
        </w:rPr>
        <w:tab/>
      </w:r>
      <w:r w:rsidRPr="00AA693E">
        <w:rPr>
          <w:sz w:val="24"/>
          <w:lang w:val="pl-PL"/>
        </w:rPr>
        <w:t xml:space="preserve">Dz.U. L 445 I z 13.12.2021, s. 17, ELI: </w:t>
      </w:r>
      <w:hyperlink r:id="rId8" w:history="1">
        <w:r w:rsidRPr="00AA693E">
          <w:rPr>
            <w:rStyle w:val="Hyperlink"/>
            <w:color w:val="0563C1"/>
            <w:sz w:val="24"/>
            <w:lang w:val="pl-PL"/>
          </w:rPr>
          <w:t>http://data.europa.eu/eli/dec/2021/2197/oj</w:t>
        </w:r>
      </w:hyperlink>
      <w:r w:rsidRPr="00AA693E">
        <w:rPr>
          <w:sz w:val="24"/>
          <w:lang w:val="pl-PL"/>
        </w:rPr>
        <w:t xml:space="preserve">. </w:t>
      </w:r>
    </w:p>
  </w:footnote>
  <w:footnote w:id="9">
    <w:p w14:paraId="68FF811C" w14:textId="541FEEEF" w:rsidR="007D3387" w:rsidRPr="00AA693E" w:rsidRDefault="007D3387" w:rsidP="00AA693E">
      <w:pPr>
        <w:pStyle w:val="FootnoteText"/>
        <w:ind w:left="567" w:hanging="567"/>
        <w:rPr>
          <w:sz w:val="24"/>
          <w:lang w:val="pl-PL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AA693E">
        <w:rPr>
          <w:sz w:val="24"/>
          <w:lang w:val="pl-PL"/>
        </w:rPr>
        <w:t xml:space="preserve"> </w:t>
      </w:r>
      <w:r w:rsidR="00AA693E" w:rsidRPr="00AA693E">
        <w:rPr>
          <w:sz w:val="24"/>
          <w:lang w:val="pl-PL"/>
        </w:rPr>
        <w:tab/>
      </w:r>
      <w:r w:rsidRPr="00AA693E">
        <w:rPr>
          <w:sz w:val="24"/>
          <w:lang w:val="pl-PL"/>
        </w:rPr>
        <w:t xml:space="preserve">Dz.U. L 183 I z 20.7.2023, s. 60, ELI: </w:t>
      </w:r>
      <w:hyperlink r:id="rId9" w:history="1">
        <w:r w:rsidRPr="00AA693E">
          <w:rPr>
            <w:rStyle w:val="Hyperlink"/>
            <w:color w:val="0563C1"/>
            <w:sz w:val="24"/>
            <w:lang w:val="pl-PL"/>
          </w:rPr>
          <w:t>http://data.europa.eu/eli/dec/2023/1504/oj</w:t>
        </w:r>
      </w:hyperlink>
      <w:r w:rsidRPr="00AA693E">
        <w:rPr>
          <w:sz w:val="24"/>
          <w:lang w:val="pl-PL"/>
        </w:rPr>
        <w:t xml:space="preserve">. </w:t>
      </w:r>
    </w:p>
  </w:footnote>
  <w:footnote w:id="10">
    <w:p w14:paraId="2D0910A6" w14:textId="67F19EC1" w:rsidR="007D3387" w:rsidRPr="00AA693E" w:rsidRDefault="007D3387" w:rsidP="00AA693E">
      <w:pPr>
        <w:pStyle w:val="FootnoteText"/>
        <w:ind w:left="567" w:hanging="567"/>
        <w:rPr>
          <w:sz w:val="24"/>
          <w:lang w:val="pl-PL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AA693E">
        <w:rPr>
          <w:sz w:val="24"/>
          <w:lang w:val="pl-PL"/>
        </w:rPr>
        <w:t xml:space="preserve"> </w:t>
      </w:r>
      <w:r w:rsidR="00AA693E" w:rsidRPr="00AA693E">
        <w:rPr>
          <w:sz w:val="24"/>
          <w:lang w:val="pl-PL"/>
        </w:rPr>
        <w:tab/>
      </w:r>
      <w:r w:rsidRPr="00AA693E">
        <w:rPr>
          <w:sz w:val="24"/>
          <w:lang w:val="pl-PL"/>
        </w:rPr>
        <w:t xml:space="preserve">Dz.U. L 221 I z 8.9.2023, s. 6, ELI: </w:t>
      </w:r>
      <w:hyperlink r:id="rId10" w:history="1">
        <w:r w:rsidRPr="00AA693E">
          <w:rPr>
            <w:rStyle w:val="Hyperlink"/>
            <w:sz w:val="24"/>
            <w:lang w:val="pl-PL"/>
          </w:rPr>
          <w:t>http://data.europa.eu/eli/dec/2023/1716/oj</w:t>
        </w:r>
      </w:hyperlink>
      <w:r w:rsidRPr="00AA693E">
        <w:rPr>
          <w:sz w:val="24"/>
          <w:lang w:val="pl-PL"/>
        </w:rPr>
        <w:t xml:space="preserve">. </w:t>
      </w:r>
    </w:p>
  </w:footnote>
  <w:footnote w:id="11">
    <w:p w14:paraId="4FD08559" w14:textId="0F9D62CB" w:rsidR="007D3387" w:rsidRPr="000C032D" w:rsidRDefault="007D3387" w:rsidP="00AA693E">
      <w:pPr>
        <w:pStyle w:val="FootnoteText"/>
        <w:ind w:left="567" w:hanging="567"/>
        <w:rPr>
          <w:sz w:val="24"/>
          <w:lang w:val="fi-FI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0C032D">
        <w:rPr>
          <w:sz w:val="24"/>
          <w:lang w:val="fi-FI"/>
        </w:rPr>
        <w:t xml:space="preserve"> </w:t>
      </w:r>
      <w:r w:rsidR="00AA693E" w:rsidRPr="000C032D">
        <w:rPr>
          <w:sz w:val="24"/>
          <w:lang w:val="fi-FI"/>
        </w:rPr>
        <w:tab/>
      </w:r>
      <w:r w:rsidRPr="000C032D">
        <w:rPr>
          <w:sz w:val="24"/>
          <w:lang w:val="fi-FI"/>
        </w:rPr>
        <w:t xml:space="preserve">Dz.U. L, 2024/1025, 5.4.2024, ELI: </w:t>
      </w:r>
      <w:hyperlink r:id="rId11" w:history="1">
        <w:r w:rsidRPr="000C032D">
          <w:rPr>
            <w:rStyle w:val="Hyperlink"/>
            <w:sz w:val="24"/>
            <w:lang w:val="fi-FI"/>
          </w:rPr>
          <w:t>http://data.europa.eu/eli/dec/2024/1025/oj</w:t>
        </w:r>
      </w:hyperlink>
      <w:r w:rsidRPr="000C032D">
        <w:rPr>
          <w:sz w:val="24"/>
          <w:lang w:val="fi-FI"/>
        </w:rPr>
        <w:t xml:space="preserve">. </w:t>
      </w:r>
    </w:p>
  </w:footnote>
  <w:footnote w:id="12">
    <w:p w14:paraId="0D988765" w14:textId="75EEA737" w:rsidR="007D3387" w:rsidRPr="000C032D" w:rsidRDefault="007D3387" w:rsidP="00AA693E">
      <w:pPr>
        <w:pStyle w:val="FootnoteText"/>
        <w:ind w:left="567" w:hanging="567"/>
        <w:rPr>
          <w:sz w:val="24"/>
          <w:lang w:val="fi-FI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0C032D">
        <w:rPr>
          <w:sz w:val="24"/>
          <w:lang w:val="fi-FI"/>
        </w:rPr>
        <w:t xml:space="preserve"> </w:t>
      </w:r>
      <w:r w:rsidR="00AA693E" w:rsidRPr="000C032D">
        <w:rPr>
          <w:sz w:val="24"/>
          <w:lang w:val="fi-FI"/>
        </w:rPr>
        <w:tab/>
      </w:r>
      <w:r w:rsidRPr="000C032D">
        <w:rPr>
          <w:sz w:val="24"/>
          <w:lang w:val="fi-FI"/>
        </w:rPr>
        <w:t xml:space="preserve">Dz.U. L, 2024/1074, 12.4.2024, ELI: </w:t>
      </w:r>
      <w:hyperlink r:id="rId12" w:history="1">
        <w:r w:rsidRPr="000C032D">
          <w:rPr>
            <w:rStyle w:val="Hyperlink"/>
            <w:sz w:val="24"/>
            <w:lang w:val="fi-FI"/>
          </w:rPr>
          <w:t>http://data.europa.eu/eli/dec/2024/1074/oj</w:t>
        </w:r>
      </w:hyperlink>
      <w:r w:rsidRPr="000C032D">
        <w:rPr>
          <w:sz w:val="24"/>
          <w:lang w:val="fi-FI"/>
        </w:rPr>
        <w:t xml:space="preserve">. </w:t>
      </w:r>
    </w:p>
  </w:footnote>
  <w:footnote w:id="13">
    <w:p w14:paraId="2F8EDBEC" w14:textId="7B7D83E3" w:rsidR="007D3387" w:rsidRPr="000C032D" w:rsidRDefault="007D3387" w:rsidP="00AA693E">
      <w:pPr>
        <w:pStyle w:val="FootnoteText"/>
        <w:ind w:left="567" w:hanging="567"/>
        <w:rPr>
          <w:sz w:val="24"/>
          <w:lang w:val="fi-FI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0C032D">
        <w:rPr>
          <w:sz w:val="24"/>
          <w:lang w:val="fi-FI"/>
        </w:rPr>
        <w:t xml:space="preserve"> </w:t>
      </w:r>
      <w:r w:rsidR="00AA693E" w:rsidRPr="000C032D">
        <w:rPr>
          <w:sz w:val="24"/>
          <w:lang w:val="fi-FI"/>
        </w:rPr>
        <w:tab/>
      </w:r>
      <w:r w:rsidRPr="000C032D">
        <w:rPr>
          <w:sz w:val="24"/>
          <w:lang w:val="fi-FI"/>
        </w:rPr>
        <w:t xml:space="preserve">Dz.U. L, 2024/1175, 19.4.2024, ELI: </w:t>
      </w:r>
      <w:hyperlink r:id="rId13" w:history="1">
        <w:r w:rsidRPr="000C032D">
          <w:rPr>
            <w:rStyle w:val="Hyperlink"/>
            <w:sz w:val="24"/>
            <w:lang w:val="fi-FI"/>
          </w:rPr>
          <w:t>http://data.europa.eu/eli/dec/2024/1175/oj</w:t>
        </w:r>
      </w:hyperlink>
      <w:r w:rsidRPr="000C032D">
        <w:rPr>
          <w:sz w:val="24"/>
          <w:lang w:val="fi-FI"/>
        </w:rPr>
        <w:t xml:space="preserve">. </w:t>
      </w:r>
    </w:p>
  </w:footnote>
  <w:footnote w:id="14">
    <w:p w14:paraId="1697C959" w14:textId="5171E850" w:rsidR="007D3387" w:rsidRPr="000C032D" w:rsidRDefault="007D3387" w:rsidP="00AA693E">
      <w:pPr>
        <w:pStyle w:val="FootnoteText"/>
        <w:ind w:left="567" w:hanging="567"/>
        <w:rPr>
          <w:sz w:val="24"/>
          <w:lang w:val="fi-FI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0C032D">
        <w:rPr>
          <w:sz w:val="24"/>
          <w:lang w:val="fi-FI"/>
        </w:rPr>
        <w:t xml:space="preserve"> </w:t>
      </w:r>
      <w:r w:rsidR="00AA693E" w:rsidRPr="000C032D">
        <w:rPr>
          <w:sz w:val="24"/>
          <w:lang w:val="fi-FI"/>
        </w:rPr>
        <w:tab/>
      </w:r>
      <w:r w:rsidRPr="000C032D">
        <w:rPr>
          <w:sz w:val="24"/>
          <w:lang w:val="fi-FI"/>
        </w:rPr>
        <w:t xml:space="preserve">Dz.U. L, 2024/1967, 15.7.2024, ELI: </w:t>
      </w:r>
      <w:hyperlink r:id="rId14" w:history="1">
        <w:r w:rsidRPr="000C032D">
          <w:rPr>
            <w:rStyle w:val="Hyperlink"/>
            <w:sz w:val="24"/>
            <w:lang w:val="fi-FI"/>
          </w:rPr>
          <w:t>http://data.europa.eu/eli/dec/2024/1967/oj</w:t>
        </w:r>
      </w:hyperlink>
      <w:r w:rsidRPr="000C032D">
        <w:rPr>
          <w:sz w:val="24"/>
          <w:lang w:val="fi-FI"/>
        </w:rPr>
        <w:t xml:space="preserve">. </w:t>
      </w:r>
    </w:p>
  </w:footnote>
  <w:footnote w:id="15">
    <w:p w14:paraId="5814224A" w14:textId="486AD62A" w:rsidR="007D3387" w:rsidRPr="000C032D" w:rsidRDefault="007D3387" w:rsidP="00AA693E">
      <w:pPr>
        <w:pStyle w:val="FootnoteText"/>
        <w:ind w:left="567" w:hanging="567"/>
        <w:rPr>
          <w:sz w:val="24"/>
          <w:lang w:val="fi-FI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0C032D">
        <w:rPr>
          <w:sz w:val="24"/>
          <w:lang w:val="fi-FI"/>
        </w:rPr>
        <w:t xml:space="preserve"> </w:t>
      </w:r>
      <w:r w:rsidR="00AA693E" w:rsidRPr="000C032D">
        <w:rPr>
          <w:sz w:val="24"/>
          <w:lang w:val="fi-FI"/>
        </w:rPr>
        <w:tab/>
      </w:r>
      <w:r w:rsidRPr="000C032D">
        <w:rPr>
          <w:sz w:val="24"/>
          <w:lang w:val="fi-FI"/>
        </w:rPr>
        <w:t xml:space="preserve">Dz.U. L, 2024/3004, 3.12.2024, ELI: </w:t>
      </w:r>
      <w:hyperlink r:id="rId15" w:history="1">
        <w:r w:rsidRPr="000C032D">
          <w:rPr>
            <w:rStyle w:val="Hyperlink"/>
            <w:sz w:val="24"/>
            <w:lang w:val="fi-FI"/>
          </w:rPr>
          <w:t>http://data.europa.eu/eli/dec/2024/3004/oj</w:t>
        </w:r>
      </w:hyperlink>
      <w:r w:rsidRPr="000C032D">
        <w:rPr>
          <w:sz w:val="24"/>
          <w:lang w:val="fi-FI"/>
        </w:rPr>
        <w:t xml:space="preserve">. </w:t>
      </w:r>
    </w:p>
  </w:footnote>
  <w:footnote w:id="16">
    <w:p w14:paraId="17744B40" w14:textId="2DB96F63" w:rsidR="007D3387" w:rsidRPr="000C032D" w:rsidRDefault="007D3387" w:rsidP="00AA693E">
      <w:pPr>
        <w:pStyle w:val="FootnoteText"/>
        <w:ind w:left="567" w:hanging="567"/>
        <w:rPr>
          <w:sz w:val="24"/>
          <w:lang w:val="fi-FI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0C032D">
        <w:rPr>
          <w:sz w:val="24"/>
          <w:lang w:val="fi-FI"/>
        </w:rPr>
        <w:t xml:space="preserve"> </w:t>
      </w:r>
      <w:r w:rsidR="00AA693E" w:rsidRPr="000C032D">
        <w:rPr>
          <w:sz w:val="24"/>
          <w:lang w:val="fi-FI"/>
        </w:rPr>
        <w:tab/>
      </w:r>
      <w:r w:rsidRPr="000C032D">
        <w:rPr>
          <w:sz w:val="24"/>
          <w:lang w:val="fi-FI"/>
        </w:rPr>
        <w:t xml:space="preserve">Dz.U. L, 2025/346, 19.2.2025, ELI: </w:t>
      </w:r>
      <w:hyperlink r:id="rId16" w:history="1">
        <w:r w:rsidRPr="000C032D">
          <w:rPr>
            <w:rStyle w:val="Hyperlink"/>
            <w:sz w:val="24"/>
            <w:lang w:val="fi-FI"/>
          </w:rPr>
          <w:t>http://data.europa.eu/eli/dec/2025/346/oj</w:t>
        </w:r>
      </w:hyperlink>
      <w:r w:rsidRPr="000C032D">
        <w:rPr>
          <w:sz w:val="24"/>
          <w:lang w:val="fi-FI"/>
        </w:rPr>
        <w:t xml:space="preserve">. </w:t>
      </w:r>
    </w:p>
  </w:footnote>
  <w:footnote w:id="17">
    <w:p w14:paraId="63778BF9" w14:textId="2ADFB720" w:rsidR="007D3387" w:rsidRPr="000C032D" w:rsidRDefault="007D3387" w:rsidP="00AA693E">
      <w:pPr>
        <w:pStyle w:val="FootnoteText"/>
        <w:ind w:left="567" w:hanging="567"/>
        <w:rPr>
          <w:sz w:val="24"/>
          <w:lang w:val="fi-FI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0C032D">
        <w:rPr>
          <w:sz w:val="24"/>
          <w:lang w:val="fi-FI"/>
        </w:rPr>
        <w:t xml:space="preserve"> </w:t>
      </w:r>
      <w:r w:rsidR="00AA693E" w:rsidRPr="000C032D">
        <w:rPr>
          <w:sz w:val="24"/>
          <w:lang w:val="fi-FI"/>
        </w:rPr>
        <w:tab/>
      </w:r>
      <w:r w:rsidRPr="000C032D">
        <w:rPr>
          <w:sz w:val="24"/>
          <w:lang w:val="fi-FI"/>
        </w:rPr>
        <w:t xml:space="preserve">Dz.U. L, 2025/1110, 28.5.2025, ELI: </w:t>
      </w:r>
      <w:hyperlink r:id="rId17" w:history="1">
        <w:r w:rsidRPr="000C032D">
          <w:rPr>
            <w:rStyle w:val="Hyperlink"/>
            <w:sz w:val="24"/>
            <w:lang w:val="fi-FI"/>
          </w:rPr>
          <w:t>http://data.europa.eu/eli/dec/2025/1110/oj</w:t>
        </w:r>
      </w:hyperlink>
      <w:r w:rsidRPr="000C032D">
        <w:rPr>
          <w:sz w:val="24"/>
          <w:lang w:val="fi-FI"/>
        </w:rPr>
        <w:t xml:space="preserve">. </w:t>
      </w:r>
    </w:p>
  </w:footnote>
  <w:footnote w:id="18">
    <w:p w14:paraId="7C41B25C" w14:textId="77A4B4A3" w:rsidR="007D3387" w:rsidRPr="00DE3432" w:rsidRDefault="007D3387" w:rsidP="00AA693E">
      <w:pPr>
        <w:pStyle w:val="FootnoteText"/>
        <w:ind w:left="567" w:hanging="567"/>
        <w:rPr>
          <w:sz w:val="24"/>
          <w:szCs w:val="24"/>
          <w:lang w:val="pl-PL"/>
        </w:rPr>
      </w:pPr>
      <w:r w:rsidRPr="00DE3432">
        <w:rPr>
          <w:rStyle w:val="FootnoteReference"/>
          <w:sz w:val="24"/>
          <w:szCs w:val="24"/>
          <w:lang w:val="pl-PL"/>
        </w:rPr>
        <w:footnoteRef/>
      </w:r>
      <w:r w:rsidR="00AA693E" w:rsidRPr="00DE3432">
        <w:rPr>
          <w:sz w:val="24"/>
          <w:szCs w:val="24"/>
          <w:lang w:val="pl-PL"/>
        </w:rPr>
        <w:t xml:space="preserve"> </w:t>
      </w:r>
      <w:r w:rsidR="00AA693E" w:rsidRPr="00DE3432">
        <w:rPr>
          <w:sz w:val="24"/>
          <w:szCs w:val="24"/>
          <w:lang w:val="pl-PL"/>
        </w:rPr>
        <w:tab/>
      </w:r>
      <w:r w:rsidR="000C032D">
        <w:rPr>
          <w:sz w:val="24"/>
          <w:szCs w:val="24"/>
          <w:lang w:val="pl-PL"/>
        </w:rPr>
        <w:t>Dz.U. C 99 z 1.3.2022, s. 152.</w:t>
      </w:r>
    </w:p>
  </w:footnote>
  <w:footnote w:id="19">
    <w:p w14:paraId="7F646AA1" w14:textId="7419325B" w:rsidR="007D3387" w:rsidRPr="000C032D" w:rsidRDefault="007D3387" w:rsidP="00AA693E">
      <w:pPr>
        <w:pStyle w:val="FootnoteText"/>
        <w:ind w:left="567" w:hanging="567"/>
        <w:rPr>
          <w:sz w:val="24"/>
          <w:lang w:val="fi-FI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0C032D">
        <w:rPr>
          <w:sz w:val="24"/>
          <w:lang w:val="fi-FI"/>
        </w:rPr>
        <w:t xml:space="preserve"> </w:t>
      </w:r>
      <w:r w:rsidR="00AA693E" w:rsidRPr="000C032D">
        <w:rPr>
          <w:sz w:val="24"/>
          <w:lang w:val="fi-FI"/>
        </w:rPr>
        <w:tab/>
      </w:r>
      <w:r w:rsidR="000C032D" w:rsidRPr="000C032D">
        <w:rPr>
          <w:sz w:val="24"/>
          <w:szCs w:val="24"/>
          <w:lang w:val="fi-FI"/>
        </w:rPr>
        <w:t xml:space="preserve">Dz.U C, C/2025/4390, 9.9.2025, ELI: </w:t>
      </w:r>
      <w:hyperlink r:id="rId18" w:history="1">
        <w:r w:rsidR="000C032D" w:rsidRPr="000C032D">
          <w:rPr>
            <w:rStyle w:val="Hyperlink"/>
            <w:sz w:val="24"/>
            <w:szCs w:val="24"/>
            <w:lang w:val="fi-FI"/>
          </w:rPr>
          <w:t>http://data.europa.eu/eli/C/2025/4390/oj</w:t>
        </w:r>
      </w:hyperlink>
      <w:r w:rsidR="000C032D" w:rsidRPr="000C032D">
        <w:rPr>
          <w:sz w:val="24"/>
          <w:szCs w:val="24"/>
          <w:lang w:val="fi-FI"/>
        </w:rPr>
        <w:t>.</w:t>
      </w:r>
    </w:p>
  </w:footnote>
  <w:footnote w:id="20">
    <w:p w14:paraId="4A5BA264" w14:textId="0629C39E" w:rsidR="007D3387" w:rsidRPr="000C032D" w:rsidRDefault="007D3387" w:rsidP="00AA693E">
      <w:pPr>
        <w:pStyle w:val="FootnoteText"/>
        <w:ind w:left="567" w:hanging="567"/>
        <w:rPr>
          <w:sz w:val="24"/>
          <w:lang w:val="fi-FI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0C032D">
        <w:rPr>
          <w:sz w:val="24"/>
          <w:lang w:val="fi-FI"/>
        </w:rPr>
        <w:t xml:space="preserve"> </w:t>
      </w:r>
      <w:r w:rsidR="00AA693E" w:rsidRPr="000C032D">
        <w:rPr>
          <w:sz w:val="24"/>
          <w:lang w:val="fi-FI"/>
        </w:rPr>
        <w:tab/>
      </w:r>
      <w:r w:rsidRPr="000C032D">
        <w:rPr>
          <w:sz w:val="24"/>
          <w:lang w:val="fi-FI"/>
        </w:rPr>
        <w:t xml:space="preserve">Dz.U. L, 2023/2721, 5.12.2023, ELI: </w:t>
      </w:r>
      <w:hyperlink r:id="rId19" w:history="1">
        <w:r w:rsidRPr="000C032D">
          <w:rPr>
            <w:rStyle w:val="Hyperlink"/>
            <w:sz w:val="24"/>
            <w:lang w:val="fi-FI"/>
          </w:rPr>
          <w:t>http://data.europa.eu/eli/dec/2023/2721/oj</w:t>
        </w:r>
      </w:hyperlink>
      <w:r w:rsidRPr="000C032D">
        <w:rPr>
          <w:sz w:val="24"/>
          <w:lang w:val="fi-FI"/>
        </w:rPr>
        <w:t xml:space="preserve">. </w:t>
      </w:r>
    </w:p>
  </w:footnote>
  <w:footnote w:id="21">
    <w:p w14:paraId="3871B291" w14:textId="08D621FD" w:rsidR="007D3387" w:rsidRPr="00AA693E" w:rsidRDefault="007D3387" w:rsidP="00AA693E">
      <w:pPr>
        <w:pStyle w:val="FootnoteText"/>
        <w:ind w:left="567" w:hanging="567"/>
        <w:rPr>
          <w:sz w:val="24"/>
          <w:lang w:val="pl-PL"/>
        </w:rPr>
      </w:pPr>
      <w:r w:rsidRPr="00AA693E">
        <w:rPr>
          <w:rStyle w:val="FootnoteReference"/>
          <w:sz w:val="24"/>
          <w:lang w:val="pl-PL"/>
        </w:rPr>
        <w:footnoteRef/>
      </w:r>
      <w:r w:rsidR="00AA693E" w:rsidRPr="00AA693E">
        <w:rPr>
          <w:sz w:val="24"/>
          <w:lang w:val="pl-PL"/>
        </w:rPr>
        <w:t xml:space="preserve"> </w:t>
      </w:r>
      <w:r w:rsidR="00AA693E" w:rsidRPr="00AA693E">
        <w:rPr>
          <w:sz w:val="24"/>
          <w:lang w:val="pl-PL"/>
        </w:rPr>
        <w:tab/>
      </w:r>
      <w:r w:rsidRPr="00AA693E">
        <w:rPr>
          <w:sz w:val="24"/>
          <w:lang w:val="pl-PL"/>
        </w:rPr>
        <w:t>Rozporządzenie Rady (WE) nr 2271/96 z dnia 22 listopada 1996 r. zabezpieczające przed skutkami eksterytorialnego stosowania ustawodawstwa przyjętego przez państwo trzecie oraz działaniami opartymi na nim lub z niego wynikającymi (Dz.U. L 309 z 29.11.1996, s. 1, ELI: </w:t>
      </w:r>
      <w:hyperlink r:id="rId20" w:history="1">
        <w:r w:rsidRPr="00AA693E">
          <w:rPr>
            <w:rStyle w:val="Hyperlink"/>
            <w:sz w:val="24"/>
            <w:lang w:val="pl-PL"/>
          </w:rPr>
          <w:t>http://data.europa.eu/eli/reg/1996/2271/oj</w:t>
        </w:r>
      </w:hyperlink>
      <w:r w:rsidRPr="00AA693E">
        <w:rPr>
          <w:sz w:val="24"/>
          <w:lang w:val="pl-PL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8579071">
    <w:abstractNumId w:val="9"/>
  </w:num>
  <w:num w:numId="2" w16cid:durableId="2009672420">
    <w:abstractNumId w:val="9"/>
  </w:num>
  <w:num w:numId="3" w16cid:durableId="387412428">
    <w:abstractNumId w:val="7"/>
  </w:num>
  <w:num w:numId="4" w16cid:durableId="1956866348">
    <w:abstractNumId w:val="7"/>
  </w:num>
  <w:num w:numId="5" w16cid:durableId="684794229">
    <w:abstractNumId w:val="6"/>
  </w:num>
  <w:num w:numId="6" w16cid:durableId="1350713994">
    <w:abstractNumId w:val="6"/>
  </w:num>
  <w:num w:numId="7" w16cid:durableId="1143887588">
    <w:abstractNumId w:val="5"/>
  </w:num>
  <w:num w:numId="8" w16cid:durableId="1647590514">
    <w:abstractNumId w:val="5"/>
  </w:num>
  <w:num w:numId="9" w16cid:durableId="889003680">
    <w:abstractNumId w:val="4"/>
  </w:num>
  <w:num w:numId="10" w16cid:durableId="1480540326">
    <w:abstractNumId w:val="4"/>
  </w:num>
  <w:num w:numId="11" w16cid:durableId="1553276062">
    <w:abstractNumId w:val="8"/>
  </w:num>
  <w:num w:numId="12" w16cid:durableId="1396005397">
    <w:abstractNumId w:val="8"/>
  </w:num>
  <w:num w:numId="13" w16cid:durableId="845941745">
    <w:abstractNumId w:val="3"/>
  </w:num>
  <w:num w:numId="14" w16cid:durableId="1415739287">
    <w:abstractNumId w:val="3"/>
  </w:num>
  <w:num w:numId="15" w16cid:durableId="1736850221">
    <w:abstractNumId w:val="2"/>
  </w:num>
  <w:num w:numId="16" w16cid:durableId="1126239166">
    <w:abstractNumId w:val="2"/>
  </w:num>
  <w:num w:numId="17" w16cid:durableId="1468667391">
    <w:abstractNumId w:val="1"/>
  </w:num>
  <w:num w:numId="18" w16cid:durableId="1556042810">
    <w:abstractNumId w:val="1"/>
  </w:num>
  <w:num w:numId="19" w16cid:durableId="1650746633">
    <w:abstractNumId w:val="0"/>
  </w:num>
  <w:num w:numId="20" w16cid:durableId="1245454528">
    <w:abstractNumId w:val="0"/>
  </w:num>
  <w:num w:numId="21" w16cid:durableId="192117486">
    <w:abstractNumId w:val="9"/>
  </w:num>
  <w:num w:numId="22" w16cid:durableId="672144678">
    <w:abstractNumId w:val="7"/>
  </w:num>
  <w:num w:numId="23" w16cid:durableId="2081975556">
    <w:abstractNumId w:val="6"/>
  </w:num>
  <w:num w:numId="24" w16cid:durableId="192891058">
    <w:abstractNumId w:val="5"/>
  </w:num>
  <w:num w:numId="25" w16cid:durableId="1331179544">
    <w:abstractNumId w:val="4"/>
  </w:num>
  <w:num w:numId="26" w16cid:durableId="64230370">
    <w:abstractNumId w:val="8"/>
  </w:num>
  <w:num w:numId="27" w16cid:durableId="880751378">
    <w:abstractNumId w:val="3"/>
  </w:num>
  <w:num w:numId="28" w16cid:durableId="1188636835">
    <w:abstractNumId w:val="2"/>
  </w:num>
  <w:num w:numId="29" w16cid:durableId="1209682066">
    <w:abstractNumId w:val="1"/>
  </w:num>
  <w:num w:numId="30" w16cid:durableId="1760128909">
    <w:abstractNumId w:val="0"/>
  </w:num>
  <w:num w:numId="31" w16cid:durableId="285702895">
    <w:abstractNumId w:val="9"/>
  </w:num>
  <w:num w:numId="32" w16cid:durableId="568466012">
    <w:abstractNumId w:val="7"/>
  </w:num>
  <w:num w:numId="33" w16cid:durableId="291833108">
    <w:abstractNumId w:val="6"/>
  </w:num>
  <w:num w:numId="34" w16cid:durableId="1967348266">
    <w:abstractNumId w:val="5"/>
  </w:num>
  <w:num w:numId="35" w16cid:durableId="631667835">
    <w:abstractNumId w:val="4"/>
  </w:num>
  <w:num w:numId="36" w16cid:durableId="1387796283">
    <w:abstractNumId w:val="8"/>
  </w:num>
  <w:num w:numId="37" w16cid:durableId="1010185806">
    <w:abstractNumId w:val="3"/>
  </w:num>
  <w:num w:numId="38" w16cid:durableId="2082025461">
    <w:abstractNumId w:val="2"/>
  </w:num>
  <w:num w:numId="39" w16cid:durableId="546331523">
    <w:abstractNumId w:val="1"/>
  </w:num>
  <w:num w:numId="40" w16cid:durableId="1397702308">
    <w:abstractNumId w:val="0"/>
  </w:num>
  <w:num w:numId="41" w16cid:durableId="1322612038">
    <w:abstractNumId w:val="10"/>
  </w:num>
  <w:num w:numId="42" w16cid:durableId="1513178150">
    <w:abstractNumId w:val="10"/>
  </w:num>
  <w:num w:numId="43" w16cid:durableId="1569880595">
    <w:abstractNumId w:val="10"/>
  </w:num>
  <w:num w:numId="44" w16cid:durableId="16540695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6/2025"/>
    <w:docVar w:name="dvlangue" w:val="PL"/>
    <w:docVar w:name="dvnumam" w:val="0"/>
    <w:docVar w:name="dvpe" w:val="775.385"/>
    <w:docVar w:name="dvrapporteur" w:val="Sprawozdawca: "/>
    <w:docVar w:name="dvtitre" w:val="Rezolucja Parlamentu Europejskiego z dnia  2026 r. w sprawie zastosowania sankcji unijnych w zwalczaniu bezkarności, w tym poprzez globalny system sankcji UE za naruszenia praw człowieka (europejska ustawa Magnickiego)(2025/2049(INI))"/>
  </w:docVars>
  <w:rsids>
    <w:rsidRoot w:val="005A49CA"/>
    <w:rsid w:val="00002272"/>
    <w:rsid w:val="00004BD4"/>
    <w:rsid w:val="00064002"/>
    <w:rsid w:val="000677B9"/>
    <w:rsid w:val="000831BA"/>
    <w:rsid w:val="000A42CC"/>
    <w:rsid w:val="000C032D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25E8A"/>
    <w:rsid w:val="00467D2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3437"/>
    <w:rsid w:val="005A49CA"/>
    <w:rsid w:val="005C021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3387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22E1"/>
    <w:rsid w:val="00A73183"/>
    <w:rsid w:val="00A778C7"/>
    <w:rsid w:val="00AA693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FC0"/>
    <w:rsid w:val="00D56C11"/>
    <w:rsid w:val="00D834A0"/>
    <w:rsid w:val="00D872DF"/>
    <w:rsid w:val="00D91E21"/>
    <w:rsid w:val="00DA7FCD"/>
    <w:rsid w:val="00DE3432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6AE92B"/>
  <w15:chartTrackingRefBased/>
  <w15:docId w15:val="{30993BA8-B7FD-4223-9027-05373617D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7D3387"/>
    <w:pPr>
      <w:spacing w:after="240"/>
      <w:ind w:left="567" w:hanging="567"/>
    </w:pPr>
  </w:style>
  <w:style w:type="paragraph" w:customStyle="1" w:styleId="EPComma">
    <w:name w:val="EPComma"/>
    <w:basedOn w:val="Normal"/>
    <w:rsid w:val="007D3387"/>
    <w:pPr>
      <w:spacing w:before="480" w:after="240"/>
    </w:pPr>
  </w:style>
  <w:style w:type="character" w:styleId="Hyperlink">
    <w:name w:val="Hyperlink"/>
    <w:basedOn w:val="DefaultParagraphFont"/>
    <w:rsid w:val="007D338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DE3432"/>
    <w:rPr>
      <w:sz w:val="24"/>
      <w:lang w:val="pl-PL"/>
    </w:rPr>
  </w:style>
  <w:style w:type="character" w:styleId="UnresolvedMention">
    <w:name w:val="Unresolved Mention"/>
    <w:basedOn w:val="DefaultParagraphFont"/>
    <w:uiPriority w:val="99"/>
    <w:semiHidden/>
    <w:unhideWhenUsed/>
    <w:rsid w:val="00DE3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dec/2021/2197/oj" TargetMode="External"/><Relationship Id="rId13" Type="http://schemas.openxmlformats.org/officeDocument/2006/relationships/hyperlink" Target="http://data.europa.eu/eli/dec/2024/1175/oj" TargetMode="External"/><Relationship Id="rId18" Type="http://schemas.openxmlformats.org/officeDocument/2006/relationships/hyperlink" Target="http://data.europa.eu/eli/C/2025/4390/oj" TargetMode="External"/><Relationship Id="rId3" Type="http://schemas.openxmlformats.org/officeDocument/2006/relationships/hyperlink" Target="http://data.europa.eu/eli/reg_impl/2021/371/oj" TargetMode="External"/><Relationship Id="rId7" Type="http://schemas.openxmlformats.org/officeDocument/2006/relationships/hyperlink" Target="http://data.europa.eu/eli/dec/2021/481/oj" TargetMode="External"/><Relationship Id="rId12" Type="http://schemas.openxmlformats.org/officeDocument/2006/relationships/hyperlink" Target="http://data.europa.eu/eli/dec/2024/1074/oj" TargetMode="External"/><Relationship Id="rId17" Type="http://schemas.openxmlformats.org/officeDocument/2006/relationships/hyperlink" Target="http://data.europa.eu/eli/dec/2025/1110/oj" TargetMode="External"/><Relationship Id="rId2" Type="http://schemas.openxmlformats.org/officeDocument/2006/relationships/hyperlink" Target="http://data.europa.eu/eli/reg/2020/1998/oj" TargetMode="External"/><Relationship Id="rId16" Type="http://schemas.openxmlformats.org/officeDocument/2006/relationships/hyperlink" Target="http://data.europa.eu/eli/dec/2025/346/oj" TargetMode="External"/><Relationship Id="rId20" Type="http://schemas.openxmlformats.org/officeDocument/2006/relationships/hyperlink" Target="http://data.europa.eu/eli/reg/1996/2271/oj" TargetMode="External"/><Relationship Id="rId1" Type="http://schemas.openxmlformats.org/officeDocument/2006/relationships/hyperlink" Target="http://data.europa.eu/eli/dec/2020/1999/oj" TargetMode="External"/><Relationship Id="rId6" Type="http://schemas.openxmlformats.org/officeDocument/2006/relationships/hyperlink" Target="http://data.europa.eu/eli/dec/2021/372/oj" TargetMode="External"/><Relationship Id="rId11" Type="http://schemas.openxmlformats.org/officeDocument/2006/relationships/hyperlink" Target="http://data.europa.eu/eli/dec/2024/1025/oj" TargetMode="External"/><Relationship Id="rId5" Type="http://schemas.openxmlformats.org/officeDocument/2006/relationships/hyperlink" Target="http://data.europa.eu/eli/reg_impl/2025/1111/oj" TargetMode="External"/><Relationship Id="rId15" Type="http://schemas.openxmlformats.org/officeDocument/2006/relationships/hyperlink" Target="http://data.europa.eu/eli/dec/2024/3004/oj" TargetMode="External"/><Relationship Id="rId10" Type="http://schemas.openxmlformats.org/officeDocument/2006/relationships/hyperlink" Target="http://data.europa.eu/eli/dec/2023/1716/oj" TargetMode="External"/><Relationship Id="rId19" Type="http://schemas.openxmlformats.org/officeDocument/2006/relationships/hyperlink" Target="http://data.europa.eu/eli/dec/2023/2721/oj" TargetMode="External"/><Relationship Id="rId4" Type="http://schemas.openxmlformats.org/officeDocument/2006/relationships/hyperlink" Target="http://data.europa.eu/eli/reg_impl/2021/478/oj" TargetMode="External"/><Relationship Id="rId9" Type="http://schemas.openxmlformats.org/officeDocument/2006/relationships/hyperlink" Target="http://data.europa.eu/eli/dec/2023/1504/oj" TargetMode="External"/><Relationship Id="rId14" Type="http://schemas.openxmlformats.org/officeDocument/2006/relationships/hyperlink" Target="http://data.europa.eu/eli/dec/2024/19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4008</Words>
  <Characters>26053</Characters>
  <Application>Microsoft Office Word</Application>
  <DocSecurity>0</DocSecurity>
  <Lines>217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KLIMKOWSKI Andrzej</cp:lastModifiedBy>
  <cp:revision>2</cp:revision>
  <cp:lastPrinted>2004-11-19T15:42:00Z</cp:lastPrinted>
  <dcterms:created xsi:type="dcterms:W3CDTF">2026-02-26T13:39:00Z</dcterms:created>
  <dcterms:modified xsi:type="dcterms:W3CDTF">2026-02-26T13:39:00Z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A10-0266/2025</vt:lpwstr>
  </property>
  <property fmtid="{D5CDD505-2E9C-101B-9397-08002B2CF9AE}" pid="4" name="&lt;Type&gt;">
    <vt:lpwstr>RR</vt:lpwstr>
  </property>
</Properties>
</file>