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56A0" w14:paraId="689569B9" w14:textId="77777777" w:rsidTr="0010095E">
        <w:trPr>
          <w:trHeight w:hRule="exact" w:val="1418"/>
        </w:trPr>
        <w:tc>
          <w:tcPr>
            <w:tcW w:w="6804" w:type="dxa"/>
            <w:shd w:val="clear" w:color="auto" w:fill="auto"/>
            <w:vAlign w:val="center"/>
          </w:tcPr>
          <w:p w14:paraId="30E58FCB" w14:textId="77777777" w:rsidR="00751A4A" w:rsidRPr="00A356A0" w:rsidRDefault="004857BA" w:rsidP="0010095E">
            <w:pPr>
              <w:pStyle w:val="EPName"/>
            </w:pPr>
            <w:r w:rsidRPr="00A356A0">
              <w:t>Parlamentul European</w:t>
            </w:r>
          </w:p>
          <w:p w14:paraId="71CA2780" w14:textId="77777777" w:rsidR="00751A4A" w:rsidRPr="00A356A0" w:rsidRDefault="005F1B17" w:rsidP="005F1B17">
            <w:pPr>
              <w:pStyle w:val="EPTerm"/>
              <w:rPr>
                <w:rStyle w:val="HideTWBExt"/>
                <w:noProof w:val="0"/>
                <w:vanish w:val="0"/>
                <w:color w:val="auto"/>
              </w:rPr>
            </w:pPr>
            <w:r w:rsidRPr="00A356A0">
              <w:t>2024</w:t>
            </w:r>
            <w:r w:rsidR="00817416" w:rsidRPr="00A356A0">
              <w:t>-202</w:t>
            </w:r>
            <w:r w:rsidRPr="00A356A0">
              <w:t>9</w:t>
            </w:r>
          </w:p>
        </w:tc>
        <w:tc>
          <w:tcPr>
            <w:tcW w:w="2268" w:type="dxa"/>
            <w:shd w:val="clear" w:color="auto" w:fill="auto"/>
          </w:tcPr>
          <w:p w14:paraId="735A41A6" w14:textId="77777777" w:rsidR="00751A4A" w:rsidRPr="00A356A0" w:rsidRDefault="00187494" w:rsidP="0010095E">
            <w:pPr>
              <w:pStyle w:val="EPLogo"/>
            </w:pPr>
            <w:r w:rsidRPr="00A356A0">
              <w:rPr>
                <w:noProof/>
                <w:lang w:eastAsia="ja-JP"/>
              </w:rPr>
              <w:drawing>
                <wp:inline distT="0" distB="0" distL="0" distR="0" wp14:anchorId="7B913780" wp14:editId="0D0B34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05D81E" w14:textId="77777777" w:rsidR="00D058B8" w:rsidRPr="00A356A0" w:rsidRDefault="00D058B8" w:rsidP="004C5D52">
      <w:pPr>
        <w:pStyle w:val="LineTop"/>
      </w:pPr>
    </w:p>
    <w:p w14:paraId="4640BEAE" w14:textId="77777777" w:rsidR="00680577" w:rsidRPr="00A356A0" w:rsidRDefault="004857BA" w:rsidP="00680577">
      <w:pPr>
        <w:pStyle w:val="EPBodyTA1"/>
      </w:pPr>
      <w:r w:rsidRPr="00A356A0">
        <w:t>TEXTE ADOPTATE</w:t>
      </w:r>
    </w:p>
    <w:p w14:paraId="3CDFF380" w14:textId="77777777" w:rsidR="00D058B8" w:rsidRPr="00A356A0" w:rsidRDefault="00D058B8" w:rsidP="00D058B8">
      <w:pPr>
        <w:pStyle w:val="LineBottom"/>
      </w:pPr>
    </w:p>
    <w:p w14:paraId="768D4A9E" w14:textId="3C7881E7" w:rsidR="004857BA" w:rsidRPr="00A356A0" w:rsidRDefault="004857BA" w:rsidP="004857BA">
      <w:pPr>
        <w:pStyle w:val="ATHeading1"/>
      </w:pPr>
      <w:bookmarkStart w:id="0" w:name="TANumber"/>
      <w:r w:rsidRPr="00A356A0">
        <w:t>P10_TA(2026)00</w:t>
      </w:r>
      <w:bookmarkEnd w:id="0"/>
      <w:r w:rsidR="00A356A0" w:rsidRPr="00A356A0">
        <w:t>15</w:t>
      </w:r>
    </w:p>
    <w:p w14:paraId="2574766D" w14:textId="77777777" w:rsidR="004857BA" w:rsidRPr="00A356A0" w:rsidRDefault="004857BA" w:rsidP="004857BA">
      <w:pPr>
        <w:pStyle w:val="ATHeading2"/>
      </w:pPr>
      <w:bookmarkStart w:id="1" w:name="title"/>
      <w:r w:rsidRPr="00A356A0">
        <w:t>Abordarea impunității prin aplicarea de către UE a sancțiunilor, inclusiv regimul mondial de sancțiuni al UE în materie de drepturi ale omului (așa-numita „Legea Magnițki a UE”)</w:t>
      </w:r>
      <w:bookmarkEnd w:id="1"/>
    </w:p>
    <w:p w14:paraId="7FF00424" w14:textId="77777777" w:rsidR="004857BA" w:rsidRPr="00A356A0" w:rsidRDefault="004857BA" w:rsidP="004857BA">
      <w:pPr>
        <w:rPr>
          <w:i/>
          <w:vanish/>
        </w:rPr>
      </w:pPr>
      <w:r w:rsidRPr="00A356A0">
        <w:rPr>
          <w:i/>
        </w:rPr>
        <w:fldChar w:fldCharType="begin"/>
      </w:r>
      <w:r w:rsidRPr="00A356A0">
        <w:rPr>
          <w:i/>
        </w:rPr>
        <w:instrText xml:space="preserve"> TC"(</w:instrText>
      </w:r>
      <w:bookmarkStart w:id="2" w:name="DocNumber"/>
      <w:r w:rsidRPr="00A356A0">
        <w:rPr>
          <w:i/>
        </w:rPr>
        <w:instrText>A10-0266/2025</w:instrText>
      </w:r>
      <w:bookmarkEnd w:id="2"/>
      <w:r w:rsidRPr="00A356A0">
        <w:rPr>
          <w:i/>
        </w:rPr>
        <w:instrText xml:space="preserve"> - Raportor: Antonio López-Istúriz White)"\l3 \n&gt; \* MERGEFORMAT </w:instrText>
      </w:r>
      <w:r w:rsidRPr="00A356A0">
        <w:rPr>
          <w:i/>
        </w:rPr>
        <w:fldChar w:fldCharType="end"/>
      </w:r>
    </w:p>
    <w:p w14:paraId="35DBE366" w14:textId="77777777" w:rsidR="004857BA" w:rsidRPr="00A356A0" w:rsidRDefault="004857BA" w:rsidP="004857BA">
      <w:pPr>
        <w:rPr>
          <w:vanish/>
        </w:rPr>
      </w:pPr>
      <w:bookmarkStart w:id="3" w:name="Commission"/>
      <w:r w:rsidRPr="00A356A0">
        <w:rPr>
          <w:vanish/>
        </w:rPr>
        <w:t>Comisia pentru afaceri externe</w:t>
      </w:r>
      <w:bookmarkEnd w:id="3"/>
    </w:p>
    <w:p w14:paraId="4FAF7F85" w14:textId="77777777" w:rsidR="004857BA" w:rsidRPr="00A356A0" w:rsidRDefault="004857BA" w:rsidP="004857BA">
      <w:pPr>
        <w:rPr>
          <w:vanish/>
        </w:rPr>
      </w:pPr>
      <w:bookmarkStart w:id="4" w:name="PE"/>
      <w:r w:rsidRPr="00A356A0">
        <w:rPr>
          <w:vanish/>
        </w:rPr>
        <w:t>PE775.385</w:t>
      </w:r>
      <w:bookmarkEnd w:id="4"/>
    </w:p>
    <w:p w14:paraId="1ABBE563" w14:textId="77777777" w:rsidR="004857BA" w:rsidRPr="00A356A0" w:rsidRDefault="004857BA" w:rsidP="004857BA">
      <w:pPr>
        <w:pStyle w:val="ATHeading3"/>
      </w:pPr>
      <w:bookmarkStart w:id="5" w:name="Sujet"/>
      <w:r w:rsidRPr="00A356A0">
        <w:t>Rezoluția Parlamentului European din 21 ianuarie 2026 referitoare la abordarea impunității prin aplicarea de către UE a sancțiunilor, inclusiv regimul mondial de sancțiuni al UE în materie de drepturi ale omului (așa-numita „Legea Magnițki a UE”)</w:t>
      </w:r>
      <w:bookmarkEnd w:id="5"/>
      <w:r w:rsidRPr="00A356A0">
        <w:t xml:space="preserve"> </w:t>
      </w:r>
      <w:bookmarkStart w:id="6" w:name="References"/>
      <w:r w:rsidRPr="00A356A0">
        <w:t>(2025/2049(INI))</w:t>
      </w:r>
      <w:bookmarkEnd w:id="6"/>
    </w:p>
    <w:p w14:paraId="2A650CB1" w14:textId="77777777" w:rsidR="003D0135" w:rsidRPr="00A356A0" w:rsidRDefault="003D0135" w:rsidP="003D0135">
      <w:pPr>
        <w:pStyle w:val="EPComma"/>
      </w:pPr>
      <w:r w:rsidRPr="00A356A0">
        <w:rPr>
          <w:i/>
        </w:rPr>
        <w:t>Parlamentul European</w:t>
      </w:r>
      <w:r w:rsidRPr="00A356A0">
        <w:t>,</w:t>
      </w:r>
    </w:p>
    <w:p w14:paraId="01A4B5B3" w14:textId="77777777" w:rsidR="003D0135" w:rsidRPr="00A356A0" w:rsidRDefault="003D0135" w:rsidP="003D0135">
      <w:pPr>
        <w:pStyle w:val="NormalHanging12a"/>
      </w:pPr>
      <w:r w:rsidRPr="00A356A0">
        <w:t>–</w:t>
      </w:r>
      <w:r w:rsidRPr="00A356A0">
        <w:tab/>
        <w:t xml:space="preserve">având în vedere Declarația universală a drepturilor omului din 10 decembrie 1948, </w:t>
      </w:r>
    </w:p>
    <w:p w14:paraId="26DB4DE0" w14:textId="77777777" w:rsidR="003D0135" w:rsidRPr="00A356A0" w:rsidRDefault="003D0135" w:rsidP="003D0135">
      <w:pPr>
        <w:pStyle w:val="NormalHanging12a"/>
      </w:pPr>
      <w:r w:rsidRPr="00A356A0">
        <w:t>–</w:t>
      </w:r>
      <w:r w:rsidRPr="00A356A0">
        <w:tab/>
        <w:t xml:space="preserve">având în vedere Convenția europeană pentru apărarea drepturilor omului și a libertăților fundamentale din 4 noiembrie 1950, </w:t>
      </w:r>
    </w:p>
    <w:p w14:paraId="4647468B" w14:textId="77777777" w:rsidR="003D0135" w:rsidRPr="00A356A0" w:rsidRDefault="003D0135" w:rsidP="003D0135">
      <w:pPr>
        <w:pStyle w:val="NormalHanging12a"/>
      </w:pPr>
      <w:r w:rsidRPr="00A356A0">
        <w:t>–</w:t>
      </w:r>
      <w:r w:rsidRPr="00A356A0">
        <w:tab/>
        <w:t xml:space="preserve">având în vedere Pactul internațional cu privire la drepturile civile și politice din 16 decembrie 1966, </w:t>
      </w:r>
    </w:p>
    <w:p w14:paraId="376A225E" w14:textId="77777777" w:rsidR="003D0135" w:rsidRPr="00A356A0" w:rsidRDefault="003D0135" w:rsidP="003D0135">
      <w:pPr>
        <w:pStyle w:val="NormalHanging12a"/>
      </w:pPr>
      <w:r w:rsidRPr="00A356A0">
        <w:t>–</w:t>
      </w:r>
      <w:r w:rsidRPr="00A356A0">
        <w:tab/>
        <w:t xml:space="preserve">având în vedere Convenția ONU împotriva torturii și a altor pedepse și tratamente crude, inumane sau degradante din 10 decembrie 1984, </w:t>
      </w:r>
    </w:p>
    <w:p w14:paraId="7DB54676" w14:textId="77777777" w:rsidR="003D0135" w:rsidRPr="00A356A0" w:rsidRDefault="003D0135" w:rsidP="003D0135">
      <w:pPr>
        <w:pStyle w:val="NormalHanging12a"/>
      </w:pPr>
      <w:r w:rsidRPr="00A356A0">
        <w:t>–</w:t>
      </w:r>
      <w:r w:rsidRPr="00A356A0">
        <w:tab/>
        <w:t>având în vedere Tratatul privind Uniunea Europeană (TUE), în special articolul 2, articolul 3 alineatul (5), articolele 21, 23, 29 și articolul 31 alineatul (2),</w:t>
      </w:r>
    </w:p>
    <w:p w14:paraId="2E5D26A9" w14:textId="761C60E4" w:rsidR="003D0135" w:rsidRPr="00A356A0" w:rsidRDefault="003D0135" w:rsidP="003D0135">
      <w:pPr>
        <w:pStyle w:val="NormalHanging12a"/>
      </w:pPr>
      <w:r w:rsidRPr="00A356A0">
        <w:t>–</w:t>
      </w:r>
      <w:r w:rsidRPr="00A356A0">
        <w:tab/>
        <w:t>având în vedere articolul 215 din Tratatul privind funcționarea Uniunii Europene, care se referă la adoptarea de măsuri restrictive împotriva unor persoane fizice sau juridice, grupuri sau entități fără caracter statal,</w:t>
      </w:r>
    </w:p>
    <w:p w14:paraId="46A0FCBB" w14:textId="77777777" w:rsidR="003D0135" w:rsidRPr="00A356A0" w:rsidRDefault="003D0135" w:rsidP="003D0135">
      <w:pPr>
        <w:pStyle w:val="NormalHanging12a"/>
      </w:pPr>
      <w:r w:rsidRPr="00A356A0">
        <w:t>–</w:t>
      </w:r>
      <w:r w:rsidRPr="00A356A0">
        <w:tab/>
        <w:t>având în vedere Carta drepturilor fundamentale a Uniunii Europene,</w:t>
      </w:r>
    </w:p>
    <w:p w14:paraId="290C7BE2" w14:textId="77777777" w:rsidR="003D0135" w:rsidRPr="00A356A0" w:rsidRDefault="003D0135" w:rsidP="003D0135">
      <w:pPr>
        <w:pStyle w:val="NormalHanging12a"/>
      </w:pPr>
      <w:r w:rsidRPr="00A356A0">
        <w:t>–</w:t>
      </w:r>
      <w:r w:rsidRPr="00A356A0">
        <w:tab/>
        <w:t>având în vedere Declarația 25 anexată la Tratatul de la Lisabona, care se referă la necesitatea de a proteja și de a respecta drepturile procedurale ale persoanelor sau entităților vizate de măsurile restrictive ale UE sau de măsurile UE de combatere a terorismului,</w:t>
      </w:r>
    </w:p>
    <w:p w14:paraId="5EF960CB" w14:textId="77777777" w:rsidR="003D0135" w:rsidRPr="00A356A0" w:rsidRDefault="003D0135" w:rsidP="003D0135">
      <w:pPr>
        <w:pStyle w:val="NormalHanging12a"/>
      </w:pPr>
      <w:r w:rsidRPr="00A356A0">
        <w:lastRenderedPageBreak/>
        <w:t>–</w:t>
      </w:r>
      <w:r w:rsidRPr="00A356A0">
        <w:tab/>
        <w:t>având în vedere rezoluțiile sale privind încălcarea drepturilor omului, a democrației și a statului de drept (cunoscute sub numele de rezoluții de urgență), adoptate în conformitate cu articolul 150 din Regulamentul său de procedură,</w:t>
      </w:r>
    </w:p>
    <w:p w14:paraId="200347D4" w14:textId="77777777" w:rsidR="003D0135" w:rsidRPr="00A356A0" w:rsidRDefault="003D0135" w:rsidP="003D0135">
      <w:pPr>
        <w:pStyle w:val="NormalHanging12a"/>
      </w:pPr>
      <w:r w:rsidRPr="00A356A0">
        <w:t>–</w:t>
      </w:r>
      <w:r w:rsidRPr="00A356A0">
        <w:tab/>
        <w:t>având în vedere Decizia (PESC) 2020/1999 a Consiliului</w:t>
      </w:r>
      <w:r w:rsidRPr="00A356A0">
        <w:rPr>
          <w:rStyle w:val="FootnoteReference"/>
        </w:rPr>
        <w:footnoteReference w:id="1"/>
      </w:r>
      <w:r w:rsidRPr="00A356A0">
        <w:t xml:space="preserve"> și Regulamentul (UE) 2020/1998 al Consiliului</w:t>
      </w:r>
      <w:r w:rsidRPr="00A356A0">
        <w:rPr>
          <w:rStyle w:val="FootnoteReference"/>
        </w:rPr>
        <w:footnoteReference w:id="2"/>
      </w:r>
      <w:r w:rsidRPr="00A356A0">
        <w:t xml:space="preserve"> din 7 decembrie 2020 privind măsuri restrictive împotriva încălcărilor grave ale drepturilor omului și a abuzurilor grave împotriva drepturilor omului,</w:t>
      </w:r>
    </w:p>
    <w:p w14:paraId="38E76210" w14:textId="77777777" w:rsidR="003D0135" w:rsidRPr="00A356A0" w:rsidRDefault="003D0135" w:rsidP="003D0135">
      <w:pPr>
        <w:pStyle w:val="NormalHanging12a"/>
      </w:pPr>
      <w:r w:rsidRPr="00A356A0">
        <w:t>–</w:t>
      </w:r>
      <w:r w:rsidRPr="00A356A0">
        <w:tab/>
        <w:t>având în vedere Regulamentul de punere în aplicare (UE) 2021/371 al Consiliului din 2 martie 2021</w:t>
      </w:r>
      <w:r w:rsidRPr="00A356A0">
        <w:rPr>
          <w:rStyle w:val="FootnoteReference"/>
        </w:rPr>
        <w:footnoteReference w:id="3"/>
      </w:r>
      <w:r w:rsidRPr="00A356A0">
        <w:t>, Regulamentul de punere în aplicare (UE) 2021/478 al Consiliului din 22 martie 2021</w:t>
      </w:r>
      <w:r w:rsidRPr="00A356A0">
        <w:rPr>
          <w:rStyle w:val="FootnoteReference"/>
        </w:rPr>
        <w:footnoteReference w:id="4"/>
      </w:r>
      <w:r w:rsidRPr="00A356A0">
        <w:t xml:space="preserve"> și Regulamentul de punere în aplicare (UE) 2025/1111 al Consiliului din 28 mai 2025</w:t>
      </w:r>
      <w:r w:rsidRPr="00A356A0">
        <w:rPr>
          <w:rStyle w:val="FootnoteReference"/>
        </w:rPr>
        <w:footnoteReference w:id="5"/>
      </w:r>
      <w:r w:rsidRPr="00A356A0">
        <w:t xml:space="preserve"> privind punerea în aplicare a Regulamentului (UE) 2020/1998 privind măsuri restrictive împotriva încălcărilor grave ale drepturilor omului și a abuzurilor grave împotriva drepturilor omului,</w:t>
      </w:r>
    </w:p>
    <w:p w14:paraId="1FA9D5AF" w14:textId="77777777" w:rsidR="003D0135" w:rsidRPr="00A356A0" w:rsidRDefault="003D0135" w:rsidP="003D0135">
      <w:pPr>
        <w:pStyle w:val="NormalHanging12a"/>
      </w:pPr>
      <w:r w:rsidRPr="00A356A0">
        <w:t>–</w:t>
      </w:r>
      <w:r w:rsidRPr="00A356A0">
        <w:tab/>
        <w:t>având în vedere deciziile Consiliului de modificare a Deciziei (PESC) 2020/1999 a Consiliului, inclusiv Deciziile (PESC) 2021/372 din 2 martie 2021</w:t>
      </w:r>
      <w:r w:rsidRPr="00A356A0">
        <w:rPr>
          <w:rStyle w:val="FootnoteReference"/>
        </w:rPr>
        <w:footnoteReference w:id="6"/>
      </w:r>
      <w:r w:rsidRPr="00A356A0">
        <w:t>, (PESC) 2021/481 din 22 martie 2021</w:t>
      </w:r>
      <w:r w:rsidRPr="00A356A0">
        <w:rPr>
          <w:rStyle w:val="FootnoteReference"/>
        </w:rPr>
        <w:footnoteReference w:id="7"/>
      </w:r>
      <w:r w:rsidRPr="00A356A0">
        <w:t>, (PESC) 2021/2197 din 13 decembrie 2021</w:t>
      </w:r>
      <w:r w:rsidRPr="00A356A0">
        <w:rPr>
          <w:rStyle w:val="FootnoteReference"/>
        </w:rPr>
        <w:footnoteReference w:id="8"/>
      </w:r>
      <w:r w:rsidRPr="00A356A0">
        <w:t>, (PESC) 2023/1504 din 20 iulie 2023</w:t>
      </w:r>
      <w:r w:rsidRPr="00A356A0">
        <w:rPr>
          <w:rStyle w:val="FootnoteReference"/>
        </w:rPr>
        <w:footnoteReference w:id="9"/>
      </w:r>
      <w:r w:rsidRPr="00A356A0">
        <w:t>, (PESC) 2023/1716 din 8 septembrie 2023</w:t>
      </w:r>
      <w:r w:rsidRPr="00A356A0">
        <w:rPr>
          <w:rStyle w:val="FootnoteReference"/>
        </w:rPr>
        <w:footnoteReference w:id="10"/>
      </w:r>
      <w:r w:rsidRPr="00A356A0">
        <w:t>, (PESC) 2024/1025 din 4 aprilie 2024</w:t>
      </w:r>
      <w:r w:rsidRPr="00A356A0">
        <w:rPr>
          <w:rStyle w:val="FootnoteReference"/>
        </w:rPr>
        <w:footnoteReference w:id="11"/>
      </w:r>
      <w:r w:rsidRPr="00A356A0">
        <w:t>, (PESC) 2024/1074 din 4 aprilie 2024</w:t>
      </w:r>
      <w:r w:rsidRPr="00A356A0">
        <w:rPr>
          <w:rStyle w:val="FootnoteReference"/>
        </w:rPr>
        <w:footnoteReference w:id="12"/>
      </w:r>
      <w:r w:rsidRPr="00A356A0">
        <w:t>, (PESC) 2024/1175 din 19 aprilie 2024</w:t>
      </w:r>
      <w:r w:rsidRPr="00A356A0">
        <w:rPr>
          <w:rStyle w:val="FootnoteReference"/>
        </w:rPr>
        <w:footnoteReference w:id="13"/>
      </w:r>
      <w:r w:rsidRPr="00A356A0">
        <w:t>, 2024/1967 din 15 iulie 2024</w:t>
      </w:r>
      <w:r w:rsidRPr="00A356A0">
        <w:rPr>
          <w:rStyle w:val="FootnoteReference"/>
        </w:rPr>
        <w:footnoteReference w:id="14"/>
      </w:r>
      <w:r w:rsidRPr="00A356A0">
        <w:t>, (PESC) 2024/3004 din 2 decembrie 2024</w:t>
      </w:r>
      <w:r w:rsidRPr="00A356A0">
        <w:rPr>
          <w:rStyle w:val="FootnoteReference"/>
        </w:rPr>
        <w:footnoteReference w:id="15"/>
      </w:r>
      <w:r w:rsidRPr="00A356A0">
        <w:t>, (PESC) 2025/346 din 18 februarie 2025</w:t>
      </w:r>
      <w:r w:rsidRPr="00A356A0">
        <w:rPr>
          <w:rStyle w:val="FootnoteReference"/>
        </w:rPr>
        <w:footnoteReference w:id="16"/>
      </w:r>
      <w:r w:rsidRPr="00A356A0">
        <w:t xml:space="preserve"> și (PESC) 2025/1110 din 27 mai 2025</w:t>
      </w:r>
      <w:r w:rsidRPr="00A356A0">
        <w:rPr>
          <w:rStyle w:val="FootnoteReference"/>
        </w:rPr>
        <w:footnoteReference w:id="17"/>
      </w:r>
      <w:r w:rsidRPr="00A356A0">
        <w:t xml:space="preserve"> ale Consiliului,</w:t>
      </w:r>
    </w:p>
    <w:p w14:paraId="51775431" w14:textId="77777777" w:rsidR="003D0135" w:rsidRPr="00A356A0" w:rsidRDefault="003D0135" w:rsidP="003D0135">
      <w:pPr>
        <w:pStyle w:val="NormalHanging12a"/>
      </w:pPr>
      <w:r w:rsidRPr="00A356A0">
        <w:t>–</w:t>
      </w:r>
      <w:r w:rsidRPr="00A356A0">
        <w:tab/>
        <w:t>având în vedere rezoluția sa din 8 iulie 2021 referitoare la regimul mondial de sancțiuni al UE în materie de drepturi ale omului (Legea Magnițki a UE)</w:t>
      </w:r>
      <w:r w:rsidRPr="00A356A0">
        <w:rPr>
          <w:rStyle w:val="FootnoteReference"/>
        </w:rPr>
        <w:footnoteReference w:id="18"/>
      </w:r>
      <w:r w:rsidRPr="00A356A0">
        <w:t xml:space="preserve"> și rezoluția sa din 2 aprilie 2025 referitoare la drepturile omului și democrația în lume și politica Uniunii Europene în acest domeniu – raport anual pe 2024</w:t>
      </w:r>
      <w:r w:rsidRPr="00A356A0">
        <w:rPr>
          <w:rStyle w:val="FootnoteReference"/>
        </w:rPr>
        <w:footnoteReference w:id="19"/>
      </w:r>
      <w:r w:rsidRPr="00A356A0">
        <w:t>,</w:t>
      </w:r>
    </w:p>
    <w:p w14:paraId="69E5CFCA" w14:textId="77777777" w:rsidR="003D0135" w:rsidRPr="00A356A0" w:rsidRDefault="003D0135" w:rsidP="003D0135">
      <w:pPr>
        <w:pStyle w:val="NormalHanging12a"/>
      </w:pPr>
      <w:r w:rsidRPr="00A356A0">
        <w:t>–</w:t>
      </w:r>
      <w:r w:rsidRPr="00A356A0">
        <w:tab/>
        <w:t xml:space="preserve">având în vedere concluziile Consiliului din 18 noiembrie 2020 privind Planul de acțiune al UE privind drepturile omului și democrația 2020-2024, care a fost reînnoit până în </w:t>
      </w:r>
      <w:r w:rsidRPr="00A356A0">
        <w:lastRenderedPageBreak/>
        <w:t>2027,</w:t>
      </w:r>
    </w:p>
    <w:p w14:paraId="3061591E" w14:textId="77777777" w:rsidR="003D0135" w:rsidRPr="00A356A0" w:rsidRDefault="003D0135" w:rsidP="003D0135">
      <w:pPr>
        <w:pStyle w:val="NormalHanging12a"/>
      </w:pPr>
      <w:r w:rsidRPr="00A356A0">
        <w:t>–</w:t>
      </w:r>
      <w:r w:rsidRPr="00A356A0">
        <w:tab/>
        <w:t>având în vedere Decizia (PESC) 2023/2721 a Consiliului din 4 decembrie 2023 de modificare a Deciziei (PESC) 2020/1999 privind măsuri restrictive împotriva încălcărilor grave ale drepturilor omului și a abuzurilor grave împotriva drepturilor omului</w:t>
      </w:r>
      <w:r w:rsidRPr="00A356A0">
        <w:rPr>
          <w:rStyle w:val="FootnoteReference"/>
        </w:rPr>
        <w:footnoteReference w:id="20"/>
      </w:r>
      <w:r w:rsidRPr="00A356A0">
        <w:t>, care a prelungit regimul mondial de sancțiuni al UE în materie de drepturi ale omului (EUGHRSR – Legea Magnițki a UE) cu trei ani, până la 8 decembrie 2026,</w:t>
      </w:r>
    </w:p>
    <w:p w14:paraId="21A49A7C" w14:textId="77777777" w:rsidR="003D0135" w:rsidRPr="00A356A0" w:rsidRDefault="003D0135" w:rsidP="003D0135">
      <w:pPr>
        <w:pStyle w:val="NormalHanging12a"/>
      </w:pPr>
      <w:r w:rsidRPr="00A356A0">
        <w:t>–</w:t>
      </w:r>
      <w:r w:rsidRPr="00A356A0">
        <w:tab/>
        <w:t>având în vedere articolul 55 din Regulamentul său de procedură,</w:t>
      </w:r>
    </w:p>
    <w:p w14:paraId="42C73E92" w14:textId="77777777" w:rsidR="003D0135" w:rsidRPr="00A356A0" w:rsidRDefault="003D0135" w:rsidP="003D0135">
      <w:pPr>
        <w:pStyle w:val="NormalHanging12a"/>
      </w:pPr>
      <w:r w:rsidRPr="00A356A0">
        <w:t>–</w:t>
      </w:r>
      <w:r w:rsidRPr="00A356A0">
        <w:tab/>
        <w:t>având în vedere raportul Comisiei pentru afaceri externe (A10-0266/2025),</w:t>
      </w:r>
    </w:p>
    <w:p w14:paraId="70B8315E" w14:textId="77777777" w:rsidR="003D0135" w:rsidRPr="00A356A0" w:rsidRDefault="003D0135" w:rsidP="003D0135">
      <w:pPr>
        <w:pStyle w:val="NormalHanging12a"/>
      </w:pPr>
      <w:r w:rsidRPr="00A356A0">
        <w:t>A.</w:t>
      </w:r>
      <w:r w:rsidRPr="00A356A0">
        <w:tab/>
        <w:t>întrucât articolul 21 din TUE stipulează că acțiunile Uniunii au la bază „democrația, statul de drept, universalitatea și indivizibilitatea drepturilor omului și a libertăților fundamentale, respectarea demnității umane, principiile egalității și solidarității, precum și respectarea principiilor Cartei Organizației Națiunilor Unite și a dreptului internațional”;</w:t>
      </w:r>
    </w:p>
    <w:p w14:paraId="654AC42E" w14:textId="77777777" w:rsidR="003D0135" w:rsidRPr="00A356A0" w:rsidRDefault="003D0135" w:rsidP="003D0135">
      <w:pPr>
        <w:pStyle w:val="NormalHanging12a"/>
      </w:pPr>
      <w:r w:rsidRPr="00A356A0">
        <w:t>B.</w:t>
      </w:r>
      <w:r w:rsidRPr="00A356A0">
        <w:tab/>
        <w:t>întrucât EUGHRSR – Legea Magnițki a UE, adoptată în decembrie 2020, permite UE să impună măsuri restrictive persoanelor și entităților responsabile de încălcări grave ale drepturilor omului la nivel mondial; întrucât anumite state membre ale UE au adoptat propriile legislații naționale de tip Magnițki, acestea fiind instrumente importante pentru a completa sancțiunile UE; întrucât Statele Unite, Canada, Regatul Unit, Australia și alte țări care împărtășesc aceeași viziune au adoptat regimuri de sancțiuni similare; întrucât cooperarea și coordonarea dintre țările care împărtășesc aceeași viziune în ceea ce privește sancțiunile le sporește eficacitatea;</w:t>
      </w:r>
    </w:p>
    <w:p w14:paraId="0054FB3F" w14:textId="7B215019" w:rsidR="003D0135" w:rsidRPr="00A356A0" w:rsidRDefault="003D0135" w:rsidP="003D0135">
      <w:pPr>
        <w:pStyle w:val="NormalHanging12a"/>
      </w:pPr>
      <w:r w:rsidRPr="00A356A0">
        <w:t xml:space="preserve">C. </w:t>
      </w:r>
      <w:r w:rsidRPr="00A356A0">
        <w:tab/>
        <w:t xml:space="preserve">întrucât Curtea Europeană a Drepturilor Omului, într-o hotărâre unanimă a șapte judecători în cauza Magnițki și alții/Rusia (cererile nr. 32631/09 și </w:t>
      </w:r>
      <w:r w:rsidR="00BE11C0">
        <w:t xml:space="preserve">nr. </w:t>
      </w:r>
      <w:r w:rsidRPr="00A356A0">
        <w:t>53799/12) din 27 august 2019, a statuat că Rusia este responsabilă de moartea lui Serghei Magnițki în închisoare și că acesta a fost supus unor acte intenționate de violență care constituie tratamente inumane și degradante; întrucât, în pofida anchetelor privind detenția, tortura, urmărirea penală ilegală postumă și moartea, nimeni nu a fost tras la răspundere penală;</w:t>
      </w:r>
    </w:p>
    <w:p w14:paraId="57374DE4" w14:textId="77777777" w:rsidR="003D0135" w:rsidRPr="00A356A0" w:rsidRDefault="003D0135" w:rsidP="003D0135">
      <w:pPr>
        <w:pStyle w:val="NormalHanging12a"/>
      </w:pPr>
      <w:r w:rsidRPr="00A356A0">
        <w:t>D.</w:t>
      </w:r>
      <w:r w:rsidRPr="00A356A0">
        <w:tab/>
        <w:t>întrucât, în rezoluția sa din 8 iulie 2021 referitoare la EUGHRSR – Legea Magnițki a UE, Parlamentul a salutat adoptarea regimului de sancțiuni ca o completare esențială a setului de instrumente al UE privind drepturile omului și politica externă;</w:t>
      </w:r>
    </w:p>
    <w:p w14:paraId="7FB411E5" w14:textId="77777777" w:rsidR="003D0135" w:rsidRPr="00A356A0" w:rsidRDefault="003D0135" w:rsidP="003D0135">
      <w:pPr>
        <w:pStyle w:val="NormalHanging12a"/>
      </w:pPr>
      <w:r w:rsidRPr="00A356A0">
        <w:t>E.</w:t>
      </w:r>
      <w:r w:rsidRPr="00A356A0">
        <w:tab/>
        <w:t>întrucât EUGHRSR – Legea Magnițki a UE se aplică unei game largi de încălcări ale drepturilor omului, iar persoanele și entitățile incluse pe listă pot cuprinde autori, facilitatori și părți terțe care furnizează materiale sau asistență tehnică pentru represiune;</w:t>
      </w:r>
    </w:p>
    <w:p w14:paraId="3A1F8643" w14:textId="77777777" w:rsidR="003D0135" w:rsidRPr="00A356A0" w:rsidRDefault="003D0135" w:rsidP="003D0135">
      <w:pPr>
        <w:pStyle w:val="NormalHanging12a"/>
      </w:pPr>
      <w:r w:rsidRPr="00A356A0">
        <w:t xml:space="preserve">F. </w:t>
      </w:r>
      <w:r w:rsidRPr="00A356A0">
        <w:tab/>
        <w:t xml:space="preserve">întrucât EUGHRSR vizează autorii și entitățile individuale, în locul sectoarelor economice largi, ceea ce reduce daunele colaterale pentru populația generală și evită prejudicierea accesului la alimente, medicamente sau servicii publice; </w:t>
      </w:r>
    </w:p>
    <w:p w14:paraId="666E8CC8" w14:textId="77777777" w:rsidR="003D0135" w:rsidRPr="00A356A0" w:rsidRDefault="003D0135" w:rsidP="003D0135">
      <w:pPr>
        <w:pStyle w:val="NormalHanging12a"/>
      </w:pPr>
      <w:r w:rsidRPr="00A356A0">
        <w:t>G.</w:t>
      </w:r>
      <w:r w:rsidRPr="00A356A0">
        <w:tab/>
        <w:t xml:space="preserve">întrucât EUGHRSR acoperă, de asemenea, încălcările sau abuzurile pe scară largă și preocupările sistematice sau grave în ceea ce privește obiectivele politicii externe și de securitate comune prevăzute la articolul 21 din TUE, cum ar fi tortura și alte tratamente </w:t>
      </w:r>
      <w:r w:rsidRPr="00A356A0">
        <w:lastRenderedPageBreak/>
        <w:t xml:space="preserve">sau pedepse crude, inumane sau degradante, sclavia, execuțiile și asasinatele extrajudiciare, sumare sau arbitrare, dispariția forțată a persoanelor, arestările sau detențiile arbitrare, traficul de persoane, violența sexuală și bazată pe gen, încălcările sau abuzurile la adresa libertății de întrunire pașnică și de asociere, încălcările sau abuzurile la adresa libertății de opinie și de exprimare, precum și încălcările sau abuzurile la adresa libertății de religie sau de convingere; </w:t>
      </w:r>
    </w:p>
    <w:p w14:paraId="3A1BC9B2" w14:textId="77777777" w:rsidR="003D0135" w:rsidRPr="00A356A0" w:rsidRDefault="003D0135" w:rsidP="003D0135">
      <w:pPr>
        <w:pStyle w:val="NormalHanging12a"/>
      </w:pPr>
      <w:r w:rsidRPr="00A356A0">
        <w:t>H.</w:t>
      </w:r>
      <w:r w:rsidRPr="00A356A0">
        <w:tab/>
        <w:t>întrucât includerile pe lista EUGHRSR reprezintă o formă de recunoaștere internațională a victimelor încălcărilor drepturilor omului;</w:t>
      </w:r>
    </w:p>
    <w:p w14:paraId="571580DD" w14:textId="77777777" w:rsidR="003D0135" w:rsidRPr="00A356A0" w:rsidRDefault="003D0135" w:rsidP="003D0135">
      <w:pPr>
        <w:pStyle w:val="NormalHanging12a"/>
      </w:pPr>
      <w:r w:rsidRPr="00A356A0">
        <w:t>I.</w:t>
      </w:r>
      <w:r w:rsidRPr="00A356A0">
        <w:tab/>
        <w:t xml:space="preserve">întrucât represiunea transnațională nu a fost încă inclusă pe lista încălcărilor grave ale drepturilor omului care declanșează sancțiuni în temeiul EUGHRSR – Legea Magnițki a UE; </w:t>
      </w:r>
    </w:p>
    <w:p w14:paraId="6EFD77E6" w14:textId="77777777" w:rsidR="003D0135" w:rsidRPr="00A356A0" w:rsidRDefault="003D0135" w:rsidP="003D0135">
      <w:pPr>
        <w:pStyle w:val="NormalHanging12a"/>
      </w:pPr>
      <w:r w:rsidRPr="00A356A0">
        <w:t>J.</w:t>
      </w:r>
      <w:r w:rsidRPr="00A356A0">
        <w:tab/>
        <w:t>întrucât numeroase rezoluții ale Parlamentului au solicitat utilizarea într-un mod mai flexibil și mai frecventă a instrumentelor de sancționare în cazul celor mai grave crime internaționale sau al încălcărilor grave ale drepturilor omului;</w:t>
      </w:r>
    </w:p>
    <w:p w14:paraId="0CED95B0" w14:textId="77777777" w:rsidR="003D0135" w:rsidRPr="00A356A0" w:rsidRDefault="003D0135" w:rsidP="003D0135">
      <w:pPr>
        <w:pStyle w:val="NormalHanging12a"/>
      </w:pPr>
      <w:r w:rsidRPr="00A356A0">
        <w:t>K.</w:t>
      </w:r>
      <w:r w:rsidRPr="00A356A0">
        <w:tab/>
        <w:t>întrucât, la 4 noiembrie 2025, au fost făcute 168 de includeri pe listă în temeiul EUGHRSR – Legea Magnițki a UE (131 de persoane și 37 de entități); întrucât lista denumirilor din cadrul acestui regim a crescut, iar impactul și eficacitatea acesteia nu sunt cunoscute în mare măsură;</w:t>
      </w:r>
    </w:p>
    <w:p w14:paraId="11944068" w14:textId="77777777" w:rsidR="003D0135" w:rsidRPr="00A356A0" w:rsidRDefault="003D0135" w:rsidP="003D0135">
      <w:pPr>
        <w:pStyle w:val="NormalHanging12a"/>
      </w:pPr>
      <w:r w:rsidRPr="00A356A0">
        <w:t>L.</w:t>
      </w:r>
      <w:r w:rsidRPr="00A356A0">
        <w:tab/>
        <w:t>întrucât, în pofida progreselor înregistrate, există în continuare lacune substanțiale în ceea ce privește acoperirea geografică și tematică a includerilor pe listă transnaționale și stabilirea unor criterii de referință aliniate la obiectivele sancțiunilor; întrucât, în pofida mai multor apeluri ale Parlamentului, corupția continuă să nu fie considerată o infracțiune în cadrul EUGHRSR – Legea Magnițki a UE;</w:t>
      </w:r>
    </w:p>
    <w:p w14:paraId="7F77837C" w14:textId="77777777" w:rsidR="003D0135" w:rsidRPr="00A356A0" w:rsidRDefault="003D0135" w:rsidP="003D0135">
      <w:pPr>
        <w:pStyle w:val="NormalHanging12a"/>
      </w:pPr>
      <w:r w:rsidRPr="00A356A0">
        <w:t>M.</w:t>
      </w:r>
      <w:r w:rsidRPr="00A356A0">
        <w:tab/>
        <w:t>întrucât includerile pe listă s-au axat în principal pe încălcări ale integrității fizice și ale drepturilor civile și politice, în special pe cele care vizează opozanții și activiștii politici, preponderent bărbați, din regimurile autoritare, mai degrabă decât pe cele mai grave crime internaționale, cum ar fi genocidul și crimele împotriva umanității și pe încălcările sistemice ale drepturilor socioeconomice;</w:t>
      </w:r>
    </w:p>
    <w:p w14:paraId="26FC249C" w14:textId="77777777" w:rsidR="003D0135" w:rsidRPr="00A356A0" w:rsidRDefault="003D0135" w:rsidP="003D0135">
      <w:pPr>
        <w:pStyle w:val="NormalHanging12a"/>
      </w:pPr>
      <w:r w:rsidRPr="00A356A0">
        <w:t>N.</w:t>
      </w:r>
      <w:r w:rsidRPr="00A356A0">
        <w:tab/>
        <w:t>întrucât includerile pe listă, în concordanță cu relațiile strategice și interesele geopolitice ale UE, au fost în mare parte concentrate geografic, alte zone și contexte rămânând insuficient abordate;</w:t>
      </w:r>
    </w:p>
    <w:p w14:paraId="32153230" w14:textId="77777777" w:rsidR="003D0135" w:rsidRPr="00A356A0" w:rsidRDefault="003D0135" w:rsidP="003D0135">
      <w:pPr>
        <w:pStyle w:val="NormalHanging12a"/>
      </w:pPr>
      <w:r w:rsidRPr="00A356A0">
        <w:t>O.</w:t>
      </w:r>
      <w:r w:rsidRPr="00A356A0">
        <w:tab/>
        <w:t>întrucât confidențialitatea cu privire la eventuala includere pe listă sau eliminare de pe listă este esențială pentru a asigura eficacitatea EUGHRSR – Legea Magnițki a UE; întrucât Parlamentul ar trebui să aibă un rol în acest proces;</w:t>
      </w:r>
    </w:p>
    <w:p w14:paraId="72333A25" w14:textId="77777777" w:rsidR="003D0135" w:rsidRPr="00A356A0" w:rsidRDefault="003D0135" w:rsidP="003D0135">
      <w:pPr>
        <w:pStyle w:val="NormalHanging12a"/>
      </w:pPr>
      <w:r w:rsidRPr="00A356A0">
        <w:t xml:space="preserve">P. </w:t>
      </w:r>
      <w:r w:rsidRPr="00A356A0">
        <w:tab/>
        <w:t>întrucât controlul parlamentar al EUGHRSR – Legea Magnițki a UE este necesar pentru a-i consolida legitimitatea; întrucât rezoluțiile Parlamentului care conțin recomandări pentru includeri suplimentare pe listă continuă să fie insuficient luate în considerare de către Consiliu;</w:t>
      </w:r>
    </w:p>
    <w:p w14:paraId="324A8E0F" w14:textId="77777777" w:rsidR="003D0135" w:rsidRPr="00A356A0" w:rsidRDefault="003D0135" w:rsidP="003D0135">
      <w:pPr>
        <w:pStyle w:val="NormalHanging12a"/>
      </w:pPr>
      <w:r w:rsidRPr="00A356A0">
        <w:t>Q.</w:t>
      </w:r>
      <w:r w:rsidRPr="00A356A0">
        <w:tab/>
        <w:t>întrucât EUGHRSR – Legea Magnițki a UE prevede în prezent doar înghețarea activelor și interdicții de acordare a vizelor;</w:t>
      </w:r>
    </w:p>
    <w:p w14:paraId="7138AF96" w14:textId="77777777" w:rsidR="003D0135" w:rsidRPr="00A356A0" w:rsidRDefault="003D0135" w:rsidP="003D0135">
      <w:pPr>
        <w:pStyle w:val="NormalHanging12a"/>
      </w:pPr>
      <w:r w:rsidRPr="00A356A0">
        <w:t xml:space="preserve">R. </w:t>
      </w:r>
      <w:r w:rsidRPr="00A356A0">
        <w:tab/>
        <w:t xml:space="preserve">întrucât regimul actual de înghețare a activelor și de interdicții de acordare a vizelor ar </w:t>
      </w:r>
      <w:r w:rsidRPr="00A356A0">
        <w:lastRenderedPageBreak/>
        <w:t>putea fi completat de măsuri suplimentare, cum ar fi restricții privind serviciile financiare, achizițiile publice și participarea la proiecte finanțate de UE, iar domeniul său de aplicare ar trebui extins pentru a include membrii apropiați ai familiilor persoanelor care încalcă drepturile omului;</w:t>
      </w:r>
    </w:p>
    <w:p w14:paraId="26B4FB0A" w14:textId="77777777" w:rsidR="003D0135" w:rsidRPr="00A356A0" w:rsidRDefault="003D0135" w:rsidP="003D0135">
      <w:pPr>
        <w:pStyle w:val="NormalHanging12a"/>
      </w:pPr>
      <w:r w:rsidRPr="00A356A0">
        <w:t>S.</w:t>
      </w:r>
      <w:r w:rsidRPr="00A356A0">
        <w:tab/>
        <w:t>întrucât orientările Comisiei rămân insuficiente pentru a clarifica domeniul de aplicare al interdicțiilor privind furnizarea oricărui tip de sprijin, inclusiv sprijinul tehnic și material, persoanelor și entităților sancționate;</w:t>
      </w:r>
    </w:p>
    <w:p w14:paraId="080F77B1" w14:textId="77777777" w:rsidR="003D0135" w:rsidRPr="00A356A0" w:rsidRDefault="003D0135" w:rsidP="003D0135">
      <w:pPr>
        <w:pStyle w:val="NormalHanging12a"/>
      </w:pPr>
      <w:r w:rsidRPr="00A356A0">
        <w:t>T.</w:t>
      </w:r>
      <w:r w:rsidRPr="00A356A0">
        <w:tab/>
        <w:t>întrucât unele lacune de punere în aplicare, cum ar fi clauzele de derogare care permit încheierea de contracte înainte ca o persoană sau o entitate să fie inclusă pe listă, creează oportunități de eludare a sancțiunilor și de diminuare a eficacității acestora;</w:t>
      </w:r>
    </w:p>
    <w:p w14:paraId="546F7899" w14:textId="77777777" w:rsidR="003D0135" w:rsidRPr="00A356A0" w:rsidRDefault="003D0135" w:rsidP="003D0135">
      <w:pPr>
        <w:pStyle w:val="NormalHanging12a"/>
      </w:pPr>
      <w:r w:rsidRPr="00A356A0">
        <w:t>U.</w:t>
      </w:r>
      <w:r w:rsidRPr="00A356A0">
        <w:tab/>
        <w:t>întrucât regimurile de sancțiuni geografice existente ale UE includ restricții mai ample care ar putea completa EUGHRSR – Legea Magnițki a UE prin includerea pe liste încrucișate;</w:t>
      </w:r>
    </w:p>
    <w:p w14:paraId="5372615E" w14:textId="77777777" w:rsidR="003D0135" w:rsidRPr="00A356A0" w:rsidRDefault="003D0135" w:rsidP="003D0135">
      <w:pPr>
        <w:pStyle w:val="NormalHanging12a"/>
      </w:pPr>
      <w:r w:rsidRPr="00A356A0">
        <w:t>V.</w:t>
      </w:r>
      <w:r w:rsidRPr="00A356A0">
        <w:tab/>
        <w:t>întrucât EUGHRSR – Legea Magnițki a UE s-a concentrat în mare măsură asupra funcționarilor de nivel inferior și a funcționarilor, în timp ce cei care dețin o putere politică și militară reală au rămas adesea în afara domeniului de aplicare al desemnărilor sale;</w:t>
      </w:r>
    </w:p>
    <w:p w14:paraId="660E408B" w14:textId="77777777" w:rsidR="003D0135" w:rsidRPr="00A356A0" w:rsidRDefault="003D0135" w:rsidP="003D0135">
      <w:pPr>
        <w:pStyle w:val="NormalHanging12a"/>
      </w:pPr>
      <w:r w:rsidRPr="00A356A0">
        <w:t>W.</w:t>
      </w:r>
      <w:r w:rsidRPr="00A356A0">
        <w:tab/>
        <w:t>întrucât includerile pe listă în temeiul EUGHRSR – Legea Magnițki a UE nu au vizat până în prezent niciun actor responsabil de comiterea unora dintre cele mai grave crime internaționale recunoscute în Statutul de la Roma;</w:t>
      </w:r>
    </w:p>
    <w:p w14:paraId="4BCEF5D4" w14:textId="77777777" w:rsidR="003D0135" w:rsidRPr="00A356A0" w:rsidRDefault="003D0135" w:rsidP="003D0135">
      <w:pPr>
        <w:pStyle w:val="NormalHanging12a"/>
      </w:pPr>
      <w:r w:rsidRPr="00A356A0">
        <w:t>X.</w:t>
      </w:r>
      <w:r w:rsidRPr="00A356A0">
        <w:tab/>
        <w:t>întrucât actorii societății civile continuă să colaboreze informal cu instituțiile UE pentru a propune nume pentru includere pe listă, în absența unui mecanism structurat pentru contribuția lor; întrucât Serviciul European de Acțiune Externă (SEAE) nu dispune de resursele necesare pentru a evalua, a investiga și a răspunde la informațiile pe care le primește;</w:t>
      </w:r>
    </w:p>
    <w:p w14:paraId="5DB99DFB" w14:textId="77777777" w:rsidR="003D0135" w:rsidRPr="00A356A0" w:rsidRDefault="003D0135" w:rsidP="003D0135">
      <w:pPr>
        <w:pStyle w:val="NormalHanging12a"/>
      </w:pPr>
      <w:r w:rsidRPr="00A356A0">
        <w:t>Y.</w:t>
      </w:r>
      <w:r w:rsidRPr="00A356A0">
        <w:tab/>
        <w:t>întrucât îmbunătățirea transparenței, coordonarea cu mecanismele de responsabilizare, coordonarea cu actorii internaționali și cu țările care împărtășesc aceeași viziune și adoptarea listelor la nivelul Organizației Națiunilor Unite ar consolida eficacitatea regimului de sancțiuni;</w:t>
      </w:r>
    </w:p>
    <w:p w14:paraId="34EE8977" w14:textId="77777777" w:rsidR="003D0135" w:rsidRPr="00A356A0" w:rsidRDefault="003D0135" w:rsidP="003D0135">
      <w:pPr>
        <w:pStyle w:val="NormalHanging12a"/>
      </w:pPr>
      <w:r w:rsidRPr="00A356A0">
        <w:t>Z.</w:t>
      </w:r>
      <w:r w:rsidRPr="00A356A0">
        <w:tab/>
        <w:t>întrucât unele state membre nu au respectat sancțiunile UE, permițând persoanelor sancționate să intre pe teritoriul UE; întrucât o astfel de nerespectare a sancțiunilor afectează considerabil credibilitatea UE și subminează eficacitatea regimurilor de sancțiuni ale UE;</w:t>
      </w:r>
    </w:p>
    <w:p w14:paraId="3E1C678F" w14:textId="77777777" w:rsidR="003D0135" w:rsidRPr="00A356A0" w:rsidRDefault="003D0135" w:rsidP="003D0135">
      <w:pPr>
        <w:pStyle w:val="NormalHanging12a"/>
      </w:pPr>
      <w:r w:rsidRPr="00A356A0">
        <w:t xml:space="preserve">AA. </w:t>
      </w:r>
      <w:r w:rsidRPr="00A356A0">
        <w:tab/>
        <w:t>întrucât punerea în aplicare se realizează în mare parte la nivel național și fiecare stat membru este responsabil de aplicarea sancțiunilor pe teritoriul său; întrucât acest lucru creează riscul unor verigi slabe în care persoanele fizice sau întreprinderile pot încerca să eludeze sancțiunile transferând bani sau activități către state membre care sunt mai lente sau mai puțin stricte în ceea ce privește punerea în aplicare; întrucât instituțiile UE au subliniat în repetate rânduri necesitatea unei aplicări mai uniforme și mai coordonate pentru ca sancțiunile să devină cu adevărat eficace;</w:t>
      </w:r>
    </w:p>
    <w:p w14:paraId="62BD9DCE" w14:textId="77777777" w:rsidR="003D0135" w:rsidRPr="00A356A0" w:rsidRDefault="003D0135" w:rsidP="003D0135">
      <w:pPr>
        <w:pStyle w:val="NormalHanging12a"/>
      </w:pPr>
      <w:r w:rsidRPr="00A356A0">
        <w:t>AB.</w:t>
      </w:r>
      <w:r w:rsidRPr="00A356A0">
        <w:tab/>
        <w:t xml:space="preserve">întrucât Parlamentul a solicitat, în numeroase rezoluții, introducerea votului cu majoritate calificată pentru adoptarea de sancțiuni în temeiul EUGHRSR – Legea </w:t>
      </w:r>
      <w:r w:rsidRPr="00A356A0">
        <w:lastRenderedPageBreak/>
        <w:t>Magnițki a UE;</w:t>
      </w:r>
    </w:p>
    <w:p w14:paraId="1F5BE545" w14:textId="77777777" w:rsidR="003D0135" w:rsidRPr="00A356A0" w:rsidRDefault="003D0135" w:rsidP="003D0135">
      <w:pPr>
        <w:pStyle w:val="NormalHanging12a"/>
      </w:pPr>
      <w:r w:rsidRPr="00A356A0">
        <w:t>AC.</w:t>
      </w:r>
      <w:r w:rsidRPr="00A356A0">
        <w:tab/>
        <w:t>întrucât prelungirea EUGHRSR – Legea Magnițki a UE până în decembrie 2026 oferă ocazia de a revizui regimul,</w:t>
      </w:r>
    </w:p>
    <w:p w14:paraId="23773E17" w14:textId="77777777" w:rsidR="003D0135" w:rsidRPr="00A356A0" w:rsidRDefault="003D0135" w:rsidP="003D0135">
      <w:pPr>
        <w:pStyle w:val="NormalHanging12a"/>
      </w:pPr>
      <w:r w:rsidRPr="00A356A0">
        <w:t>1.</w:t>
      </w:r>
      <w:r w:rsidRPr="00A356A0">
        <w:tab/>
        <w:t>își reiterează sprijinul pentru EUGHRSR – Legea Magnițki a UE, ca instrument indispensabil de politică externă pentru consolidarea drepturilor omului la nivel mondial și a setului de instrumente al UE privind drepturile omului, în special având în vedere capacitatea sa de a contribui la schimbarea comportamentului persoanelor și entităților vizate și la eforturile de a trage la răspundere autorii direcți, facilitatorii și susținătorii indirecți ai încălcărilor grave ale drepturilor omului, precum și pe cei care beneficiază în mod direct sau indirect de astfel de încălcări, inclusiv membrii apropiați ai familiilor acestora;</w:t>
      </w:r>
      <w:r w:rsidRPr="00A356A0">
        <w:rPr>
          <w:color w:val="538135" w:themeColor="accent6" w:themeShade="BF"/>
        </w:rPr>
        <w:t xml:space="preserve"> </w:t>
      </w:r>
      <w:r w:rsidRPr="00A356A0">
        <w:t>subliniază că instrumentul este conceput astfel încât să nu afecteze exercitarea drepturilor omului de către populație;</w:t>
      </w:r>
    </w:p>
    <w:p w14:paraId="3095D0C6" w14:textId="77777777" w:rsidR="003D0135" w:rsidRPr="00A356A0" w:rsidRDefault="003D0135" w:rsidP="003D0135">
      <w:pPr>
        <w:pStyle w:val="NormalHanging12a"/>
      </w:pPr>
      <w:r w:rsidRPr="00A356A0">
        <w:t>2.</w:t>
      </w:r>
      <w:r w:rsidRPr="00A356A0">
        <w:tab/>
        <w:t>își reafirmă angajamentul ferm de a combate impunitatea pentru încălcări grave ale drepturilor omului și abuzuri grave împotriva drepturilor omului la nivel mondial prin utilizarea eficace a instrumentelor și mijloacelor de sancționare existente ale UE, inclusiv a EUGHRSR – Legea Magnițki a UE; își reafirmă angajamentul ferm față de sistemul judiciar internațional, care se confruntă cu provocări fără precedent, inclusiv sancțiuni nefondate împotriva judecătorilor și a personalului Curții Penale Internaționale, dintre care unii sunt cetățeni ai UE; îndeamnă UE, în acest sens, să își activeze Legea de blocare</w:t>
      </w:r>
      <w:r w:rsidRPr="00A356A0">
        <w:rPr>
          <w:rStyle w:val="FootnoteReference"/>
        </w:rPr>
        <w:footnoteReference w:id="21"/>
      </w:r>
      <w:r w:rsidRPr="00A356A0">
        <w:t xml:space="preserve"> pentru a limita impactul acestor sancțiuni;</w:t>
      </w:r>
    </w:p>
    <w:p w14:paraId="7E76FC4A" w14:textId="77777777" w:rsidR="003D0135" w:rsidRPr="00A356A0" w:rsidRDefault="003D0135" w:rsidP="003D0135">
      <w:pPr>
        <w:pStyle w:val="NormalHanging12a"/>
        <w:rPr>
          <w:b/>
          <w:bCs/>
          <w:i/>
          <w:iCs/>
          <w:szCs w:val="24"/>
        </w:rPr>
      </w:pPr>
      <w:r w:rsidRPr="00A356A0">
        <w:rPr>
          <w:b/>
          <w:i/>
        </w:rPr>
        <w:t>Coerența politicilor și eficacitatea strategică</w:t>
      </w:r>
    </w:p>
    <w:p w14:paraId="35B9A436" w14:textId="77777777" w:rsidR="003D0135" w:rsidRPr="00A356A0" w:rsidRDefault="003D0135" w:rsidP="003D0135">
      <w:pPr>
        <w:pStyle w:val="NormalHanging12a"/>
      </w:pPr>
      <w:r w:rsidRPr="00A356A0">
        <w:t>3.</w:t>
      </w:r>
      <w:r w:rsidRPr="00A356A0">
        <w:tab/>
        <w:t>solicită o evaluare cuprinzătoare a impactului EUGHRSR – Legea Magnițki a UE și a interacțiunilor acesteia cu sancțiunile UE specifice fiecărei țări și cu celelalte măsuri restrictive orizontale ale UE, pentru a evalua coerența, proporționalitatea și eficacitatea acesteia, inclusiv în ceea ce privește schimbarea comportamentului celor incluși pe listă, pentru a identifica lacunele operaționale și pentru a asigura aplicarea consecventă și strategică la nivel mondial, și solicită ca EUGHRSR – Legea Magnițki a UE să fie revizuită în conformitate cu constatările acestei evaluări a impactului;</w:t>
      </w:r>
    </w:p>
    <w:p w14:paraId="2DDD72E0" w14:textId="77777777" w:rsidR="003D0135" w:rsidRPr="00A356A0" w:rsidRDefault="003D0135" w:rsidP="003D0135">
      <w:pPr>
        <w:pStyle w:val="NormalHanging12a"/>
      </w:pPr>
      <w:r w:rsidRPr="00A356A0">
        <w:t>4.</w:t>
      </w:r>
      <w:r w:rsidRPr="00A356A0">
        <w:tab/>
        <w:t>solicită efectuarea unei revizuiri continue și sistematice a listărilor întocmite în temeiul EUGHRSR – Legea Magnițki a UE, cel puțin o dată la fiecare 12 luni, pentru a garanta coerența, proporționalitatea și conformitatea acestora cu informațiile de actualitate și cu hotărârile judiciare;</w:t>
      </w:r>
    </w:p>
    <w:p w14:paraId="238CCB40" w14:textId="77777777" w:rsidR="003D0135" w:rsidRPr="00A356A0" w:rsidRDefault="003D0135" w:rsidP="003D0135">
      <w:pPr>
        <w:pStyle w:val="NormalHanging12a"/>
      </w:pPr>
      <w:r w:rsidRPr="00A356A0">
        <w:t>5.</w:t>
      </w:r>
      <w:r w:rsidRPr="00A356A0">
        <w:tab/>
        <w:t>consideră că ar trebui puse la dispoziție mai multe informații privind criteriile de eliminare de pe listă pentru a spori claritatea juridică, respectarea garanțiilor procedurale, transparența și responsabilitatea;</w:t>
      </w:r>
    </w:p>
    <w:p w14:paraId="6B5E21DA" w14:textId="77777777" w:rsidR="003D0135" w:rsidRPr="00A356A0" w:rsidRDefault="003D0135" w:rsidP="003D0135">
      <w:pPr>
        <w:pStyle w:val="NormalHanging12a"/>
      </w:pPr>
      <w:r w:rsidRPr="00A356A0">
        <w:t>6.</w:t>
      </w:r>
      <w:r w:rsidRPr="00A356A0">
        <w:tab/>
        <w:t xml:space="preserve">reiterează că este important ca EUGHRSR – Legea Magnițki a UE să fie în concordanță cu, și să completeze măsurile specifice fiecărei țări și măsurile restrictive orizontale, măsurile sectoriale și embargourile asupra armelor ale UE, precum și cadrele </w:t>
      </w:r>
      <w:r w:rsidRPr="00A356A0">
        <w:lastRenderedPageBreak/>
        <w:t>internaționale de sancțiuni existente;</w:t>
      </w:r>
    </w:p>
    <w:p w14:paraId="15458C9A" w14:textId="77777777" w:rsidR="003D0135" w:rsidRPr="00A356A0" w:rsidRDefault="003D0135" w:rsidP="003D0135">
      <w:pPr>
        <w:pStyle w:val="NormalHanging12a"/>
      </w:pPr>
      <w:r w:rsidRPr="00A356A0">
        <w:t>7.</w:t>
      </w:r>
      <w:r w:rsidRPr="00A356A0">
        <w:tab/>
        <w:t xml:space="preserve">încurajează Consiliul să încerce să alinieze listările EUGHRSR – Legea Magnițki a UE la listele de sancțiuni ale partenerilor care împărtășesc aceeași viziune, în special cei din G7, și ale Consiliului de Securitate al ONU, atunci când acest lucru este fezabil din punct de vedere politic și juridic, pentru a spori legitimitatea și eficacitatea la nivel mondial; </w:t>
      </w:r>
    </w:p>
    <w:p w14:paraId="282FB2B5" w14:textId="77777777" w:rsidR="003D0135" w:rsidRPr="00A356A0" w:rsidRDefault="003D0135" w:rsidP="003D0135">
      <w:pPr>
        <w:pStyle w:val="NormalHanging12a"/>
      </w:pPr>
      <w:r w:rsidRPr="00A356A0">
        <w:t>8.</w:t>
      </w:r>
      <w:r w:rsidRPr="00A356A0">
        <w:tab/>
        <w:t>invită Comisia și statele membre să consolideze sinergiile dintre EUGHRSR – Legea Magnițki a UE și mecanismele internaționale de tragere la răspundere, cum ar fi ONU, Curtea Penală Internațională și instanțele regionale pentru drepturile omului, pentru a mări eficacitatea acțiunilor UE împotriva încălcărilor grave ale drepturilor omului;</w:t>
      </w:r>
    </w:p>
    <w:p w14:paraId="48E79D86" w14:textId="77777777" w:rsidR="003D0135" w:rsidRPr="00A356A0" w:rsidRDefault="003D0135" w:rsidP="003D0135">
      <w:pPr>
        <w:pStyle w:val="NormalHanging12a"/>
      </w:pPr>
      <w:r w:rsidRPr="00A356A0">
        <w:t>9.</w:t>
      </w:r>
      <w:r w:rsidRPr="00A356A0">
        <w:tab/>
        <w:t>subliniază că este important ca țările candidate și potențial candidate la UE să se alinieze la EUGHRSR – Legea Magnițki a UE, în conformitate cu alinierea lor mai largă la politica externă și de securitate comună a UE;</w:t>
      </w:r>
    </w:p>
    <w:p w14:paraId="7892FA5D" w14:textId="77777777" w:rsidR="003D0135" w:rsidRPr="00A356A0" w:rsidRDefault="003D0135" w:rsidP="003D0135">
      <w:pPr>
        <w:pStyle w:val="NormalHanging12a"/>
      </w:pPr>
      <w:r w:rsidRPr="00A356A0">
        <w:t>10.</w:t>
      </w:r>
      <w:r w:rsidRPr="00A356A0">
        <w:tab/>
        <w:t>sprijină pe deplin impunerea de sancțiuni anticorupție specifice în cadrul UE, care a fost o prioritate de lungă durată a Parlamentului, fie prin includerea sa în EUGHRSR – Legea Magnițki a UE, fie printr-un regim diferit; recomandă extinderea domeniului de aplicare al regimului pentru a include cazurile de corupție la scară largă și abuzul de contracte de achiziții publice care susțin direct regimurile autoritare, corelând astfel încălcările drepturilor omului cu practicile cleptocratice; accentuează, în plus, că sancțiunile anticorupție ar trebui să țină seama de contextul sistemic mai larg și să fie strâns legate de strategii cuprinzătoare față de actorii respectivi; salută faptul că Comisia a prezentat o propunere privind un regim de sancțiuni anticorupție; consideră regretabil faptul că unele state membre au blocat dosarul la Consiliu;</w:t>
      </w:r>
    </w:p>
    <w:p w14:paraId="399BB613" w14:textId="77777777" w:rsidR="003D0135" w:rsidRPr="00A356A0" w:rsidRDefault="003D0135" w:rsidP="003D0135">
      <w:pPr>
        <w:pStyle w:val="NormalHanging12a"/>
      </w:pPr>
      <w:r w:rsidRPr="00A356A0">
        <w:t xml:space="preserve">11. </w:t>
      </w:r>
      <w:r w:rsidRPr="00A356A0">
        <w:tab/>
        <w:t>accentuează că EUGHRSR – Legea Magnițki a UE ar trebui să vizeze și încălcările drepturilor omului permise prin supravegherea digitală, exporturile de programe spion și alte tehnologii folosite pentru represiune, precum și actele deliberate de distrugere a mediului care au o intenție clară de a aduce prejudicii populației civile; solicită includerea explicită pe listă a persoanelor implicate în astfel de abuzuri;</w:t>
      </w:r>
    </w:p>
    <w:p w14:paraId="25A4CD26" w14:textId="77777777" w:rsidR="003D0135" w:rsidRPr="00A356A0" w:rsidRDefault="003D0135" w:rsidP="003D0135">
      <w:pPr>
        <w:pStyle w:val="NormalHanging12a"/>
      </w:pPr>
      <w:r w:rsidRPr="00A356A0">
        <w:t xml:space="preserve">12. </w:t>
      </w:r>
      <w:r w:rsidRPr="00A356A0">
        <w:tab/>
        <w:t>salută utilizarea recentă a EUGHRSR – Legea Magnițki a UE împotriva actorilor responsabili de reprimarea transnațională a disidenților și a apărătorilor drepturilor omului și solicită mai multe includeri pe listă pentru a reflecta această tendință mondială în creștere și pentru a evalua în mod sistematic actele de represiune transnațională, inclusiv supravegherea digitală, hărțuirea exilaților și intimidarea transfrontalieră, dezinformarea și abuzul juridic; invită Consiliul să adopte o definiție de lucru a represiunii transnaționale pentru a asigura sancționarea consecventă, inclusiv a reprezentanților nestatali, cum ar fi societățile private de securitate și organizațiile din diaspora; invită UE să intensifice aplicarea de sancțiuni împotriva persoanelor și entităților documentate în mod credibil ca fiind responsabile de acte de represiune transnațională împotriva apărătorilor drepturilor omului, inclusiv de hărțuirea rudelor, de atacuri digitale și de intimidare în străinătate;</w:t>
      </w:r>
    </w:p>
    <w:p w14:paraId="3E5EE0E7" w14:textId="77777777" w:rsidR="003D0135" w:rsidRPr="00A356A0" w:rsidRDefault="003D0135" w:rsidP="003D0135">
      <w:pPr>
        <w:pStyle w:val="NormalHanging12a"/>
      </w:pPr>
      <w:r w:rsidRPr="00A356A0">
        <w:t>13.</w:t>
      </w:r>
      <w:r w:rsidRPr="00A356A0">
        <w:tab/>
        <w:t xml:space="preserve">îndeamnă statele membre să se abțină de la acțiuni politice sau diplomatice bilaterale care subminează angajamentul lor față de mecanismele internaționale de justiție penală, inclusiv Statutul de la Roma, precum și față de apărarea drepturilor omului, sau contrazic poziția unitară a UE în ceea ce privește sancțiunile; încredințează </w:t>
      </w:r>
      <w:r w:rsidRPr="00A356A0">
        <w:lastRenderedPageBreak/>
        <w:t>Vicepreședintei Comisiei / Înaltei Reprezentante a Uniunii pentru afaceri externe și politica de securitate, în cazul în care această recomandare nu este luată în considerare, sarcina de a solicita statelor membre în cauză să își alinieze acțiunile și să mențină unitatea UE; invită statele membre să îmbunătățească coordonarea și să utilizeze propriile instrumente, cum ar fi jurisdicția universală și sancțiunile naționale, cu condiția ca acestea să fie aplicate în mod coordonat în sprijinul obiectivelor comune ale UE, astfel încât să aducă schimbări semnificative și să contribuie la atingerea obiectivelor sancțiunilor UE;</w:t>
      </w:r>
    </w:p>
    <w:p w14:paraId="58E6DD4D" w14:textId="77777777" w:rsidR="003D0135" w:rsidRPr="00A356A0" w:rsidRDefault="003D0135" w:rsidP="003D0135">
      <w:pPr>
        <w:pStyle w:val="NormalHanging12a"/>
      </w:pPr>
      <w:r w:rsidRPr="00A356A0">
        <w:t>14.</w:t>
      </w:r>
      <w:r w:rsidRPr="00A356A0">
        <w:tab/>
        <w:t>condamnă faptul că unele state membre ale UE nu au respectat sancțiunile UE, permițând persoanelor sancționate să intre pe teritoriul UE, afectând astfel credibilitatea și eficacitatea sancțiunilor; îndeamnă toate statele membre ale UE să respecte pe deplin și necondiționat sancțiunile UE; solicită Comisiei, în calitate de gardian al tratatelor, să se asigure că statele membre ale UE respectă sancțiunile și să abordeze în mod riguros și nediscriminatoriu orice caz de nerespectare de către statele membre;</w:t>
      </w:r>
    </w:p>
    <w:p w14:paraId="2BC4B594" w14:textId="77777777" w:rsidR="003D0135" w:rsidRPr="00A356A0" w:rsidRDefault="003D0135" w:rsidP="003D0135">
      <w:pPr>
        <w:pStyle w:val="NormalHanging12a"/>
      </w:pPr>
      <w:r w:rsidRPr="00A356A0">
        <w:t>15.</w:t>
      </w:r>
      <w:r w:rsidRPr="00A356A0">
        <w:tab/>
        <w:t xml:space="preserve">evidențiază că măsurile restrictive ale UE pot fi pe deplin eficace numai dacă sunt interpretate, aplicate și implementate în mod consecvent, rapid și uniform de către toate statele membre; ia act de diferențele dintre statele membre în ceea ce privește cadrele juridice, structurile administrative și resursele operaționale pentru punerea în aplicare a sancțiunilor; invită, prin urmare, Comisia și statele membre să ia măsurile necesare pentru a asigura o aplicare mai armonizată și mai coordonată, inclusiv prin consolidarea capacității de înghețare a activelor, prin îmbunătățirea schimbului de informații și prin dezvoltarea unor mecanisme comune de monitorizare și de asigurare a respectării legislației la nivelul UE; </w:t>
      </w:r>
    </w:p>
    <w:p w14:paraId="3476CA1B" w14:textId="77777777" w:rsidR="003D0135" w:rsidRPr="00A356A0" w:rsidRDefault="003D0135" w:rsidP="003D0135">
      <w:pPr>
        <w:pStyle w:val="NormalHanging12a"/>
      </w:pPr>
      <w:r w:rsidRPr="00A356A0">
        <w:t>16.</w:t>
      </w:r>
      <w:r w:rsidRPr="00A356A0">
        <w:tab/>
        <w:t>îndeamnă SEAE să definească căi legale de mobilizare a dobânzilor generate de activele înghețate ale persoanelor sancționate în temeiul EUGHRSR – Legea Magnițki a UE pentru ca acestea să aducă beneficii victimelor încălcărilor grave ale drepturilor omului de care sunt responsabile persoanele sancționate; încurajează, de asemenea, UE să analizeze posibilitatea de a stabili o procedură specifică privind câștigurile necuvenite;</w:t>
      </w:r>
    </w:p>
    <w:p w14:paraId="4C343165" w14:textId="77777777" w:rsidR="003D0135" w:rsidRPr="00A356A0" w:rsidRDefault="003D0135" w:rsidP="003D0135">
      <w:pPr>
        <w:pStyle w:val="NormalHanging12a"/>
      </w:pPr>
      <w:r w:rsidRPr="00A356A0">
        <w:t>17.</w:t>
      </w:r>
      <w:r w:rsidRPr="00A356A0">
        <w:tab/>
        <w:t>salută călduros adoptarea de către Consiliu a unor pachete tematice de sancțiuni în cadrul EUGHRSR – Legea Magnițki a UE; îndeamnă Consiliul să adopte sistematic și proactiv măsuri specifice similare pentru a răspunde altor încălcări specifice și grave ale drepturilor omului, inclusiv tortură, dispariții forțate, detenție arbitrară și reprimare a societății civile și a apărătorilor drepturilor omului;</w:t>
      </w:r>
    </w:p>
    <w:p w14:paraId="0957C364" w14:textId="77777777" w:rsidR="003D0135" w:rsidRPr="00A356A0" w:rsidRDefault="003D0135" w:rsidP="003D0135">
      <w:pPr>
        <w:pStyle w:val="NormalHanging12a"/>
        <w:rPr>
          <w:bCs/>
          <w:iCs/>
        </w:rPr>
      </w:pPr>
      <w:r w:rsidRPr="00A356A0">
        <w:t xml:space="preserve">18. </w:t>
      </w:r>
      <w:r w:rsidRPr="00A356A0">
        <w:tab/>
        <w:t>își reiterează apelul adresat Consiliului de a trece treptat la votul cu majoritate calificată pentru deciziile din domeniile politicii externe și de securitate comune care nu au implicații militare sau de apărare, cum ar fi sancțiunile;</w:t>
      </w:r>
    </w:p>
    <w:p w14:paraId="06EF82B0" w14:textId="77777777" w:rsidR="003D0135" w:rsidRPr="00A356A0" w:rsidRDefault="003D0135" w:rsidP="003D0135">
      <w:pPr>
        <w:pStyle w:val="NormalHanging12a"/>
        <w:rPr>
          <w:b/>
          <w:bCs/>
          <w:i/>
          <w:iCs/>
          <w:szCs w:val="24"/>
        </w:rPr>
      </w:pPr>
      <w:r w:rsidRPr="00A356A0">
        <w:rPr>
          <w:b/>
          <w:i/>
        </w:rPr>
        <w:t>Consolidarea luptei împotriva impunității</w:t>
      </w:r>
    </w:p>
    <w:p w14:paraId="2D75459F" w14:textId="77777777" w:rsidR="003D0135" w:rsidRPr="00A356A0" w:rsidRDefault="003D0135" w:rsidP="003D0135">
      <w:pPr>
        <w:pStyle w:val="NormalHanging12a"/>
      </w:pPr>
      <w:r w:rsidRPr="00A356A0">
        <w:t>19.</w:t>
      </w:r>
      <w:r w:rsidRPr="00A356A0">
        <w:tab/>
        <w:t>solicită ca regimul de sancțiuni al UE să respecte și să completeze dreptul penal internațional, dreptul internațional umanitar și politicile UE legate de statul de drept și libertățile fundamentale, cu scopul de a consolida lupta împotriva impunității la nivel mondial;</w:t>
      </w:r>
    </w:p>
    <w:p w14:paraId="06FCBAA2" w14:textId="77777777" w:rsidR="003D0135" w:rsidRPr="00A356A0" w:rsidRDefault="003D0135" w:rsidP="003D0135">
      <w:pPr>
        <w:pStyle w:val="NormalHanging12a"/>
      </w:pPr>
      <w:r w:rsidRPr="00A356A0">
        <w:t>20.</w:t>
      </w:r>
      <w:r w:rsidRPr="00A356A0">
        <w:tab/>
        <w:t xml:space="preserve">îndeamnă UE să alinieze strategic listările EUGHRSR – Legea Magnițki a UE la eforturile naționale și internaționale de justiție penală, inclusiv prin includerea pe listă a </w:t>
      </w:r>
      <w:r w:rsidRPr="00A356A0">
        <w:lastRenderedPageBreak/>
        <w:t>persoanelor acuzate de instanțele internaționale, cum ar fi Curtea Penală Internațională, a autorilor celor mai grave crime internaționale și a altor actori care îngreunează astfel de procese de tragere la răspundere;</w:t>
      </w:r>
    </w:p>
    <w:p w14:paraId="28909279" w14:textId="77777777" w:rsidR="003D0135" w:rsidRPr="00A356A0" w:rsidRDefault="003D0135" w:rsidP="003D0135">
      <w:pPr>
        <w:pStyle w:val="NormalHanging12a"/>
      </w:pPr>
      <w:r w:rsidRPr="00A356A0">
        <w:t>21.</w:t>
      </w:r>
      <w:r w:rsidRPr="00A356A0">
        <w:tab/>
        <w:t>subliniază că sancțiunile ar trebui să servească și scopului de a se asigura că autorii încălcărilor grave ale drepturilor omului și ai actelor de corupție nu rămân anonimi, expunându-i astfel pe cei responsabili;</w:t>
      </w:r>
    </w:p>
    <w:p w14:paraId="4D4FF995" w14:textId="77777777" w:rsidR="003D0135" w:rsidRPr="00A356A0" w:rsidRDefault="003D0135" w:rsidP="003D0135">
      <w:pPr>
        <w:pStyle w:val="NormalHanging12a"/>
      </w:pPr>
      <w:r w:rsidRPr="00A356A0">
        <w:t>22.</w:t>
      </w:r>
      <w:r w:rsidRPr="00A356A0">
        <w:tab/>
        <w:t>îndeamnă Consiliul să se asigure că toate regiunile lumii sunt tratate cu aceeași atenție și dedicație și să corecteze dezechilibrele geografice și tematice actuale în ceea ce privește includerile pe listă în temeiul EUGHRSR – Legea Magnițki a UE, extinzându-le dincolo de concentrarea geografică actuală, la toate persoanele și entitățile responsabile de încălcări grave ale drepturilor omului, indiferent de țara lor de origine;</w:t>
      </w:r>
    </w:p>
    <w:p w14:paraId="1026A9DD" w14:textId="77777777" w:rsidR="003D0135" w:rsidRPr="00A356A0" w:rsidRDefault="003D0135" w:rsidP="003D0135">
      <w:pPr>
        <w:pStyle w:val="NormalHanging12a"/>
      </w:pPr>
      <w:r w:rsidRPr="00A356A0">
        <w:t>23.</w:t>
      </w:r>
      <w:r w:rsidRPr="00A356A0">
        <w:tab/>
        <w:t xml:space="preserve">încurajează Consiliul să acorde o atenție deosebită încălcărilor precum violența sexuală și bazată pe gen, politicile discriminatorii și persecutarea femeilor lideri, a jurnalistelor și a activistelor, astfel încât aceste categorii să se reflecte în mod adecvat în viitoarele includeri pe listă; </w:t>
      </w:r>
    </w:p>
    <w:p w14:paraId="364F49DE" w14:textId="77777777" w:rsidR="003D0135" w:rsidRPr="00A356A0" w:rsidRDefault="003D0135" w:rsidP="003D0135">
      <w:pPr>
        <w:pStyle w:val="NormalHanging12a"/>
      </w:pPr>
      <w:r w:rsidRPr="00A356A0">
        <w:t>24.</w:t>
      </w:r>
      <w:r w:rsidRPr="00A356A0">
        <w:tab/>
        <w:t xml:space="preserve">constată că, până în prezent, o proporție semnificativă a persoanelor sancționate în temeiul EUGHRSR – Legea Magnițki a UE au fost implicate în aparatul represiv al statului, dar nu au luat decizii, în timp ce doar o mică parte dintre persoanele incluse pe listă dețin funcții de conducere politice sau militare; îndeamnă Consiliul să extindă desemnările dincolo de desemnările la nivel inferior pentru a include liderii politici și militari, sancționându-i pe cei responsabili de luarea deciziilor care au condus la încălcări grave ale drepturilor omului; </w:t>
      </w:r>
    </w:p>
    <w:p w14:paraId="1AD1A789" w14:textId="77777777" w:rsidR="003D0135" w:rsidRPr="00A356A0" w:rsidRDefault="003D0135" w:rsidP="003D0135">
      <w:pPr>
        <w:pStyle w:val="NormalHanging12a"/>
      </w:pPr>
      <w:r w:rsidRPr="00A356A0">
        <w:t>25.</w:t>
      </w:r>
      <w:r w:rsidRPr="00A356A0">
        <w:tab/>
        <w:t>solicită o comunicare mai intensă și mai eficientă cu privire la sancțiunile impuse pentru a reitera poziția globală a UE în ceea ce privește drepturile omului și combaterea impunității, deoarece, în unele cazuri, persoanele sancționate sunt descrise ca eroi de propaganda națională și sunt chiar recompensate de regimurile represive; constată că elementul disuasiv al EUGHRSR – Legea Magnițki a UE acționează în modul cel mai eficace împotriva persoanelor și entităților care au proprietăți sau mijloace de a călători în UE;</w:t>
      </w:r>
    </w:p>
    <w:p w14:paraId="7814FD18" w14:textId="77777777" w:rsidR="003D0135" w:rsidRPr="00A356A0" w:rsidRDefault="003D0135" w:rsidP="003D0135">
      <w:pPr>
        <w:pStyle w:val="NormalHanging12a"/>
      </w:pPr>
      <w:r w:rsidRPr="00A356A0">
        <w:t>26.</w:t>
      </w:r>
      <w:r w:rsidRPr="00A356A0">
        <w:tab/>
        <w:t>condamnă orice contrasancțiuni impuse UE sau instituțiilor sale, statelor sale membre, organismelor sau cetățenilor săi doar pentru că promovează și respectă drepturile omului, democrația și statul de drept prin intermediul EUGHRSR - Legea Magnițki a UE;</w:t>
      </w:r>
    </w:p>
    <w:p w14:paraId="583E891D" w14:textId="77777777" w:rsidR="003D0135" w:rsidRPr="00A356A0" w:rsidRDefault="003D0135" w:rsidP="003D0135">
      <w:pPr>
        <w:pStyle w:val="NormalHanging12a"/>
        <w:rPr>
          <w:b/>
          <w:bCs/>
          <w:i/>
          <w:iCs/>
          <w:szCs w:val="24"/>
        </w:rPr>
      </w:pPr>
      <w:r w:rsidRPr="00A356A0">
        <w:rPr>
          <w:b/>
          <w:i/>
        </w:rPr>
        <w:t>Transparența, responsabilitatea și rolul societății civile</w:t>
      </w:r>
    </w:p>
    <w:p w14:paraId="721F0010" w14:textId="77777777" w:rsidR="003D0135" w:rsidRPr="00A356A0" w:rsidRDefault="003D0135" w:rsidP="003D0135">
      <w:pPr>
        <w:pStyle w:val="NormalHanging12a"/>
      </w:pPr>
      <w:r w:rsidRPr="00A356A0">
        <w:t>27.</w:t>
      </w:r>
      <w:r w:rsidRPr="00A356A0">
        <w:tab/>
        <w:t>recomandă o mai mare transparență și orientări clare în procesul de sancționare, respectând, în același timp, drepturile persoanelor incluse pe listă la un control jurisdicțional efectiv;</w:t>
      </w:r>
    </w:p>
    <w:p w14:paraId="2A52608C" w14:textId="77777777" w:rsidR="003D0135" w:rsidRPr="00A356A0" w:rsidRDefault="003D0135" w:rsidP="003D0135">
      <w:pPr>
        <w:pStyle w:val="NormalHanging12a"/>
      </w:pPr>
      <w:r w:rsidRPr="00A356A0">
        <w:t>28.</w:t>
      </w:r>
      <w:r w:rsidRPr="00A356A0">
        <w:tab/>
        <w:t>recomandă ca schimbările comportamentale susținute, demonstrabile, reale și de durată ale persoanelor și entităților incluse pe listă, cum ar fi cooperarea continuă cu mecanismele judiciare internaționale, să fie recunoscute în mod oficial ca un criteriu de eliminare de pe listă pentru a stimula responsabilitatea și conformitatea;</w:t>
      </w:r>
    </w:p>
    <w:p w14:paraId="354EA2B7" w14:textId="77777777" w:rsidR="003D0135" w:rsidRPr="00A356A0" w:rsidRDefault="003D0135" w:rsidP="003D0135">
      <w:pPr>
        <w:pStyle w:val="NormalHanging12a"/>
      </w:pPr>
      <w:r w:rsidRPr="00A356A0">
        <w:t>29.</w:t>
      </w:r>
      <w:r w:rsidRPr="00A356A0">
        <w:tab/>
        <w:t xml:space="preserve">propune instituirea unui mecanism de consultare structurat și transparent pentru </w:t>
      </w:r>
      <w:r w:rsidRPr="00A356A0">
        <w:lastRenderedPageBreak/>
        <w:t>raportările efectuate de societatea civilă și implicarea ei în procesul de sancționare, cu măsuri de protecție pentru avertizori, inclusiv înființarea unui punct de contact specific al SEAE; recomandă introducerea unei componente bugetare pentru a consolida capacitatea SEAE de a evalua, investiga, reacționa și prelucra în mod sistematic informațiile și propunerile societății civile;</w:t>
      </w:r>
    </w:p>
    <w:p w14:paraId="24C527BD" w14:textId="77777777" w:rsidR="003D0135" w:rsidRPr="00A356A0" w:rsidRDefault="003D0135" w:rsidP="003D0135">
      <w:pPr>
        <w:pStyle w:val="NormalHanging12a"/>
      </w:pPr>
      <w:r w:rsidRPr="00A356A0">
        <w:t>30.</w:t>
      </w:r>
      <w:r w:rsidRPr="00A356A0">
        <w:tab/>
        <w:t>solicită Consiliului și Vicepreședintei Comisiei / Înaltei Reprezentante a Uniunii pentru afaceri externe și politica de securitate să prevadă pentru Parlament rolul complementar de a strânge și de a propune cazuri de încălcări grave ale drepturilor omului care să fie luate în considerare pentru a fi incluse în regimul de sancțiuni și să furnizeze Parlamentului rapoarte anuale cu privire la deciziile privind sancțiunile în temeiul EUGHRSR – Legea Magnițki a UE, inclusiv în ceea ce privește eludarea sancțiunilor; solicită ca recomandările de includere pe listă cuprinse în rezoluțiile Parlamentului să fie examinate în detaliu de către Consiliu;</w:t>
      </w:r>
    </w:p>
    <w:p w14:paraId="3A924EA9" w14:textId="77777777" w:rsidR="003D0135" w:rsidRPr="00A356A0" w:rsidRDefault="003D0135" w:rsidP="00A356A0">
      <w:pPr>
        <w:pStyle w:val="NormalHanging12a"/>
        <w:ind w:left="0" w:firstLine="0"/>
        <w:rPr>
          <w:b/>
          <w:bCs/>
          <w:i/>
          <w:iCs/>
          <w:szCs w:val="24"/>
        </w:rPr>
      </w:pPr>
      <w:r w:rsidRPr="00A356A0">
        <w:rPr>
          <w:b/>
          <w:i/>
        </w:rPr>
        <w:t>Prevenirea eludării sancțiunilor și consolidarea instrumentelor de asigurare a respectării legislației</w:t>
      </w:r>
    </w:p>
    <w:p w14:paraId="19E06A6F" w14:textId="77777777" w:rsidR="003D0135" w:rsidRPr="00A356A0" w:rsidRDefault="003D0135" w:rsidP="003D0135">
      <w:pPr>
        <w:pStyle w:val="NormalHanging12a"/>
      </w:pPr>
      <w:r w:rsidRPr="00A356A0">
        <w:t>31.</w:t>
      </w:r>
      <w:r w:rsidRPr="00A356A0">
        <w:tab/>
        <w:t xml:space="preserve">solicită revizuirea EUGHRSR – Legea Magnițki a UE pentru a preveni eludarea sancțiunilor prin emiterea de orientări explicite și actualizate privind interdicția de a furniza resurse economice și sprijin tehnic și material persoanelor și entităților incluse pe listă, clarificând faptul că interdicția de a furniza sprijin tehnic și material include asistența nefinanciară, cum ar fi infrastructura TIC, software-ul, facilitarea juridică și instrumentele cibernetice utilizate pentru represiune; accentuează că este necesar să se consolideze regimul de sancțiuni al UE prin extinderea și diversificarea utilizării sancțiunilor secundare, cu scopul de a viza funcționarii guvernamentali, entitățile, întreprinderile și persoanele implicate în facilitarea încălcărilor sau a eludării sancțiunilor, ceea ce ar permite regimurilor autoritare să își continue încălcările grave ale drepturilor omului; </w:t>
      </w:r>
    </w:p>
    <w:p w14:paraId="515FF146" w14:textId="77777777" w:rsidR="003D0135" w:rsidRPr="00A356A0" w:rsidRDefault="003D0135" w:rsidP="003D0135">
      <w:pPr>
        <w:pStyle w:val="NormalHanging12a"/>
      </w:pPr>
      <w:r w:rsidRPr="00A356A0">
        <w:t>32.</w:t>
      </w:r>
      <w:r w:rsidRPr="00A356A0">
        <w:tab/>
        <w:t>invită Comisia să consolideze cooperarea cu Autoritatea Bancară Europeană, Autoritatea Europeană pentru Valori Mobiliare și Piețe, Autoritatea pentru Combaterea Spălării Banilor și unitățile naționale de informații financiare pentru a identifica sistematic dacă sunt folosite produse financiare opace, criptoactive și structuri offshore pentru a eluda sancțiunile;</w:t>
      </w:r>
    </w:p>
    <w:p w14:paraId="68B7F92C" w14:textId="77777777" w:rsidR="003D0135" w:rsidRPr="00A356A0" w:rsidRDefault="003D0135" w:rsidP="003D0135">
      <w:pPr>
        <w:pStyle w:val="NormalHanging12a"/>
      </w:pPr>
      <w:r w:rsidRPr="00A356A0">
        <w:t>33.</w:t>
      </w:r>
      <w:r w:rsidRPr="00A356A0">
        <w:tab/>
        <w:t>încurajează includerea pe liste încrucișate a entităților atât în temeiul EUGHRSR – Legea Magnițki a UE, cât și al regimurilor de sancțiuni geografice, după caz;</w:t>
      </w:r>
    </w:p>
    <w:p w14:paraId="74DEF8A7" w14:textId="77777777" w:rsidR="003D0135" w:rsidRPr="00A356A0" w:rsidRDefault="003D0135" w:rsidP="003D0135">
      <w:pPr>
        <w:pStyle w:val="NormalHanging12a"/>
      </w:pPr>
      <w:r w:rsidRPr="00A356A0">
        <w:t>34.</w:t>
      </w:r>
      <w:r w:rsidRPr="00A356A0">
        <w:tab/>
        <w:t>invită Consiliul să revizuiască clauzele de derogare pentru a se asigura că contractele încheiate înainte ca o persoană să fie inclusă pe listă nu aduc beneficii membrilor familiei sau asociaților acesteia sau oricăror entități controlate de persoana sancționată;</w:t>
      </w:r>
    </w:p>
    <w:p w14:paraId="28F61F8C" w14:textId="77777777" w:rsidR="003D0135" w:rsidRPr="00A356A0" w:rsidRDefault="003D0135" w:rsidP="003D0135">
      <w:pPr>
        <w:pStyle w:val="NormalHanging12a"/>
        <w:jc w:val="center"/>
      </w:pPr>
      <w:r w:rsidRPr="00A356A0">
        <w:t>°</w:t>
      </w:r>
    </w:p>
    <w:p w14:paraId="05250186" w14:textId="77777777" w:rsidR="003D0135" w:rsidRPr="00A356A0" w:rsidRDefault="003D0135" w:rsidP="003D0135">
      <w:pPr>
        <w:pStyle w:val="NormalHanging12a"/>
        <w:jc w:val="center"/>
      </w:pPr>
      <w:r w:rsidRPr="00A356A0">
        <w:t>°</w:t>
      </w:r>
      <w:r w:rsidRPr="00A356A0">
        <w:tab/>
        <w:t>°</w:t>
      </w:r>
    </w:p>
    <w:p w14:paraId="77B825FA" w14:textId="717CD234" w:rsidR="00CF5EE7" w:rsidRPr="00A356A0" w:rsidRDefault="003D0135" w:rsidP="00CF5EE7">
      <w:pPr>
        <w:pStyle w:val="NormalHanging12a"/>
      </w:pPr>
      <w:r w:rsidRPr="00A356A0">
        <w:t>35.</w:t>
      </w:r>
      <w:r w:rsidRPr="00A356A0">
        <w:tab/>
        <w:t>încredințează Președintei sarcina de a transmite prezenta rezoluție Consiliului, Comisiei și Vicepreședintei Comisiei/Înaltei Reprezentante a Uniunii pentru afaceri externe și politica de securitate.</w:t>
      </w:r>
    </w:p>
    <w:p w14:paraId="5F93F3C4" w14:textId="2C94BA87" w:rsidR="00E365E1" w:rsidRPr="00A356A0" w:rsidRDefault="00E365E1" w:rsidP="004857BA"/>
    <w:sectPr w:rsidR="00E365E1" w:rsidRPr="00A356A0" w:rsidSect="00CF5EE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A3018" w14:textId="77777777" w:rsidR="004857BA" w:rsidRPr="00CF5EE7" w:rsidRDefault="004857BA">
      <w:r w:rsidRPr="00CF5EE7">
        <w:separator/>
      </w:r>
    </w:p>
  </w:endnote>
  <w:endnote w:type="continuationSeparator" w:id="0">
    <w:p w14:paraId="1A4D4920" w14:textId="77777777" w:rsidR="004857BA" w:rsidRPr="00CF5EE7" w:rsidRDefault="004857BA">
      <w:r w:rsidRPr="00CF5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2324D" w14:textId="77777777" w:rsidR="00064002" w:rsidRPr="00CF5E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662C8" w14:textId="77777777" w:rsidR="00064002" w:rsidRPr="00CF5E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A4CC" w14:textId="77777777" w:rsidR="00064002" w:rsidRPr="00CF5E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FCB8D" w14:textId="77777777" w:rsidR="004857BA" w:rsidRPr="00CF5EE7" w:rsidRDefault="004857BA">
      <w:r w:rsidRPr="00CF5EE7">
        <w:separator/>
      </w:r>
    </w:p>
  </w:footnote>
  <w:footnote w:type="continuationSeparator" w:id="0">
    <w:p w14:paraId="653CA441" w14:textId="77777777" w:rsidR="004857BA" w:rsidRPr="00CF5EE7" w:rsidRDefault="004857BA">
      <w:r w:rsidRPr="00CF5EE7">
        <w:continuationSeparator/>
      </w:r>
    </w:p>
  </w:footnote>
  <w:footnote w:id="1">
    <w:p w14:paraId="2E0F878F" w14:textId="67A2218B" w:rsidR="003D0135" w:rsidRPr="00CF5EE7" w:rsidRDefault="003D0135" w:rsidP="00CF5EE7">
      <w:pPr>
        <w:ind w:left="567" w:hanging="567"/>
      </w:pPr>
      <w:r w:rsidRPr="00CF5EE7">
        <w:rPr>
          <w:rStyle w:val="FootnoteReference"/>
        </w:rPr>
        <w:footnoteRef/>
      </w:r>
      <w:r w:rsidR="00CF5EE7" w:rsidRPr="00CF5EE7">
        <w:t xml:space="preserve"> </w:t>
      </w:r>
      <w:r w:rsidR="00CF5EE7" w:rsidRPr="00CF5EE7">
        <w:tab/>
      </w:r>
      <w:r w:rsidRPr="00CF5EE7">
        <w:t>JO L 410</w:t>
      </w:r>
      <w:r w:rsidR="00F35754">
        <w:t> </w:t>
      </w:r>
      <w:r w:rsidRPr="00CF5EE7">
        <w:t xml:space="preserve">I, 7.12.2020, p. 13, ELI: </w:t>
      </w:r>
      <w:hyperlink r:id="rId1" w:history="1">
        <w:r w:rsidRPr="00CF5EE7">
          <w:rPr>
            <w:rStyle w:val="Hyperlink"/>
            <w:color w:val="0563C1"/>
          </w:rPr>
          <w:t>http://data.europa.eu/eli/dec/2020/1999/oj</w:t>
        </w:r>
      </w:hyperlink>
      <w:r w:rsidRPr="00CF5EE7">
        <w:t>.</w:t>
      </w:r>
    </w:p>
  </w:footnote>
  <w:footnote w:id="2">
    <w:p w14:paraId="24D0472D" w14:textId="51EDC436"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JO L 410</w:t>
      </w:r>
      <w:r w:rsidR="00F35754">
        <w:rPr>
          <w:sz w:val="24"/>
          <w:lang w:val="ro-RO"/>
        </w:rPr>
        <w:t> </w:t>
      </w:r>
      <w:r w:rsidRPr="00CF5EE7">
        <w:rPr>
          <w:sz w:val="24"/>
          <w:lang w:val="ro-RO"/>
        </w:rPr>
        <w:t xml:space="preserve">I, 7.12.2020, p. 1, ELI: </w:t>
      </w:r>
      <w:hyperlink r:id="rId2" w:history="1">
        <w:r w:rsidRPr="00CF5EE7">
          <w:rPr>
            <w:rStyle w:val="Hyperlink"/>
            <w:color w:val="0563C1"/>
            <w:sz w:val="24"/>
            <w:lang w:val="ro-RO"/>
          </w:rPr>
          <w:t>http://data.europa.eu/eli/reg/2020/1998/oj</w:t>
        </w:r>
      </w:hyperlink>
      <w:r w:rsidRPr="00CF5EE7">
        <w:rPr>
          <w:sz w:val="24"/>
          <w:lang w:val="ro-RO"/>
        </w:rPr>
        <w:t xml:space="preserve">. </w:t>
      </w:r>
    </w:p>
  </w:footnote>
  <w:footnote w:id="3">
    <w:p w14:paraId="65475519" w14:textId="65FA5C94" w:rsidR="003D0135" w:rsidRPr="00CF5EE7" w:rsidRDefault="003D0135" w:rsidP="00CF5EE7">
      <w:pPr>
        <w:ind w:left="567" w:hanging="567"/>
      </w:pPr>
      <w:r w:rsidRPr="00CF5EE7">
        <w:rPr>
          <w:rStyle w:val="FootnoteReference"/>
        </w:rPr>
        <w:footnoteRef/>
      </w:r>
      <w:r w:rsidR="00CF5EE7" w:rsidRPr="00CF5EE7">
        <w:t xml:space="preserve"> </w:t>
      </w:r>
      <w:r w:rsidR="00CF5EE7" w:rsidRPr="00CF5EE7">
        <w:tab/>
      </w:r>
      <w:r w:rsidRPr="00CF5EE7">
        <w:t>JO L 71</w:t>
      </w:r>
      <w:r w:rsidR="00F35754">
        <w:t> </w:t>
      </w:r>
      <w:r w:rsidRPr="00CF5EE7">
        <w:t>I, 2</w:t>
      </w:r>
      <w:r w:rsidR="00F35754">
        <w:t>.</w:t>
      </w:r>
      <w:r w:rsidRPr="00CF5EE7">
        <w:t>3</w:t>
      </w:r>
      <w:r w:rsidR="00F35754">
        <w:t>.</w:t>
      </w:r>
      <w:r w:rsidRPr="00CF5EE7">
        <w:t xml:space="preserve">2021, p. 1, ELI: </w:t>
      </w:r>
      <w:hyperlink r:id="rId3" w:history="1">
        <w:r w:rsidRPr="00CF5EE7">
          <w:rPr>
            <w:rStyle w:val="Hyperlink"/>
            <w:color w:val="0563C1"/>
          </w:rPr>
          <w:t>http://data.europa.eu/eli/reg_impl/2021/371/oj</w:t>
        </w:r>
      </w:hyperlink>
      <w:r w:rsidRPr="00CF5EE7">
        <w:t xml:space="preserve">. </w:t>
      </w:r>
    </w:p>
  </w:footnote>
  <w:footnote w:id="4">
    <w:p w14:paraId="7C98926B" w14:textId="5DA24A8E"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JO L 99</w:t>
      </w:r>
      <w:r w:rsidR="00F35754">
        <w:rPr>
          <w:sz w:val="24"/>
          <w:lang w:val="ro-RO"/>
        </w:rPr>
        <w:t> </w:t>
      </w:r>
      <w:r w:rsidRPr="00CF5EE7">
        <w:rPr>
          <w:sz w:val="24"/>
          <w:lang w:val="ro-RO"/>
        </w:rPr>
        <w:t>I, 22</w:t>
      </w:r>
      <w:r w:rsidR="00F35754">
        <w:rPr>
          <w:sz w:val="24"/>
          <w:lang w:val="ro-RO"/>
        </w:rPr>
        <w:t>.</w:t>
      </w:r>
      <w:r w:rsidRPr="00CF5EE7">
        <w:rPr>
          <w:sz w:val="24"/>
          <w:lang w:val="ro-RO"/>
        </w:rPr>
        <w:t>3</w:t>
      </w:r>
      <w:r w:rsidR="00F35754">
        <w:rPr>
          <w:sz w:val="24"/>
          <w:lang w:val="ro-RO"/>
        </w:rPr>
        <w:t>.</w:t>
      </w:r>
      <w:r w:rsidRPr="00CF5EE7">
        <w:rPr>
          <w:sz w:val="24"/>
          <w:lang w:val="ro-RO"/>
        </w:rPr>
        <w:t xml:space="preserve">2021, p. 1, ELI: </w:t>
      </w:r>
      <w:hyperlink r:id="rId4" w:history="1">
        <w:r w:rsidRPr="00CF5EE7">
          <w:rPr>
            <w:rStyle w:val="Hyperlink"/>
            <w:color w:val="0563C1"/>
            <w:sz w:val="24"/>
            <w:lang w:val="ro-RO"/>
          </w:rPr>
          <w:t>http://data.europa.eu/eli/reg_impl/2021/478/oj</w:t>
        </w:r>
      </w:hyperlink>
      <w:r w:rsidRPr="00CF5EE7">
        <w:rPr>
          <w:sz w:val="24"/>
          <w:lang w:val="ro-RO"/>
        </w:rPr>
        <w:t xml:space="preserve">. </w:t>
      </w:r>
    </w:p>
  </w:footnote>
  <w:footnote w:id="5">
    <w:p w14:paraId="04361A1F" w14:textId="27968767"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2025/1111, 28.5.2025, ELI: </w:t>
      </w:r>
      <w:hyperlink r:id="rId5" w:history="1">
        <w:r w:rsidRPr="00CF5EE7">
          <w:rPr>
            <w:rStyle w:val="Hyperlink"/>
            <w:color w:val="0563C1"/>
            <w:sz w:val="24"/>
            <w:lang w:val="ro-RO"/>
          </w:rPr>
          <w:t>http://data.europa.eu/eli/reg_impl/2025/1111/oj</w:t>
        </w:r>
      </w:hyperlink>
      <w:r w:rsidRPr="00CF5EE7">
        <w:rPr>
          <w:sz w:val="24"/>
          <w:lang w:val="ro-RO"/>
        </w:rPr>
        <w:t xml:space="preserve">. </w:t>
      </w:r>
    </w:p>
  </w:footnote>
  <w:footnote w:id="6">
    <w:p w14:paraId="2A94C57E" w14:textId="2486C79A"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JO L 71</w:t>
      </w:r>
      <w:r w:rsidR="00F35754">
        <w:rPr>
          <w:sz w:val="24"/>
          <w:lang w:val="ro-RO"/>
        </w:rPr>
        <w:t> </w:t>
      </w:r>
      <w:r w:rsidRPr="00CF5EE7">
        <w:rPr>
          <w:sz w:val="24"/>
          <w:lang w:val="ro-RO"/>
        </w:rPr>
        <w:t xml:space="preserve">I, 2.3.2021, p. 6, ELI: </w:t>
      </w:r>
      <w:hyperlink r:id="rId6" w:history="1">
        <w:r w:rsidRPr="00CF5EE7">
          <w:rPr>
            <w:rStyle w:val="Hyperlink"/>
            <w:color w:val="0563C1"/>
            <w:sz w:val="24"/>
            <w:lang w:val="ro-RO"/>
          </w:rPr>
          <w:t>http://data.europa.eu/eli/dec/2021/372/oj</w:t>
        </w:r>
      </w:hyperlink>
      <w:r w:rsidRPr="00CF5EE7">
        <w:rPr>
          <w:sz w:val="24"/>
          <w:lang w:val="ro-RO"/>
        </w:rPr>
        <w:t xml:space="preserve">. </w:t>
      </w:r>
    </w:p>
  </w:footnote>
  <w:footnote w:id="7">
    <w:p w14:paraId="28694F63" w14:textId="61A4186A"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JO L 99</w:t>
      </w:r>
      <w:r w:rsidR="00F35754">
        <w:rPr>
          <w:sz w:val="24"/>
          <w:lang w:val="ro-RO"/>
        </w:rPr>
        <w:t> </w:t>
      </w:r>
      <w:r w:rsidRPr="00CF5EE7">
        <w:rPr>
          <w:sz w:val="24"/>
          <w:lang w:val="ro-RO"/>
        </w:rPr>
        <w:t xml:space="preserve">I, 22.3.2021, p. 25, ELI: </w:t>
      </w:r>
      <w:hyperlink r:id="rId7" w:history="1">
        <w:r w:rsidRPr="00CF5EE7">
          <w:rPr>
            <w:rStyle w:val="Hyperlink"/>
            <w:color w:val="0563C1"/>
            <w:sz w:val="24"/>
            <w:lang w:val="ro-RO"/>
          </w:rPr>
          <w:t>http://data.europa.eu/eli/dec/2021/481/oj</w:t>
        </w:r>
      </w:hyperlink>
      <w:r w:rsidRPr="00CF5EE7">
        <w:rPr>
          <w:sz w:val="24"/>
          <w:lang w:val="ro-RO"/>
        </w:rPr>
        <w:t xml:space="preserve">. </w:t>
      </w:r>
    </w:p>
  </w:footnote>
  <w:footnote w:id="8">
    <w:p w14:paraId="6B174FEB" w14:textId="6F49808F"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JO L 445</w:t>
      </w:r>
      <w:r w:rsidR="00F35754">
        <w:rPr>
          <w:sz w:val="24"/>
          <w:lang w:val="ro-RO"/>
        </w:rPr>
        <w:t> </w:t>
      </w:r>
      <w:r w:rsidRPr="00CF5EE7">
        <w:rPr>
          <w:sz w:val="24"/>
          <w:lang w:val="ro-RO"/>
        </w:rPr>
        <w:t xml:space="preserve">I, 13.12.2021, p. 17, ELI: </w:t>
      </w:r>
      <w:hyperlink r:id="rId8" w:history="1">
        <w:r w:rsidRPr="00CF5EE7">
          <w:rPr>
            <w:rStyle w:val="Hyperlink"/>
            <w:color w:val="0563C1"/>
            <w:sz w:val="24"/>
            <w:lang w:val="ro-RO"/>
          </w:rPr>
          <w:t>http://data.europa.eu/eli/dec/2021/2197/oj</w:t>
        </w:r>
      </w:hyperlink>
      <w:r w:rsidRPr="00CF5EE7">
        <w:rPr>
          <w:sz w:val="24"/>
          <w:lang w:val="ro-RO"/>
        </w:rPr>
        <w:t xml:space="preserve">. </w:t>
      </w:r>
    </w:p>
  </w:footnote>
  <w:footnote w:id="9">
    <w:p w14:paraId="7861EB18" w14:textId="71D5D6EC"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JO L 183</w:t>
      </w:r>
      <w:r w:rsidR="00F35754">
        <w:rPr>
          <w:sz w:val="24"/>
          <w:lang w:val="ro-RO"/>
        </w:rPr>
        <w:t> </w:t>
      </w:r>
      <w:r w:rsidRPr="00CF5EE7">
        <w:rPr>
          <w:sz w:val="24"/>
          <w:lang w:val="ro-RO"/>
        </w:rPr>
        <w:t xml:space="preserve">I, 20.7.2023, p. 60, ELI: </w:t>
      </w:r>
      <w:hyperlink r:id="rId9" w:history="1">
        <w:r w:rsidRPr="00CF5EE7">
          <w:rPr>
            <w:rStyle w:val="Hyperlink"/>
            <w:color w:val="0563C1"/>
            <w:sz w:val="24"/>
            <w:lang w:val="ro-RO"/>
          </w:rPr>
          <w:t>http://data.europa.eu/eli/dec/2023/1504/oj</w:t>
        </w:r>
      </w:hyperlink>
      <w:r w:rsidRPr="00CF5EE7">
        <w:rPr>
          <w:sz w:val="24"/>
          <w:lang w:val="ro-RO"/>
        </w:rPr>
        <w:t xml:space="preserve">. </w:t>
      </w:r>
    </w:p>
  </w:footnote>
  <w:footnote w:id="10">
    <w:p w14:paraId="5F84FA51" w14:textId="33A30802"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JO L 221</w:t>
      </w:r>
      <w:r w:rsidR="00F35754">
        <w:rPr>
          <w:sz w:val="24"/>
          <w:lang w:val="ro-RO"/>
        </w:rPr>
        <w:t> </w:t>
      </w:r>
      <w:r w:rsidRPr="00CF5EE7">
        <w:rPr>
          <w:sz w:val="24"/>
          <w:lang w:val="ro-RO"/>
        </w:rPr>
        <w:t xml:space="preserve">I, 8.9.2023, p. 6, ELI: </w:t>
      </w:r>
      <w:hyperlink r:id="rId10" w:history="1">
        <w:r w:rsidRPr="00CF5EE7">
          <w:rPr>
            <w:rStyle w:val="Hyperlink"/>
            <w:sz w:val="24"/>
            <w:lang w:val="ro-RO"/>
          </w:rPr>
          <w:t>http://data.europa.eu/eli/dec/2023/1716/oj</w:t>
        </w:r>
      </w:hyperlink>
      <w:r w:rsidRPr="00CF5EE7">
        <w:rPr>
          <w:sz w:val="24"/>
          <w:lang w:val="ro-RO"/>
        </w:rPr>
        <w:t xml:space="preserve">. </w:t>
      </w:r>
    </w:p>
  </w:footnote>
  <w:footnote w:id="11">
    <w:p w14:paraId="0B83E659" w14:textId="2102457A"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2024/1025, 5.4.2024, ELI: </w:t>
      </w:r>
      <w:hyperlink r:id="rId11" w:history="1">
        <w:r w:rsidRPr="00CF5EE7">
          <w:rPr>
            <w:rStyle w:val="Hyperlink"/>
            <w:sz w:val="24"/>
            <w:lang w:val="ro-RO"/>
          </w:rPr>
          <w:t>http://data.europa.eu/eli/dec/2024/1025/oj</w:t>
        </w:r>
      </w:hyperlink>
      <w:r w:rsidRPr="00CF5EE7">
        <w:rPr>
          <w:sz w:val="24"/>
          <w:lang w:val="ro-RO"/>
        </w:rPr>
        <w:t xml:space="preserve">. </w:t>
      </w:r>
    </w:p>
  </w:footnote>
  <w:footnote w:id="12">
    <w:p w14:paraId="5E288D8B" w14:textId="26B482BE"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2024/1074, 12.4.2024, ELI: </w:t>
      </w:r>
      <w:hyperlink r:id="rId12" w:history="1">
        <w:r w:rsidRPr="00CF5EE7">
          <w:rPr>
            <w:rStyle w:val="Hyperlink"/>
            <w:sz w:val="24"/>
            <w:lang w:val="ro-RO"/>
          </w:rPr>
          <w:t>http://data.europa.eu/eli/dec/2024/1074/oj</w:t>
        </w:r>
      </w:hyperlink>
      <w:r w:rsidRPr="00CF5EE7">
        <w:rPr>
          <w:sz w:val="24"/>
          <w:lang w:val="ro-RO"/>
        </w:rPr>
        <w:t xml:space="preserve">. </w:t>
      </w:r>
    </w:p>
  </w:footnote>
  <w:footnote w:id="13">
    <w:p w14:paraId="54CAE396" w14:textId="3CFA7B08"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2024/1175, 19.4.2024, ELI: </w:t>
      </w:r>
      <w:hyperlink r:id="rId13" w:history="1">
        <w:r w:rsidRPr="00CF5EE7">
          <w:rPr>
            <w:rStyle w:val="Hyperlink"/>
            <w:sz w:val="24"/>
            <w:lang w:val="ro-RO"/>
          </w:rPr>
          <w:t>http://data.europa.eu/eli/dec/2024/1175/oj</w:t>
        </w:r>
      </w:hyperlink>
      <w:r w:rsidRPr="00CF5EE7">
        <w:rPr>
          <w:sz w:val="24"/>
          <w:lang w:val="ro-RO"/>
        </w:rPr>
        <w:t xml:space="preserve">. </w:t>
      </w:r>
    </w:p>
  </w:footnote>
  <w:footnote w:id="14">
    <w:p w14:paraId="0689E662" w14:textId="180F59DB"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2024/1967, 15.7.2024, ELI: </w:t>
      </w:r>
      <w:hyperlink r:id="rId14" w:history="1">
        <w:r w:rsidRPr="00CF5EE7">
          <w:rPr>
            <w:rStyle w:val="Hyperlink"/>
            <w:sz w:val="24"/>
            <w:lang w:val="ro-RO"/>
          </w:rPr>
          <w:t>http://data.europa.eu/eli/dec/2024/1967/oj</w:t>
        </w:r>
      </w:hyperlink>
      <w:r w:rsidRPr="00CF5EE7">
        <w:rPr>
          <w:sz w:val="24"/>
          <w:lang w:val="ro-RO"/>
        </w:rPr>
        <w:t xml:space="preserve">. </w:t>
      </w:r>
    </w:p>
  </w:footnote>
  <w:footnote w:id="15">
    <w:p w14:paraId="7357FEDC" w14:textId="5B25E7CE"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2024/3004, 3.12.2024, ELI: </w:t>
      </w:r>
      <w:hyperlink r:id="rId15" w:history="1">
        <w:r w:rsidRPr="00CF5EE7">
          <w:rPr>
            <w:rStyle w:val="Hyperlink"/>
            <w:sz w:val="24"/>
            <w:lang w:val="ro-RO"/>
          </w:rPr>
          <w:t>http://data.europa.eu/eli/dec/2024/3004/oj</w:t>
        </w:r>
      </w:hyperlink>
      <w:r w:rsidRPr="00CF5EE7">
        <w:rPr>
          <w:sz w:val="24"/>
          <w:lang w:val="ro-RO"/>
        </w:rPr>
        <w:t xml:space="preserve">. </w:t>
      </w:r>
    </w:p>
  </w:footnote>
  <w:footnote w:id="16">
    <w:p w14:paraId="11D94625" w14:textId="5CB734BE"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2025/346, 19.2.2025, ELI: </w:t>
      </w:r>
      <w:hyperlink r:id="rId16" w:history="1">
        <w:r w:rsidRPr="00CF5EE7">
          <w:rPr>
            <w:rStyle w:val="Hyperlink"/>
            <w:sz w:val="24"/>
            <w:lang w:val="ro-RO"/>
          </w:rPr>
          <w:t>http://data.europa.eu/eli/dec/2025/346/oj</w:t>
        </w:r>
      </w:hyperlink>
      <w:r w:rsidRPr="00CF5EE7">
        <w:rPr>
          <w:sz w:val="24"/>
          <w:lang w:val="ro-RO"/>
        </w:rPr>
        <w:t xml:space="preserve">. </w:t>
      </w:r>
    </w:p>
  </w:footnote>
  <w:footnote w:id="17">
    <w:p w14:paraId="5764B59C" w14:textId="76927731"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2025/1110, 28.5.2025, ELI: </w:t>
      </w:r>
      <w:hyperlink r:id="rId17" w:history="1">
        <w:r w:rsidRPr="00CF5EE7">
          <w:rPr>
            <w:rStyle w:val="Hyperlink"/>
            <w:sz w:val="24"/>
            <w:lang w:val="ro-RO"/>
          </w:rPr>
          <w:t>http://data.europa.eu/eli/dec/2025/1110/oj</w:t>
        </w:r>
      </w:hyperlink>
      <w:r w:rsidRPr="00CF5EE7">
        <w:rPr>
          <w:sz w:val="24"/>
          <w:lang w:val="ro-RO"/>
        </w:rPr>
        <w:t xml:space="preserve">. </w:t>
      </w:r>
    </w:p>
  </w:footnote>
  <w:footnote w:id="18">
    <w:p w14:paraId="4D97F60A" w14:textId="7AD9D96B"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JO C 99, 1.3.2022, p. 152.</w:t>
      </w:r>
    </w:p>
  </w:footnote>
  <w:footnote w:id="19">
    <w:p w14:paraId="59C6CBB4" w14:textId="32E3727B"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00BC3E8B" w:rsidRPr="00CA7C48">
        <w:rPr>
          <w:sz w:val="24"/>
          <w:lang w:val="fi-FI"/>
        </w:rPr>
        <w:t>J</w:t>
      </w:r>
      <w:r w:rsidR="00BC3E8B">
        <w:rPr>
          <w:sz w:val="24"/>
          <w:lang w:val="fi-FI"/>
        </w:rPr>
        <w:t>O</w:t>
      </w:r>
      <w:r w:rsidR="00BC3E8B" w:rsidRPr="00CA7C48">
        <w:rPr>
          <w:sz w:val="24"/>
          <w:lang w:val="fi-FI"/>
        </w:rPr>
        <w:t xml:space="preserve"> C, C/2025/4390, 9.9.2025, ELI: </w:t>
      </w:r>
      <w:r w:rsidR="00BC3E8B" w:rsidRPr="00CA7C48">
        <w:rPr>
          <w:rStyle w:val="Hyperlink"/>
          <w:szCs w:val="24"/>
          <w:lang w:val="fi-FI"/>
        </w:rPr>
        <w:t>http://data.europa.eu/eli/C/2025/4390/oj</w:t>
      </w:r>
      <w:r w:rsidRPr="00CF5EE7">
        <w:rPr>
          <w:sz w:val="24"/>
          <w:lang w:val="ro-RO"/>
        </w:rPr>
        <w:t>.</w:t>
      </w:r>
    </w:p>
  </w:footnote>
  <w:footnote w:id="20">
    <w:p w14:paraId="3A818BB6" w14:textId="4344DA6D"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 xml:space="preserve">JO L, 2023/2721, 5.12.2023, ELI: </w:t>
      </w:r>
      <w:hyperlink r:id="rId18" w:history="1">
        <w:r w:rsidRPr="00CF5EE7">
          <w:rPr>
            <w:rStyle w:val="Hyperlink"/>
            <w:sz w:val="24"/>
            <w:lang w:val="ro-RO"/>
          </w:rPr>
          <w:t>http://data.europa.eu/eli/dec/2023/2721/oj</w:t>
        </w:r>
      </w:hyperlink>
      <w:r w:rsidRPr="00CF5EE7">
        <w:rPr>
          <w:sz w:val="24"/>
          <w:lang w:val="ro-RO"/>
        </w:rPr>
        <w:t xml:space="preserve">. </w:t>
      </w:r>
    </w:p>
  </w:footnote>
  <w:footnote w:id="21">
    <w:p w14:paraId="16D99E5C" w14:textId="1622F252" w:rsidR="003D0135" w:rsidRPr="00CF5EE7" w:rsidRDefault="003D0135" w:rsidP="00CF5EE7">
      <w:pPr>
        <w:pStyle w:val="FootnoteText"/>
        <w:ind w:left="567" w:hanging="567"/>
        <w:rPr>
          <w:sz w:val="24"/>
          <w:lang w:val="ro-RO"/>
        </w:rPr>
      </w:pPr>
      <w:r w:rsidRPr="00CF5EE7">
        <w:rPr>
          <w:rStyle w:val="FootnoteReference"/>
          <w:sz w:val="24"/>
          <w:lang w:val="ro-RO"/>
        </w:rPr>
        <w:footnoteRef/>
      </w:r>
      <w:r w:rsidR="00CF5EE7" w:rsidRPr="00CF5EE7">
        <w:rPr>
          <w:sz w:val="24"/>
          <w:lang w:val="ro-RO"/>
        </w:rPr>
        <w:t xml:space="preserve"> </w:t>
      </w:r>
      <w:r w:rsidR="00CF5EE7" w:rsidRPr="00CF5EE7">
        <w:rPr>
          <w:sz w:val="24"/>
          <w:lang w:val="ro-RO"/>
        </w:rPr>
        <w:tab/>
      </w:r>
      <w:r w:rsidRPr="00CF5EE7">
        <w:rPr>
          <w:sz w:val="24"/>
          <w:lang w:val="ro-RO"/>
        </w:rPr>
        <w:t>Regulamentul (CE) nr. 2271/96 al Consiliului din 22 noiembrie 1996 de protecție împotriva efectelor aplicării extrateritoriale a unei legislații adoptate de către o țară terță, precum și a acțiunilor întemeiate pe aceasta sau care rezultă din aceasta (JO L 309, 29.11.1996, p. 1, ELI: </w:t>
      </w:r>
      <w:hyperlink r:id="rId19" w:history="1">
        <w:r w:rsidRPr="00CF5EE7">
          <w:rPr>
            <w:rStyle w:val="Hyperlink"/>
            <w:sz w:val="24"/>
            <w:lang w:val="ro-RO"/>
          </w:rPr>
          <w:t>http://data.europa.eu/eli/re</w:t>
        </w:r>
        <w:r w:rsidRPr="00CF5EE7">
          <w:rPr>
            <w:rStyle w:val="Hyperlink"/>
            <w:sz w:val="24"/>
            <w:lang w:val="ro-RO"/>
          </w:rPr>
          <w:t>g</w:t>
        </w:r>
        <w:r w:rsidRPr="00CF5EE7">
          <w:rPr>
            <w:rStyle w:val="Hyperlink"/>
            <w:sz w:val="24"/>
            <w:lang w:val="ro-RO"/>
          </w:rPr>
          <w:t>/1996/2271/oj</w:t>
        </w:r>
      </w:hyperlink>
      <w:r w:rsidRPr="00CF5EE7">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6DC6E" w14:textId="77777777" w:rsidR="00064002" w:rsidRPr="00CF5E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3B94E" w14:textId="77777777" w:rsidR="00064002" w:rsidRPr="00CF5E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01CFE" w14:textId="77777777" w:rsidR="00064002" w:rsidRPr="00CF5E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0058062">
    <w:abstractNumId w:val="9"/>
  </w:num>
  <w:num w:numId="2" w16cid:durableId="593785447">
    <w:abstractNumId w:val="9"/>
  </w:num>
  <w:num w:numId="3" w16cid:durableId="1000278325">
    <w:abstractNumId w:val="7"/>
  </w:num>
  <w:num w:numId="4" w16cid:durableId="1612938143">
    <w:abstractNumId w:val="7"/>
  </w:num>
  <w:num w:numId="5" w16cid:durableId="1157455437">
    <w:abstractNumId w:val="6"/>
  </w:num>
  <w:num w:numId="6" w16cid:durableId="1784881633">
    <w:abstractNumId w:val="6"/>
  </w:num>
  <w:num w:numId="7" w16cid:durableId="655692019">
    <w:abstractNumId w:val="5"/>
  </w:num>
  <w:num w:numId="8" w16cid:durableId="1090544350">
    <w:abstractNumId w:val="5"/>
  </w:num>
  <w:num w:numId="9" w16cid:durableId="221067700">
    <w:abstractNumId w:val="4"/>
  </w:num>
  <w:num w:numId="10" w16cid:durableId="1919364578">
    <w:abstractNumId w:val="4"/>
  </w:num>
  <w:num w:numId="11" w16cid:durableId="1011489208">
    <w:abstractNumId w:val="8"/>
  </w:num>
  <w:num w:numId="12" w16cid:durableId="749888736">
    <w:abstractNumId w:val="8"/>
  </w:num>
  <w:num w:numId="13" w16cid:durableId="1855874459">
    <w:abstractNumId w:val="3"/>
  </w:num>
  <w:num w:numId="14" w16cid:durableId="165440888">
    <w:abstractNumId w:val="3"/>
  </w:num>
  <w:num w:numId="15" w16cid:durableId="1077826152">
    <w:abstractNumId w:val="2"/>
  </w:num>
  <w:num w:numId="16" w16cid:durableId="875314367">
    <w:abstractNumId w:val="2"/>
  </w:num>
  <w:num w:numId="17" w16cid:durableId="1406145084">
    <w:abstractNumId w:val="1"/>
  </w:num>
  <w:num w:numId="18" w16cid:durableId="1379861181">
    <w:abstractNumId w:val="1"/>
  </w:num>
  <w:num w:numId="19" w16cid:durableId="456997754">
    <w:abstractNumId w:val="0"/>
  </w:num>
  <w:num w:numId="20" w16cid:durableId="836189518">
    <w:abstractNumId w:val="0"/>
  </w:num>
  <w:num w:numId="21" w16cid:durableId="427239943">
    <w:abstractNumId w:val="9"/>
  </w:num>
  <w:num w:numId="22" w16cid:durableId="1113401536">
    <w:abstractNumId w:val="7"/>
  </w:num>
  <w:num w:numId="23" w16cid:durableId="537939009">
    <w:abstractNumId w:val="6"/>
  </w:num>
  <w:num w:numId="24" w16cid:durableId="1011879546">
    <w:abstractNumId w:val="5"/>
  </w:num>
  <w:num w:numId="25" w16cid:durableId="1894199111">
    <w:abstractNumId w:val="4"/>
  </w:num>
  <w:num w:numId="26" w16cid:durableId="592393612">
    <w:abstractNumId w:val="8"/>
  </w:num>
  <w:num w:numId="27" w16cid:durableId="1140532565">
    <w:abstractNumId w:val="3"/>
  </w:num>
  <w:num w:numId="28" w16cid:durableId="1363169071">
    <w:abstractNumId w:val="2"/>
  </w:num>
  <w:num w:numId="29" w16cid:durableId="1189488996">
    <w:abstractNumId w:val="1"/>
  </w:num>
  <w:num w:numId="30" w16cid:durableId="1109858532">
    <w:abstractNumId w:val="0"/>
  </w:num>
  <w:num w:numId="31" w16cid:durableId="1708213575">
    <w:abstractNumId w:val="9"/>
  </w:num>
  <w:num w:numId="32" w16cid:durableId="654531975">
    <w:abstractNumId w:val="7"/>
  </w:num>
  <w:num w:numId="33" w16cid:durableId="2128769231">
    <w:abstractNumId w:val="6"/>
  </w:num>
  <w:num w:numId="34" w16cid:durableId="441460758">
    <w:abstractNumId w:val="5"/>
  </w:num>
  <w:num w:numId="35" w16cid:durableId="2136439356">
    <w:abstractNumId w:val="4"/>
  </w:num>
  <w:num w:numId="36" w16cid:durableId="638341378">
    <w:abstractNumId w:val="8"/>
  </w:num>
  <w:num w:numId="37" w16cid:durableId="492839340">
    <w:abstractNumId w:val="3"/>
  </w:num>
  <w:num w:numId="38" w16cid:durableId="975530621">
    <w:abstractNumId w:val="2"/>
  </w:num>
  <w:num w:numId="39" w16cid:durableId="43796930">
    <w:abstractNumId w:val="1"/>
  </w:num>
  <w:num w:numId="40" w16cid:durableId="1085033782">
    <w:abstractNumId w:val="0"/>
  </w:num>
  <w:num w:numId="41" w16cid:durableId="1950314087">
    <w:abstractNumId w:val="10"/>
  </w:num>
  <w:num w:numId="42" w16cid:durableId="117069796">
    <w:abstractNumId w:val="10"/>
  </w:num>
  <w:num w:numId="43" w16cid:durableId="471482649">
    <w:abstractNumId w:val="10"/>
  </w:num>
  <w:num w:numId="44" w16cid:durableId="706174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RO"/>
    <w:docVar w:name="dvnumam" w:val="0"/>
    <w:docVar w:name="dvpe" w:val="775.385"/>
    <w:docVar w:name="dvrapporteur" w:val="Raportor: "/>
    <w:docVar w:name="dvtitre" w:val="Rezoluția Parlamentului European din 21 ianuarie 2026 referitoare la abordarea impunității prin aplicarea de către UE a sancțiunilor, inclusiv regimul mondial de sancțiuni al UE în materie de drepturi ale omului (așa-numita „Legea Magnițki a UE”)(2025/2049(INI))"/>
  </w:docVars>
  <w:rsids>
    <w:rsidRoot w:val="004857B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0135"/>
    <w:rsid w:val="003E15D4"/>
    <w:rsid w:val="00411CCE"/>
    <w:rsid w:val="0041666E"/>
    <w:rsid w:val="00421060"/>
    <w:rsid w:val="00471C19"/>
    <w:rsid w:val="004857BA"/>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2E1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F8F"/>
    <w:rsid w:val="00A1687D"/>
    <w:rsid w:val="00A356A0"/>
    <w:rsid w:val="00A43E52"/>
    <w:rsid w:val="00A4678D"/>
    <w:rsid w:val="00A778C7"/>
    <w:rsid w:val="00AB441E"/>
    <w:rsid w:val="00AB6293"/>
    <w:rsid w:val="00AE0928"/>
    <w:rsid w:val="00AF3B82"/>
    <w:rsid w:val="00B12E95"/>
    <w:rsid w:val="00B22876"/>
    <w:rsid w:val="00B558F0"/>
    <w:rsid w:val="00BC3E8B"/>
    <w:rsid w:val="00BD48FE"/>
    <w:rsid w:val="00BD7BD8"/>
    <w:rsid w:val="00BE11C0"/>
    <w:rsid w:val="00BE6ADC"/>
    <w:rsid w:val="00C05BFE"/>
    <w:rsid w:val="00C23CD4"/>
    <w:rsid w:val="00C61C0C"/>
    <w:rsid w:val="00C941CB"/>
    <w:rsid w:val="00CC2357"/>
    <w:rsid w:val="00CF071A"/>
    <w:rsid w:val="00CF5EE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75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1B15D"/>
  <w15:chartTrackingRefBased/>
  <w15:docId w15:val="{67F894D4-2C44-4E96-AB34-AC70BE6CD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D0135"/>
    <w:pPr>
      <w:spacing w:after="240"/>
      <w:ind w:left="567" w:hanging="567"/>
    </w:pPr>
  </w:style>
  <w:style w:type="paragraph" w:customStyle="1" w:styleId="EPComma">
    <w:name w:val="EPComma"/>
    <w:basedOn w:val="Normal"/>
    <w:rsid w:val="003D0135"/>
    <w:pPr>
      <w:spacing w:before="480" w:after="240"/>
    </w:pPr>
  </w:style>
  <w:style w:type="character" w:styleId="Hyperlink">
    <w:name w:val="Hyperlink"/>
    <w:basedOn w:val="DefaultParagraphFont"/>
    <w:rsid w:val="003D0135"/>
    <w:rPr>
      <w:color w:val="0563C1" w:themeColor="hyperlink"/>
      <w:u w:val="single"/>
    </w:rPr>
  </w:style>
  <w:style w:type="paragraph" w:styleId="Revision">
    <w:name w:val="Revision"/>
    <w:hidden/>
    <w:uiPriority w:val="99"/>
    <w:semiHidden/>
    <w:rsid w:val="00BC3E8B"/>
    <w:rPr>
      <w:sz w:val="24"/>
      <w:lang w:val="ro-RO"/>
    </w:rPr>
  </w:style>
  <w:style w:type="character" w:styleId="FollowedHyperlink">
    <w:name w:val="FollowedHyperlink"/>
    <w:basedOn w:val="DefaultParagraphFont"/>
    <w:rsid w:val="00BE11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4219</Words>
  <Characters>25338</Characters>
  <Application>Microsoft Office Word</Application>
  <DocSecurity>0</DocSecurity>
  <Lines>372</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2026-02-23T11:04:00Z</dcterms:created>
  <dcterms:modified xsi:type="dcterms:W3CDTF">2026-02-23T11:04:00Z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A10-0266/2025</vt:lpwstr>
  </property>
  <property fmtid="{D5CDD505-2E9C-101B-9397-08002B2CF9AE}" pid="4" name="&lt;Type&gt;">
    <vt:lpwstr>RR</vt:lpwstr>
  </property>
</Properties>
</file>