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71F8" w14:paraId="0850DF9C" w14:textId="77777777" w:rsidTr="0010095E">
        <w:trPr>
          <w:trHeight w:hRule="exact" w:val="1418"/>
        </w:trPr>
        <w:tc>
          <w:tcPr>
            <w:tcW w:w="6804" w:type="dxa"/>
            <w:shd w:val="clear" w:color="auto" w:fill="auto"/>
            <w:vAlign w:val="center"/>
          </w:tcPr>
          <w:p w14:paraId="3A8B6FCB" w14:textId="77777777" w:rsidR="00751A4A" w:rsidRPr="008C71F8" w:rsidRDefault="00023552" w:rsidP="0010095E">
            <w:pPr>
              <w:pStyle w:val="EPName"/>
            </w:pPr>
            <w:r w:rsidRPr="008C71F8">
              <w:t>Europaparlamentet</w:t>
            </w:r>
          </w:p>
          <w:p w14:paraId="124CA028" w14:textId="77777777" w:rsidR="00751A4A" w:rsidRPr="008C71F8" w:rsidRDefault="005F1B17" w:rsidP="005F1B17">
            <w:pPr>
              <w:pStyle w:val="EPTerm"/>
              <w:rPr>
                <w:rStyle w:val="HideTWBExt"/>
                <w:noProof w:val="0"/>
                <w:vanish w:val="0"/>
                <w:color w:val="auto"/>
              </w:rPr>
            </w:pPr>
            <w:r w:rsidRPr="008C71F8">
              <w:t>2024</w:t>
            </w:r>
            <w:r w:rsidR="00817416" w:rsidRPr="008C71F8">
              <w:t>-202</w:t>
            </w:r>
            <w:r w:rsidRPr="008C71F8">
              <w:t>9</w:t>
            </w:r>
          </w:p>
        </w:tc>
        <w:tc>
          <w:tcPr>
            <w:tcW w:w="2268" w:type="dxa"/>
            <w:shd w:val="clear" w:color="auto" w:fill="auto"/>
          </w:tcPr>
          <w:p w14:paraId="20A8D71B" w14:textId="77777777" w:rsidR="00751A4A" w:rsidRPr="008C71F8" w:rsidRDefault="00187494" w:rsidP="0010095E">
            <w:pPr>
              <w:pStyle w:val="EPLogo"/>
            </w:pPr>
            <w:r w:rsidRPr="008C71F8">
              <w:rPr>
                <w:noProof/>
                <w:lang w:eastAsia="ja-JP"/>
              </w:rPr>
              <w:drawing>
                <wp:inline distT="0" distB="0" distL="0" distR="0" wp14:anchorId="69803C46" wp14:editId="779547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9F0B03" w14:textId="77777777" w:rsidR="00D058B8" w:rsidRPr="008C71F8" w:rsidRDefault="00D058B8" w:rsidP="004C5D52">
      <w:pPr>
        <w:pStyle w:val="LineTop"/>
      </w:pPr>
    </w:p>
    <w:p w14:paraId="6D76336D" w14:textId="77777777" w:rsidR="00680577" w:rsidRPr="008C71F8" w:rsidRDefault="00023552" w:rsidP="00680577">
      <w:pPr>
        <w:pStyle w:val="EPBodyTA1"/>
      </w:pPr>
      <w:r w:rsidRPr="008C71F8">
        <w:t>ANTAGNA TEXTER</w:t>
      </w:r>
    </w:p>
    <w:p w14:paraId="6A9FC56C" w14:textId="77777777" w:rsidR="00D058B8" w:rsidRPr="008C71F8" w:rsidRDefault="00D058B8" w:rsidP="00D058B8">
      <w:pPr>
        <w:pStyle w:val="LineBottom"/>
      </w:pPr>
    </w:p>
    <w:p w14:paraId="0E659E93" w14:textId="567F8B76" w:rsidR="00023552" w:rsidRPr="008C71F8" w:rsidRDefault="00023552" w:rsidP="00023552">
      <w:pPr>
        <w:pStyle w:val="ATHeading1"/>
      </w:pPr>
      <w:bookmarkStart w:id="0" w:name="TANumber"/>
      <w:r w:rsidRPr="008C71F8">
        <w:t>P10_TA(2026)00</w:t>
      </w:r>
      <w:bookmarkEnd w:id="0"/>
      <w:r w:rsidR="00A859EC">
        <w:t>15</w:t>
      </w:r>
    </w:p>
    <w:p w14:paraId="6B8114D0" w14:textId="77777777" w:rsidR="00023552" w:rsidRPr="008C71F8" w:rsidRDefault="00023552" w:rsidP="00023552">
      <w:pPr>
        <w:pStyle w:val="ATHeading2"/>
      </w:pPr>
      <w:bookmarkStart w:id="1" w:name="title"/>
      <w:r w:rsidRPr="008C71F8">
        <w:t>Bekämpning av straffrihet genom EU-sanktioner, inbegripet det globala EU-systemet för sanktioner avseende mänskliga rättigheter ("EU:s Magnitskijlag")</w:t>
      </w:r>
    </w:p>
    <w:p w14:paraId="52085E3B" w14:textId="77777777" w:rsidR="00023552" w:rsidRPr="008C71F8" w:rsidRDefault="00023552" w:rsidP="00023552">
      <w:pPr>
        <w:rPr>
          <w:i/>
          <w:vanish/>
        </w:rPr>
      </w:pPr>
      <w:r w:rsidRPr="008C71F8">
        <w:rPr>
          <w:i/>
        </w:rPr>
        <w:fldChar w:fldCharType="begin"/>
      </w:r>
      <w:r w:rsidRPr="008C71F8">
        <w:rPr>
          <w:i/>
        </w:rPr>
        <w:instrText xml:space="preserve"> TC"(</w:instrText>
      </w:r>
      <w:bookmarkStart w:id="2" w:name="DocNumber"/>
      <w:r w:rsidRPr="008C71F8">
        <w:rPr>
          <w:i/>
        </w:rPr>
        <w:instrText>A10-0266/2025</w:instrText>
      </w:r>
      <w:bookmarkEnd w:id="2"/>
      <w:r w:rsidRPr="008C71F8">
        <w:rPr>
          <w:i/>
        </w:rPr>
        <w:instrText xml:space="preserve"> - Föredragande: Antonio López-Istúriz White)"\l3 \n&gt; \* MERGEFORMAT </w:instrText>
      </w:r>
      <w:r w:rsidRPr="008C71F8">
        <w:rPr>
          <w:i/>
        </w:rPr>
        <w:fldChar w:fldCharType="end"/>
      </w:r>
    </w:p>
    <w:p w14:paraId="2613E237" w14:textId="77777777" w:rsidR="00023552" w:rsidRPr="008C71F8" w:rsidRDefault="00023552" w:rsidP="00023552">
      <w:pPr>
        <w:rPr>
          <w:vanish/>
        </w:rPr>
      </w:pPr>
      <w:bookmarkStart w:id="3" w:name="Commission"/>
      <w:r w:rsidRPr="008C71F8">
        <w:rPr>
          <w:vanish/>
        </w:rPr>
        <w:t>Utskottet för utrikesfrågor</w:t>
      </w:r>
      <w:bookmarkEnd w:id="3"/>
    </w:p>
    <w:p w14:paraId="63DA1738" w14:textId="77777777" w:rsidR="00023552" w:rsidRPr="008C71F8" w:rsidRDefault="00023552" w:rsidP="00023552">
      <w:pPr>
        <w:rPr>
          <w:vanish/>
        </w:rPr>
      </w:pPr>
      <w:bookmarkStart w:id="4" w:name="PE"/>
      <w:r w:rsidRPr="008C71F8">
        <w:rPr>
          <w:vanish/>
        </w:rPr>
        <w:t>PE775.385</w:t>
      </w:r>
      <w:bookmarkEnd w:id="4"/>
    </w:p>
    <w:p w14:paraId="40B9A4DF" w14:textId="4850934E" w:rsidR="00023552" w:rsidRPr="008C71F8" w:rsidRDefault="00023552" w:rsidP="00023552">
      <w:pPr>
        <w:pStyle w:val="ATHeading3"/>
      </w:pPr>
      <w:bookmarkStart w:id="5" w:name="Sujet"/>
      <w:r w:rsidRPr="008C71F8">
        <w:t xml:space="preserve">Europaparlamentets resolution av den </w:t>
      </w:r>
      <w:r w:rsidR="00783981">
        <w:t>21</w:t>
      </w:r>
      <w:r w:rsidR="00783981" w:rsidRPr="008C71F8">
        <w:t xml:space="preserve"> </w:t>
      </w:r>
      <w:r w:rsidR="00783981">
        <w:t>januari</w:t>
      </w:r>
      <w:r w:rsidR="00783981" w:rsidRPr="008C71F8">
        <w:t xml:space="preserve"> </w:t>
      </w:r>
      <w:r w:rsidRPr="008C71F8">
        <w:t>2026 om bekämpning av straffrihet genom EU-sanktioner, inbegripet det globala EU-systemet för sanktioner avseende mänskliga rättigheter (”EU:s Magnitskijlag”)</w:t>
      </w:r>
      <w:bookmarkEnd w:id="5"/>
      <w:r w:rsidRPr="008C71F8">
        <w:t xml:space="preserve"> </w:t>
      </w:r>
      <w:bookmarkStart w:id="6" w:name="References"/>
      <w:r w:rsidRPr="008C71F8">
        <w:t>(2025/2049(INI))</w:t>
      </w:r>
      <w:bookmarkEnd w:id="6"/>
    </w:p>
    <w:p w14:paraId="5408A5D1" w14:textId="77777777" w:rsidR="00C56434" w:rsidRPr="008C71F8" w:rsidRDefault="00C56434" w:rsidP="00C56434">
      <w:pPr>
        <w:pStyle w:val="EPComma"/>
      </w:pPr>
      <w:r w:rsidRPr="008C71F8">
        <w:rPr>
          <w:i/>
        </w:rPr>
        <w:t>Europaparlamentet utfärdar denna resolution</w:t>
      </w:r>
    </w:p>
    <w:p w14:paraId="6ACE290D" w14:textId="77777777" w:rsidR="00C56434" w:rsidRPr="008C71F8" w:rsidRDefault="00C56434" w:rsidP="00C56434">
      <w:pPr>
        <w:pStyle w:val="NormalHanging12a"/>
      </w:pPr>
      <w:r w:rsidRPr="008C71F8">
        <w:t>–</w:t>
      </w:r>
      <w:r w:rsidRPr="008C71F8">
        <w:tab/>
        <w:t xml:space="preserve">med beaktande av den allmänna förklaringen om de mänskliga rättigheterna av den 10 december 1948, </w:t>
      </w:r>
    </w:p>
    <w:p w14:paraId="0209C7AB" w14:textId="77777777" w:rsidR="00C56434" w:rsidRPr="008C71F8" w:rsidRDefault="00C56434" w:rsidP="00C56434">
      <w:pPr>
        <w:pStyle w:val="NormalHanging12a"/>
      </w:pPr>
      <w:r w:rsidRPr="008C71F8">
        <w:t>–</w:t>
      </w:r>
      <w:r w:rsidRPr="008C71F8">
        <w:tab/>
        <w:t xml:space="preserve">med beaktande av den europeiska konventionen om skydd för de mänskliga rättigheterna och de grundläggande friheterna av den 4 november 1950, </w:t>
      </w:r>
    </w:p>
    <w:p w14:paraId="4C3DACFC" w14:textId="77777777" w:rsidR="00C56434" w:rsidRPr="008C71F8" w:rsidRDefault="00C56434" w:rsidP="00C56434">
      <w:pPr>
        <w:pStyle w:val="NormalHanging12a"/>
      </w:pPr>
      <w:r w:rsidRPr="008C71F8">
        <w:t>–</w:t>
      </w:r>
      <w:r w:rsidRPr="008C71F8">
        <w:tab/>
        <w:t>med beaktande av den internationella konventionen om medborgerliga och politiska rättigheter av den 16 december 1966,</w:t>
      </w:r>
    </w:p>
    <w:p w14:paraId="75220C6C" w14:textId="77777777" w:rsidR="00C56434" w:rsidRPr="008C71F8" w:rsidRDefault="00C56434" w:rsidP="00C56434">
      <w:pPr>
        <w:pStyle w:val="NormalHanging12a"/>
      </w:pPr>
      <w:r w:rsidRPr="008C71F8">
        <w:t>–</w:t>
      </w:r>
      <w:r w:rsidRPr="008C71F8">
        <w:tab/>
        <w:t xml:space="preserve">med beaktande av FN:s konvention av den 10 december 1984 mot tortyr och annan grym, omänsklig eller förnedrande behandling eller bestraffning, </w:t>
      </w:r>
    </w:p>
    <w:p w14:paraId="36438A04" w14:textId="77777777" w:rsidR="00C56434" w:rsidRPr="008C71F8" w:rsidRDefault="00C56434" w:rsidP="00C56434">
      <w:pPr>
        <w:pStyle w:val="NormalHanging12a"/>
      </w:pPr>
      <w:r w:rsidRPr="008C71F8">
        <w:t>–</w:t>
      </w:r>
      <w:r w:rsidRPr="008C71F8">
        <w:tab/>
        <w:t>med beaktande av fördraget om Europeiska unionen (EU-fördraget), särskilt artiklarna 2, 3.5, 21, 23, 29 och 31.2,</w:t>
      </w:r>
    </w:p>
    <w:p w14:paraId="58127BD1" w14:textId="3E221ED4" w:rsidR="00C56434" w:rsidRPr="008C71F8" w:rsidRDefault="00C56434" w:rsidP="00C56434">
      <w:pPr>
        <w:pStyle w:val="NormalHanging12a"/>
      </w:pPr>
      <w:r w:rsidRPr="008C71F8">
        <w:t>–</w:t>
      </w:r>
      <w:r w:rsidRPr="008C71F8">
        <w:tab/>
        <w:t>med beaktande av artikel 215 i fördraget om Europeiska unionens funktionssätt, som avser antagande av restriktiva åtgärder mot fysiska eller juridiska personer, grupper eller enheter som inte är stater,</w:t>
      </w:r>
    </w:p>
    <w:p w14:paraId="5824DBE3" w14:textId="77777777" w:rsidR="00C56434" w:rsidRPr="008C71F8" w:rsidRDefault="00C56434" w:rsidP="00C56434">
      <w:pPr>
        <w:pStyle w:val="NormalHanging12a"/>
      </w:pPr>
      <w:r w:rsidRPr="008C71F8">
        <w:t>–</w:t>
      </w:r>
      <w:r w:rsidRPr="008C71F8">
        <w:tab/>
        <w:t>med beaktande av Europeiska unionens stadga om de grundläggande rättigheterna,</w:t>
      </w:r>
    </w:p>
    <w:p w14:paraId="191480F0" w14:textId="77777777" w:rsidR="00C56434" w:rsidRPr="008C71F8" w:rsidRDefault="00C56434" w:rsidP="00C56434">
      <w:pPr>
        <w:pStyle w:val="NormalHanging12a"/>
      </w:pPr>
      <w:r w:rsidRPr="008C71F8">
        <w:t>–</w:t>
      </w:r>
      <w:r w:rsidRPr="008C71F8">
        <w:tab/>
        <w:t>med beaktande av förklaring nr 25 till Lissabonfördraget om behovet att skydda och respektera rättssäkerhetsgarantier för personer eller enheter som berörs av EU:s restriktiva åtgärder eller EU-åtgärder som syftar till att bekämpa terrorism,</w:t>
      </w:r>
    </w:p>
    <w:p w14:paraId="42A33920" w14:textId="77777777" w:rsidR="00C56434" w:rsidRPr="008C71F8" w:rsidRDefault="00C56434" w:rsidP="00C56434">
      <w:pPr>
        <w:pStyle w:val="NormalHanging12a"/>
      </w:pPr>
      <w:r w:rsidRPr="008C71F8">
        <w:t>–</w:t>
      </w:r>
      <w:r w:rsidRPr="008C71F8">
        <w:tab/>
        <w:t>med beaktande av sina resolutioner om kränkningar av de mänskliga rättigheterna samt av demokratiska och rättsstatliga principer (”brådskande resolutioner”), antagna i enlighet med artikel 150 i arbetsordningen,</w:t>
      </w:r>
    </w:p>
    <w:p w14:paraId="0AD35479" w14:textId="77777777" w:rsidR="00C56434" w:rsidRPr="008C71F8" w:rsidRDefault="00C56434" w:rsidP="00C56434">
      <w:pPr>
        <w:pStyle w:val="NormalHanging12a"/>
      </w:pPr>
      <w:r w:rsidRPr="008C71F8">
        <w:lastRenderedPageBreak/>
        <w:t>–</w:t>
      </w:r>
      <w:r w:rsidRPr="008C71F8">
        <w:tab/>
        <w:t>med beaktande av rådets beslut (Gusp) 2020/1999</w:t>
      </w:r>
      <w:r w:rsidRPr="008C71F8">
        <w:rPr>
          <w:rStyle w:val="FootnoteReference"/>
        </w:rPr>
        <w:footnoteReference w:id="1"/>
      </w:r>
      <w:r w:rsidRPr="008C71F8">
        <w:t xml:space="preserve"> och rådets förordning (EU) 2020/1998</w:t>
      </w:r>
      <w:r w:rsidRPr="008C71F8">
        <w:rPr>
          <w:rStyle w:val="FootnoteReference"/>
        </w:rPr>
        <w:footnoteReference w:id="2"/>
      </w:r>
      <w:r w:rsidRPr="008C71F8">
        <w:t xml:space="preserve"> av den 7 december 2020 om restriktiva åtgärder mot allvarliga kränkningar av och brott mot de mänskliga rättigheterna,</w:t>
      </w:r>
    </w:p>
    <w:p w14:paraId="685C633F" w14:textId="77777777" w:rsidR="00C56434" w:rsidRPr="008C71F8" w:rsidRDefault="00C56434" w:rsidP="00C56434">
      <w:pPr>
        <w:pStyle w:val="NormalHanging12a"/>
        <w:keepNext/>
        <w:keepLines/>
        <w:widowControl/>
      </w:pPr>
      <w:r w:rsidRPr="008C71F8">
        <w:t>–</w:t>
      </w:r>
      <w:r w:rsidRPr="008C71F8">
        <w:tab/>
        <w:t>med beaktande av rådets genomförandeförordningar (EU) 2021/371 av den 2 mars 2021</w:t>
      </w:r>
      <w:r w:rsidRPr="008C71F8">
        <w:rPr>
          <w:rStyle w:val="FootnoteReference"/>
        </w:rPr>
        <w:footnoteReference w:id="3"/>
      </w:r>
      <w:r w:rsidRPr="008C71F8">
        <w:t>, (EU) 2021/478 av den 22 mars 2021</w:t>
      </w:r>
      <w:r w:rsidRPr="008C71F8">
        <w:rPr>
          <w:rStyle w:val="FootnoteReference"/>
        </w:rPr>
        <w:footnoteReference w:id="4"/>
      </w:r>
      <w:r w:rsidRPr="008C71F8">
        <w:t xml:space="preserve"> och (EU) 2025/1111 av den 28 maj 2025</w:t>
      </w:r>
      <w:r w:rsidRPr="008C71F8">
        <w:rPr>
          <w:rStyle w:val="FootnoteReference"/>
        </w:rPr>
        <w:footnoteReference w:id="5"/>
      </w:r>
      <w:r w:rsidRPr="008C71F8">
        <w:t xml:space="preserve"> om genomförande av förordning (EU) 2020/1998 om restriktiva åtgärder mot allvarliga kränkningar av och brott mot de mänskliga rättigheterna,</w:t>
      </w:r>
    </w:p>
    <w:p w14:paraId="3B58580E" w14:textId="77777777" w:rsidR="00C56434" w:rsidRPr="008C71F8" w:rsidRDefault="00C56434" w:rsidP="00C56434">
      <w:pPr>
        <w:pStyle w:val="NormalHanging12a"/>
      </w:pPr>
      <w:r w:rsidRPr="008C71F8">
        <w:t>–</w:t>
      </w:r>
      <w:r w:rsidRPr="008C71F8">
        <w:tab/>
        <w:t>med beaktande av rådets beslut om ändring av rådets beslut (Gusp) 2020/1999, inbegripet rådets beslut (Gusp) 2021/372 av den 2 mars 2021</w:t>
      </w:r>
      <w:r w:rsidRPr="008C71F8">
        <w:rPr>
          <w:rStyle w:val="FootnoteReference"/>
        </w:rPr>
        <w:footnoteReference w:id="6"/>
      </w:r>
      <w:r w:rsidRPr="008C71F8">
        <w:t>, (Gusp) 2021/481 av den 22 mars 2021</w:t>
      </w:r>
      <w:r w:rsidRPr="008C71F8">
        <w:rPr>
          <w:rStyle w:val="FootnoteReference"/>
        </w:rPr>
        <w:footnoteReference w:id="7"/>
      </w:r>
      <w:r w:rsidRPr="008C71F8">
        <w:t>, (Gusp) 2021/2197 av den 13 december 2021</w:t>
      </w:r>
      <w:r w:rsidRPr="008C71F8">
        <w:rPr>
          <w:rStyle w:val="FootnoteReference"/>
        </w:rPr>
        <w:footnoteReference w:id="8"/>
      </w:r>
      <w:r w:rsidRPr="008C71F8">
        <w:t>, (Gusp) 2023/1504 av den 20 juli 2023</w:t>
      </w:r>
      <w:r w:rsidRPr="008C71F8">
        <w:rPr>
          <w:rStyle w:val="FootnoteReference"/>
        </w:rPr>
        <w:footnoteReference w:id="9"/>
      </w:r>
      <w:r w:rsidRPr="008C71F8">
        <w:t>, (Gusp) 2023/1716 av den 8 september 2023</w:t>
      </w:r>
      <w:r w:rsidRPr="008C71F8">
        <w:rPr>
          <w:rStyle w:val="FootnoteReference"/>
        </w:rPr>
        <w:footnoteReference w:id="10"/>
      </w:r>
      <w:r w:rsidRPr="008C71F8">
        <w:t>, (Gusp) 2024/1025 av den 4 april 2024</w:t>
      </w:r>
      <w:r w:rsidRPr="008C71F8">
        <w:rPr>
          <w:rStyle w:val="FootnoteReference"/>
        </w:rPr>
        <w:footnoteReference w:id="11"/>
      </w:r>
      <w:r w:rsidRPr="008C71F8">
        <w:t>, (Gusp) 2024/1074 av den 4 april 2024</w:t>
      </w:r>
      <w:r w:rsidRPr="008C71F8">
        <w:rPr>
          <w:rStyle w:val="FootnoteReference"/>
        </w:rPr>
        <w:footnoteReference w:id="12"/>
      </w:r>
      <w:r w:rsidRPr="008C71F8">
        <w:t>, (Gusp) 2024/1175 av den 19 april 2024</w:t>
      </w:r>
      <w:r w:rsidRPr="008C71F8">
        <w:rPr>
          <w:rStyle w:val="FootnoteReference"/>
        </w:rPr>
        <w:footnoteReference w:id="13"/>
      </w:r>
      <w:r w:rsidRPr="008C71F8">
        <w:t>, (Gusp) 2024/1967 av den 15 juli 2024</w:t>
      </w:r>
      <w:r w:rsidRPr="008C71F8">
        <w:rPr>
          <w:rStyle w:val="FootnoteReference"/>
        </w:rPr>
        <w:footnoteReference w:id="14"/>
      </w:r>
      <w:r w:rsidRPr="008C71F8">
        <w:t>, (Gusp) 2024/3004 av den 2 december 2024</w:t>
      </w:r>
      <w:r w:rsidRPr="008C71F8">
        <w:rPr>
          <w:rStyle w:val="FootnoteReference"/>
        </w:rPr>
        <w:footnoteReference w:id="15"/>
      </w:r>
      <w:r w:rsidRPr="008C71F8">
        <w:t>, (Gusp) 2025/346 av den 18 februari 2025</w:t>
      </w:r>
      <w:r w:rsidRPr="008C71F8">
        <w:rPr>
          <w:rStyle w:val="FootnoteReference"/>
        </w:rPr>
        <w:footnoteReference w:id="16"/>
      </w:r>
      <w:r w:rsidRPr="008C71F8">
        <w:t xml:space="preserve"> och (Gusp) 2025/1110 av den 27 maj 2025</w:t>
      </w:r>
      <w:r w:rsidRPr="008C71F8">
        <w:rPr>
          <w:rStyle w:val="FootnoteReference"/>
        </w:rPr>
        <w:footnoteReference w:id="17"/>
      </w:r>
      <w:r w:rsidRPr="008C71F8">
        <w:t>,</w:t>
      </w:r>
    </w:p>
    <w:p w14:paraId="4736E7B4" w14:textId="77777777" w:rsidR="00C56434" w:rsidRPr="008C71F8" w:rsidRDefault="00C56434" w:rsidP="00C56434">
      <w:pPr>
        <w:pStyle w:val="NormalHanging12a"/>
      </w:pPr>
      <w:r w:rsidRPr="008C71F8">
        <w:t>–</w:t>
      </w:r>
      <w:r w:rsidRPr="008C71F8">
        <w:tab/>
        <w:t>med beaktande av sin resolution av den 8 juli 2021 om EU:s globala system för människorättsliga sanktioner (EU:s Magnitskijlag)</w:t>
      </w:r>
      <w:r w:rsidRPr="008C71F8">
        <w:rPr>
          <w:rStyle w:val="FootnoteReference"/>
        </w:rPr>
        <w:footnoteReference w:id="18"/>
      </w:r>
      <w:r w:rsidRPr="008C71F8">
        <w:t xml:space="preserve"> och sin resolution av den 2 april 2025 om mänskliga rättigheter och demokrati i världen och Europeiska unionens politik på området – årsrapport 2024</w:t>
      </w:r>
      <w:r w:rsidRPr="008C71F8">
        <w:rPr>
          <w:rStyle w:val="FootnoteReference"/>
        </w:rPr>
        <w:footnoteReference w:id="19"/>
      </w:r>
      <w:r w:rsidRPr="008C71F8">
        <w:t>,</w:t>
      </w:r>
    </w:p>
    <w:p w14:paraId="2063BD55" w14:textId="77777777" w:rsidR="00C56434" w:rsidRPr="008C71F8" w:rsidRDefault="00C56434" w:rsidP="00C56434">
      <w:pPr>
        <w:pStyle w:val="NormalHanging12a"/>
      </w:pPr>
      <w:r w:rsidRPr="008C71F8">
        <w:t>–</w:t>
      </w:r>
      <w:r w:rsidRPr="008C71F8">
        <w:tab/>
        <w:t>med beaktande av rådets slutsatser av den 18 november 2020 om EU:s handlingsplan för mänskliga rättigheter och demokrati 2020–2024, som har förlängts till 2027,</w:t>
      </w:r>
    </w:p>
    <w:p w14:paraId="2D6330A9" w14:textId="77777777" w:rsidR="00C56434" w:rsidRPr="008C71F8" w:rsidRDefault="00C56434" w:rsidP="00C56434">
      <w:pPr>
        <w:pStyle w:val="NormalHanging12a"/>
      </w:pPr>
      <w:r w:rsidRPr="008C71F8">
        <w:t>–</w:t>
      </w:r>
      <w:r w:rsidRPr="008C71F8">
        <w:tab/>
        <w:t>med beaktande av rådets beslut (Gusp) 2023/2721 av den 4 december 2023 om ändring av beslut (Gusp) 2020/1999 om restriktiva åtgärder mot allvarliga kränkningar av och brott mot de mänskliga rättigheterna</w:t>
      </w:r>
      <w:r w:rsidRPr="008C71F8">
        <w:rPr>
          <w:rStyle w:val="FootnoteReference"/>
        </w:rPr>
        <w:footnoteReference w:id="20"/>
      </w:r>
      <w:r w:rsidRPr="008C71F8">
        <w:t xml:space="preserve">, vilket förlängde det globala EU-systemet för sanktioner avseende mänskliga rättigheter (EU:s Magnitskijlag) med tre år, till </w:t>
      </w:r>
      <w:r w:rsidRPr="008C71F8">
        <w:lastRenderedPageBreak/>
        <w:t>den 8 december 2026,</w:t>
      </w:r>
    </w:p>
    <w:p w14:paraId="514E8182" w14:textId="77777777" w:rsidR="00C56434" w:rsidRPr="008C71F8" w:rsidRDefault="00C56434" w:rsidP="00C56434">
      <w:pPr>
        <w:pStyle w:val="NormalHanging12a"/>
      </w:pPr>
      <w:r w:rsidRPr="008C71F8">
        <w:t>–</w:t>
      </w:r>
      <w:r w:rsidRPr="008C71F8">
        <w:tab/>
        <w:t>med beaktande av artikel 55 i arbetsordningen,</w:t>
      </w:r>
    </w:p>
    <w:p w14:paraId="4BCB4852" w14:textId="77777777" w:rsidR="00C56434" w:rsidRPr="008C71F8" w:rsidRDefault="00C56434" w:rsidP="00C56434">
      <w:pPr>
        <w:pStyle w:val="NormalHanging12a"/>
      </w:pPr>
      <w:r w:rsidRPr="008C71F8">
        <w:t>–</w:t>
      </w:r>
      <w:r w:rsidRPr="008C71F8">
        <w:tab/>
        <w:t>med beaktande av betänkandet från utskottet för utrikesfrågor (A10-0266/2025), och av följande skäl:</w:t>
      </w:r>
    </w:p>
    <w:p w14:paraId="50A24170" w14:textId="77777777" w:rsidR="00C56434" w:rsidRPr="008C71F8" w:rsidRDefault="00C56434" w:rsidP="00C56434">
      <w:pPr>
        <w:pStyle w:val="NormalHanging12a"/>
        <w:keepNext/>
        <w:keepLines/>
        <w:widowControl/>
      </w:pPr>
      <w:r w:rsidRPr="008C71F8">
        <w:t>A.</w:t>
      </w:r>
      <w:r w:rsidRPr="008C71F8">
        <w:tab/>
        <w:t>Enligt artikel 21 i EU-fördraget ska unionens åtgärder utgå från principerna om ”demokrati, rättsstaten, de mänskliga rättigheternas och grundläggande friheternas universalitet och odelbarhet, respekt för människors värde, jämlikhet och solidaritet samt respekt för principerna i Förenta nationernas stadga och i folkrätten”.</w:t>
      </w:r>
    </w:p>
    <w:p w14:paraId="7BB542BF" w14:textId="77777777" w:rsidR="00C56434" w:rsidRPr="008C71F8" w:rsidRDefault="00C56434" w:rsidP="00C56434">
      <w:pPr>
        <w:pStyle w:val="NormalHanging12a"/>
      </w:pPr>
      <w:r w:rsidRPr="008C71F8">
        <w:t>B.</w:t>
      </w:r>
      <w:r w:rsidRPr="008C71F8">
        <w:tab/>
        <w:t>EU:s Magnitskijlag, som antogs i december 2020, gör det möjligt för EU att införa restriktiva åtgärder mot enskilda personer och enheter som är ansvariga för allvarliga kränkningar av de mänskliga rättigheterna i hela världen. Vissa EU-medlemsstater har antagit sina egna nationella lagar av Magnitskijtyp, och de är viktiga verktyg som kompletterar EU:s sanktioner. USA, Kanada, Storbritannien, Australien och andra likasinnade länder har antagit liknande sanktionssystem. Samarbete och samordning mellan likasinnade länder i fråga om sanktioner ökar deras effektivitet.</w:t>
      </w:r>
    </w:p>
    <w:p w14:paraId="73CE8A27" w14:textId="6E926D4D" w:rsidR="00C56434" w:rsidRPr="008C71F8" w:rsidRDefault="00C56434" w:rsidP="00C56434">
      <w:pPr>
        <w:pStyle w:val="NormalHanging12a"/>
      </w:pPr>
      <w:r w:rsidRPr="008C71F8">
        <w:t>C.</w:t>
      </w:r>
      <w:r w:rsidRPr="008C71F8">
        <w:tab/>
        <w:t xml:space="preserve">I ett enhälligt avgörande av sju domare i målet Magnitskij m.fl. mot Ryssland (ansökningarna nr 32631/09 och 53799/12) av den 27 augusti 2019 slog </w:t>
      </w:r>
      <w:proofErr w:type="gramStart"/>
      <w:r w:rsidRPr="008C71F8">
        <w:t>Europeiska</w:t>
      </w:r>
      <w:proofErr w:type="gramEnd"/>
      <w:r w:rsidRPr="008C71F8">
        <w:t> domstolen för de mänskliga rättigheterna fast att Ryssland var ansvarigt för Sergej Magnitskijs död i fängelset och att han hade utsatts för uppsåtliga våldshandlingar som utgjorde omänsklig och förnedrande behandling. Trots utredningar av frihetsberövandet, tortyren, det olagliga åtalet och dödsfallet har ingen ställts till straffrättsligt ansvar.</w:t>
      </w:r>
    </w:p>
    <w:p w14:paraId="5596E23E" w14:textId="77777777" w:rsidR="00C56434" w:rsidRPr="008C71F8" w:rsidRDefault="00C56434" w:rsidP="00C56434">
      <w:pPr>
        <w:pStyle w:val="NormalHanging12a"/>
      </w:pPr>
      <w:r w:rsidRPr="008C71F8">
        <w:t>D.</w:t>
      </w:r>
      <w:r w:rsidRPr="008C71F8">
        <w:tab/>
        <w:t>I sin resolution av den 8 juli 2021 om EU:s Magnitskijlag välkomnade parlamentet antagandet av sanktionssystemet som ett viktigt komplement till EU:s verktyg för mänskliga rättigheter och utrikespolitik.</w:t>
      </w:r>
    </w:p>
    <w:p w14:paraId="187249E7" w14:textId="77777777" w:rsidR="00C56434" w:rsidRPr="008C71F8" w:rsidRDefault="00C56434" w:rsidP="00C56434">
      <w:pPr>
        <w:pStyle w:val="NormalHanging12a"/>
      </w:pPr>
      <w:r w:rsidRPr="008C71F8">
        <w:t>E.</w:t>
      </w:r>
      <w:r w:rsidRPr="008C71F8">
        <w:tab/>
        <w:t>EU:s Magnitskijlag är tillämplig på många olika typer av kränkningar av de mänskliga rättigheterna, och personer och enheter som uppförs på förteckningen kan omfatta förövare, möjliggörare och tredje parter som tillhandahåller material eller tekniskt stöd för förtryck.</w:t>
      </w:r>
    </w:p>
    <w:p w14:paraId="7389F38A" w14:textId="027820A2" w:rsidR="00C56434" w:rsidRPr="008C71F8" w:rsidRDefault="00C56434" w:rsidP="00C56434">
      <w:pPr>
        <w:pStyle w:val="NormalHanging12a"/>
      </w:pPr>
      <w:r w:rsidRPr="008C71F8">
        <w:t>F.</w:t>
      </w:r>
      <w:r w:rsidRPr="008C71F8">
        <w:tab/>
        <w:t xml:space="preserve">EU:s Magnitskijlag riktar in sig på enskilda förövare och enheter i stället för breda ekonomiska sektorer, vilket begränsar den indirekta skadan för befolkningen i allmänhet och skyddar tillgången till livsmedel, läkemedel och offentliga tjänster. </w:t>
      </w:r>
    </w:p>
    <w:p w14:paraId="0E50E00F" w14:textId="77777777" w:rsidR="00C56434" w:rsidRPr="008C71F8" w:rsidRDefault="00C56434" w:rsidP="00C56434">
      <w:pPr>
        <w:pStyle w:val="NormalHanging12a"/>
      </w:pPr>
      <w:r w:rsidRPr="008C71F8">
        <w:t>G.</w:t>
      </w:r>
      <w:r w:rsidRPr="008C71F8">
        <w:tab/>
        <w:t>EU:s Magnitskijlag täcker även utbredda kränkningar eller övergrepp och systematiska eller allvarliga farhågor med avseende på de mål för den gemensamma utrikes- och säkerhetspolitiken som anges i artikel 21 i EU-fördraget, såsom tortyr och annan grym, omänsklig eller förnedrande behandling eller bestraffning, slaveri, utomrättsliga, summariska eller godtyckliga avrättningar och mord, påtvingade försvinnanden, godtyckliga gripanden eller frihetsberövanden, människohandel, sexuellt och könsrelaterat våld, kränkningar av eller brott mot friheten att delta i fredliga sammankomster och föreningsfriheten, kränkningar av eller brott mot åsikts- och yttrandefriheten samt kränkningar av eller brott mot religions- och trosfriheten.</w:t>
      </w:r>
    </w:p>
    <w:p w14:paraId="4FB05AB8" w14:textId="77777777" w:rsidR="00C56434" w:rsidRPr="008C71F8" w:rsidRDefault="00C56434" w:rsidP="00C56434">
      <w:pPr>
        <w:pStyle w:val="NormalHanging12a"/>
      </w:pPr>
      <w:r w:rsidRPr="008C71F8">
        <w:t>H.</w:t>
      </w:r>
      <w:r w:rsidRPr="008C71F8">
        <w:tab/>
        <w:t xml:space="preserve">Registreringarna i förteckningen enligt EU:s Magnitskijlag är en form av internationellt </w:t>
      </w:r>
      <w:r w:rsidRPr="008C71F8">
        <w:lastRenderedPageBreak/>
        <w:t>erkännande för offer för kränkningar av de mänskliga rättigheterna.</w:t>
      </w:r>
    </w:p>
    <w:p w14:paraId="3B951252" w14:textId="77777777" w:rsidR="00C56434" w:rsidRPr="008C71F8" w:rsidRDefault="00C56434" w:rsidP="00C56434">
      <w:pPr>
        <w:pStyle w:val="NormalHanging12a"/>
      </w:pPr>
      <w:r w:rsidRPr="008C71F8">
        <w:t>I.</w:t>
      </w:r>
      <w:r w:rsidRPr="008C71F8">
        <w:tab/>
        <w:t xml:space="preserve">Transnationellt förtryck har ännu inte förts upp på förteckningen över allvarliga kränkningar av de mänskliga rättigheterna som föranleder sanktioner enligt EU:s Magnitskijlag. </w:t>
      </w:r>
    </w:p>
    <w:p w14:paraId="60ECA695" w14:textId="77777777" w:rsidR="00C56434" w:rsidRPr="008C71F8" w:rsidRDefault="00C56434" w:rsidP="00C56434">
      <w:pPr>
        <w:pStyle w:val="NormalHanging12a"/>
      </w:pPr>
      <w:r w:rsidRPr="008C71F8">
        <w:t>J.</w:t>
      </w:r>
      <w:r w:rsidRPr="008C71F8">
        <w:tab/>
        <w:t>I flera av parlamentets resolutioner har man krävt att sanktionsinstrument ska användas på ett flexiblare sätt och oftare i fall av centrala internationella brott eller allvarliga kränkningar av de mänskliga rättigheterna.</w:t>
      </w:r>
    </w:p>
    <w:p w14:paraId="71BF9750" w14:textId="77777777" w:rsidR="00C56434" w:rsidRPr="008C71F8" w:rsidRDefault="00C56434" w:rsidP="00C56434">
      <w:pPr>
        <w:pStyle w:val="NormalHanging12a"/>
      </w:pPr>
      <w:r w:rsidRPr="008C71F8">
        <w:t>K.</w:t>
      </w:r>
      <w:r w:rsidRPr="008C71F8">
        <w:tab/>
        <w:t>Den 4 november 2025 hade 168 registreringar gjorts i förteckningen enligt EU:s Magnitskijlag (131 enskilda personer och 37 enheter). Förteckningen med registreringar inom ramen för detta system har vuxit, och mycket är okänt om dess inverkan och effektivitet.</w:t>
      </w:r>
    </w:p>
    <w:p w14:paraId="5E1CDB8F" w14:textId="77777777" w:rsidR="00C56434" w:rsidRPr="008C71F8" w:rsidRDefault="00C56434" w:rsidP="00C56434">
      <w:pPr>
        <w:pStyle w:val="NormalHanging12a"/>
      </w:pPr>
      <w:r w:rsidRPr="008C71F8">
        <w:t>L.</w:t>
      </w:r>
      <w:r w:rsidRPr="008C71F8">
        <w:tab/>
        <w:t>Trots de framsteg som gjorts kvarstår betydande luckor i de transnationella registreringarnas geografiska och tematiska täckning och i fastställandet av riktmärken anpassade efter sanktionernas mål. Trots flera uppmaningar från parlamentet betraktas korruption fortfarande inte som ett brott inom ramen för EU:s Magnitskijlag.</w:t>
      </w:r>
    </w:p>
    <w:p w14:paraId="141FF4C3" w14:textId="77777777" w:rsidR="00C56434" w:rsidRPr="008C71F8" w:rsidRDefault="00C56434" w:rsidP="00C56434">
      <w:pPr>
        <w:pStyle w:val="NormalHanging12a"/>
      </w:pPr>
      <w:r w:rsidRPr="008C71F8">
        <w:t>M.</w:t>
      </w:r>
      <w:r w:rsidRPr="008C71F8">
        <w:tab/>
        <w:t>Registreringarna har främst varit inriktade på kränkningar av den fysiska integriteten och medborgerliga och politiska rättigheter, särskilt från auktoritära regimers sida mot politiska motståndare och aktivister, främst män, snarare än på centrala internationella brott såsom folkmord och brott mot mänskligheten, och kränkningar av socioekonomiska rättigheter på systemnivå.</w:t>
      </w:r>
    </w:p>
    <w:p w14:paraId="28FDA153" w14:textId="77777777" w:rsidR="00C56434" w:rsidRPr="008C71F8" w:rsidRDefault="00C56434" w:rsidP="00C56434">
      <w:pPr>
        <w:pStyle w:val="NormalHanging12a"/>
      </w:pPr>
      <w:r w:rsidRPr="008C71F8">
        <w:t>N.</w:t>
      </w:r>
      <w:r w:rsidRPr="008C71F8">
        <w:tab/>
        <w:t>Registreringarna har, i linje med EU:s strategiska förbindelser och geopolitiska intressen, i stor utsträckning varit geografiskt koncentrerade, vilket har lett till att andra områden och sammanhang inte uppmärksammas tillräckligt.</w:t>
      </w:r>
    </w:p>
    <w:p w14:paraId="2522C7BE" w14:textId="77777777" w:rsidR="00C56434" w:rsidRPr="008C71F8" w:rsidRDefault="00C56434" w:rsidP="00C56434">
      <w:pPr>
        <w:pStyle w:val="NormalHanging12a"/>
      </w:pPr>
      <w:r w:rsidRPr="008C71F8">
        <w:t>O.</w:t>
      </w:r>
      <w:r w:rsidRPr="008C71F8">
        <w:tab/>
        <w:t>Konfidentialiteten i samband med ett eventuellt uppförande på eller avförande från förteckningen är avgörande för att säkerställa effektiviteten för EU:s Magnitskijlag. Parlamentet bör ha en roll i denna process.</w:t>
      </w:r>
    </w:p>
    <w:p w14:paraId="42558EA7" w14:textId="55888B7E" w:rsidR="00C56434" w:rsidRPr="008C71F8" w:rsidRDefault="00C56434" w:rsidP="00C56434">
      <w:pPr>
        <w:pStyle w:val="NormalHanging12a"/>
      </w:pPr>
      <w:r w:rsidRPr="008C71F8">
        <w:t>P.</w:t>
      </w:r>
      <w:r w:rsidRPr="008C71F8">
        <w:tab/>
        <w:t>Parlamentarisk granskning av EU:s Magnitskijlag är nödvändig för att stärka dess legitimitet. Parlamentets resolutioner med rekommendationer om ytterligare registreringar i förteckningen beaktas fortfarande inte tillräckligt av rådet.</w:t>
      </w:r>
    </w:p>
    <w:p w14:paraId="674E7335" w14:textId="77777777" w:rsidR="00C56434" w:rsidRPr="008C71F8" w:rsidRDefault="00C56434" w:rsidP="00C56434">
      <w:pPr>
        <w:pStyle w:val="NormalHanging12a"/>
      </w:pPr>
      <w:r w:rsidRPr="008C71F8">
        <w:t>Q.</w:t>
      </w:r>
      <w:r w:rsidRPr="008C71F8">
        <w:tab/>
        <w:t>EU:s Magnitskijlag föreskriver för närvarande endast frysning av tillgångar och viseringsförbud.</w:t>
      </w:r>
    </w:p>
    <w:p w14:paraId="47A6B097" w14:textId="77777777" w:rsidR="00C56434" w:rsidRPr="008C71F8" w:rsidRDefault="00C56434" w:rsidP="00C56434">
      <w:pPr>
        <w:pStyle w:val="NormalHanging12a"/>
      </w:pPr>
      <w:r w:rsidRPr="008C71F8">
        <w:t xml:space="preserve">R. </w:t>
      </w:r>
      <w:r w:rsidRPr="008C71F8">
        <w:tab/>
        <w:t>Det nuvarande systemet med frysning av tillgångar och viseringsförbud skulle kunna kompletteras med ytterligare åtgärder, såsom restriktioner för finansiella tjänster, offentlig upphandling och deltagande i EU-finansierade projekt, och dess tillämpningsområde bör utvidgas så att det omfattar de närmaste familjemedlemmarna till personer som kränker de mänskliga rättigheterna.</w:t>
      </w:r>
    </w:p>
    <w:p w14:paraId="60D15FC1" w14:textId="77777777" w:rsidR="00C56434" w:rsidRPr="008C71F8" w:rsidRDefault="00C56434" w:rsidP="00C56434">
      <w:pPr>
        <w:pStyle w:val="NormalHanging12a"/>
      </w:pPr>
      <w:r w:rsidRPr="008C71F8">
        <w:t>S.</w:t>
      </w:r>
      <w:r w:rsidRPr="008C71F8">
        <w:tab/>
        <w:t>Kommissionens vägledning är fortfarande otillräcklig för att klargöra räckvidden för förbuden mot att tillhandahålla varje slag av stöd – inklusive tekniskt och materiellt – till personer och enheter som är föremål för sanktioner.</w:t>
      </w:r>
    </w:p>
    <w:p w14:paraId="5B535337" w14:textId="77777777" w:rsidR="00C56434" w:rsidRPr="008C71F8" w:rsidRDefault="00C56434" w:rsidP="00C56434">
      <w:pPr>
        <w:pStyle w:val="NormalHanging12a"/>
      </w:pPr>
      <w:r w:rsidRPr="008C71F8">
        <w:t>T.</w:t>
      </w:r>
      <w:r w:rsidRPr="008C71F8">
        <w:tab/>
        <w:t xml:space="preserve">Vissa kryphål i genomförandet, såsom undantagsklausuler som tillåter avtal ingångna </w:t>
      </w:r>
      <w:r w:rsidRPr="008C71F8">
        <w:lastRenderedPageBreak/>
        <w:t>innan en person eller enhet fördes upp på förteckningen, skapar möjligheter att kringgå sanktioner och minskar sanktionernas effektivitet.</w:t>
      </w:r>
    </w:p>
    <w:p w14:paraId="26AC5899" w14:textId="77777777" w:rsidR="00C56434" w:rsidRPr="008C71F8" w:rsidRDefault="00C56434" w:rsidP="00C56434">
      <w:pPr>
        <w:pStyle w:val="NormalHanging12a"/>
        <w:keepNext/>
        <w:keepLines/>
        <w:widowControl/>
      </w:pPr>
      <w:r w:rsidRPr="008C71F8">
        <w:t>U.</w:t>
      </w:r>
      <w:r w:rsidRPr="008C71F8">
        <w:tab/>
        <w:t>EU:s befintliga system för geografiska sanktioner omfattar bredare restriktioner som skulle kunna komplettera EU:s Magnitskijlag genom registreringar med korshänvisningar.</w:t>
      </w:r>
    </w:p>
    <w:p w14:paraId="3CCFA379" w14:textId="77777777" w:rsidR="00C56434" w:rsidRPr="008C71F8" w:rsidRDefault="00C56434" w:rsidP="00C56434">
      <w:pPr>
        <w:pStyle w:val="NormalHanging12a"/>
      </w:pPr>
      <w:r w:rsidRPr="008C71F8">
        <w:t>V.</w:t>
      </w:r>
      <w:r w:rsidRPr="008C71F8">
        <w:tab/>
        <w:t>EU:s Magnitskijlag har i stor utsträckning fokuserat på tjänstemän på lägre nivå, medan de som innehar verklig politisk och militär makt ofta har sluppit undan sanktioner.</w:t>
      </w:r>
    </w:p>
    <w:p w14:paraId="04BF3426" w14:textId="77777777" w:rsidR="00C56434" w:rsidRPr="008C71F8" w:rsidRDefault="00C56434" w:rsidP="00C56434">
      <w:pPr>
        <w:pStyle w:val="NormalHanging12a"/>
      </w:pPr>
      <w:r w:rsidRPr="008C71F8">
        <w:t>W.</w:t>
      </w:r>
      <w:r w:rsidRPr="008C71F8">
        <w:tab/>
        <w:t>De registreringar som gjorts i förteckningen enligt EU:s Magnitskijlag har hittills inte riktat in sig på några aktörer som är ansvariga för att ha begått några av de centrala internationella brott som erkänns i Romstadgan.</w:t>
      </w:r>
    </w:p>
    <w:p w14:paraId="36404B74" w14:textId="77777777" w:rsidR="00C56434" w:rsidRPr="008C71F8" w:rsidRDefault="00C56434" w:rsidP="00C56434">
      <w:pPr>
        <w:pStyle w:val="NormalHanging12a"/>
      </w:pPr>
      <w:r w:rsidRPr="008C71F8">
        <w:t>X.</w:t>
      </w:r>
      <w:r w:rsidRPr="008C71F8">
        <w:tab/>
        <w:t>I avsaknad av en strukturerad mekanism för input från det civila samhällets aktörer fortsätter dessa att samarbeta informellt med EU-institutionerna genom att föreslå namn för uppförande på förteckningen. Europeiska utrikestjänsten saknar resurser för att bedöma, utreda och reagera på den information som den tar emot.</w:t>
      </w:r>
    </w:p>
    <w:p w14:paraId="5B9B7D14" w14:textId="77777777" w:rsidR="00C56434" w:rsidRPr="008C71F8" w:rsidRDefault="00C56434" w:rsidP="00C56434">
      <w:pPr>
        <w:pStyle w:val="NormalHanging12a"/>
      </w:pPr>
      <w:r w:rsidRPr="008C71F8">
        <w:t>Y.</w:t>
      </w:r>
      <w:r w:rsidRPr="008C71F8">
        <w:tab/>
        <w:t>Förbättrad transparens, samordning med mekanismer för ansvarsskyldighet, samordning med internationella aktörer och likasinnade länder och införande av registreringar på FN-nivå skulle stärka sanktionssystemets effektivitet.</w:t>
      </w:r>
    </w:p>
    <w:p w14:paraId="771A3D3B" w14:textId="77777777" w:rsidR="00C56434" w:rsidRPr="008C71F8" w:rsidRDefault="00C56434" w:rsidP="00C56434">
      <w:pPr>
        <w:pStyle w:val="NormalHanging12a"/>
      </w:pPr>
      <w:r w:rsidRPr="008C71F8">
        <w:t>Z.</w:t>
      </w:r>
      <w:r w:rsidRPr="008C71F8">
        <w:tab/>
        <w:t>Vissa medlemsstater har underlåtit att agera i enlighet med EU:s sanktioner genom att tillåta personer som är föremål för sanktioner att resa in på EU:s territorium. En sådan underlåtenhet att agera i enlighet med sanktionerna skadar avsevärt EU:s trovärdighet och undergräver effektiviteten i EU:s sanktionssystem.</w:t>
      </w:r>
    </w:p>
    <w:p w14:paraId="44ABFFE3" w14:textId="77777777" w:rsidR="00C56434" w:rsidRPr="008C71F8" w:rsidRDefault="00C56434" w:rsidP="00C56434">
      <w:pPr>
        <w:pStyle w:val="NormalHanging12a"/>
      </w:pPr>
      <w:r w:rsidRPr="008C71F8">
        <w:t xml:space="preserve">AA. </w:t>
      </w:r>
      <w:r w:rsidRPr="008C71F8">
        <w:tab/>
        <w:t>Genomförandet sker till stor del på nationell nivå, och varje medlemsstat ansvarar för att verkställa sanktionerna på sitt eget territorium. Detta skapar en risk för svaga länkar där personer eller bolag kan försöka kringgå sanktionerna genom att flytta pengar eller verksamhet till medlemsstater med långsammare eller mindre strikt genomförande. EU</w:t>
      </w:r>
      <w:r w:rsidRPr="008C71F8">
        <w:noBreakHyphen/>
        <w:t>institutionerna har flera gånger lyft behovet av enhetligare och mer samordnad tillämpning för att göra sanktionerna verkligt effektiva.</w:t>
      </w:r>
    </w:p>
    <w:p w14:paraId="15848042" w14:textId="77777777" w:rsidR="00C56434" w:rsidRPr="008C71F8" w:rsidRDefault="00C56434" w:rsidP="00C56434">
      <w:pPr>
        <w:pStyle w:val="NormalHanging12a"/>
      </w:pPr>
      <w:r w:rsidRPr="008C71F8">
        <w:t>AB.</w:t>
      </w:r>
      <w:r w:rsidRPr="008C71F8">
        <w:tab/>
        <w:t>Parlamentet har i flera resolutioner efterlyst införande av omröstning med kvalificerad majoritet för antagande av sanktioner enligt EU:s Magnitskijlag.</w:t>
      </w:r>
    </w:p>
    <w:p w14:paraId="173920D2" w14:textId="77777777" w:rsidR="00C56434" w:rsidRPr="008C71F8" w:rsidRDefault="00C56434" w:rsidP="00C56434">
      <w:pPr>
        <w:pStyle w:val="NormalHanging12a"/>
      </w:pPr>
      <w:r w:rsidRPr="008C71F8">
        <w:t>AC.</w:t>
      </w:r>
      <w:r w:rsidRPr="008C71F8">
        <w:tab/>
        <w:t>Förlängningen av tillämpligheten för EU:s Magnitskijlag till december 2026 ger en möjlighet att se över systemet.</w:t>
      </w:r>
    </w:p>
    <w:p w14:paraId="05ACDEA7" w14:textId="77777777" w:rsidR="00C56434" w:rsidRPr="008C71F8" w:rsidRDefault="00C56434" w:rsidP="00C56434">
      <w:pPr>
        <w:pStyle w:val="NormalHanging12a"/>
      </w:pPr>
      <w:r w:rsidRPr="008C71F8">
        <w:t>1.</w:t>
      </w:r>
      <w:r w:rsidRPr="008C71F8">
        <w:tab/>
        <w:t>Europaparlamentet upprepar sitt stöd för EU:s Magnitskijlag som ett oumbärligt utrikespolitiskt verktyg för att stärka de mänskliga rättigheterna i hela världen och EU:s verktygslåda för de mänskliga rättigheterna, särskilt med tanke på dess kapacitet att bidra till att ändra beteendet hos de personer och enheter som är föremål för sanktioner och till insatser för att ställa direkta förövare, möjliggörare, anstiftare och indirekta understödjare av allvarliga kränkningar av de mänskliga rättigheterna till svars, liksom de som direkt eller indirekt gynnas av sådana kränkningar, inbegripet deras närmaste familjemedlemmar.</w:t>
      </w:r>
      <w:r w:rsidRPr="008C71F8">
        <w:rPr>
          <w:color w:val="538135" w:themeColor="accent6" w:themeShade="BF"/>
        </w:rPr>
        <w:t xml:space="preserve"> </w:t>
      </w:r>
      <w:r w:rsidRPr="008C71F8">
        <w:t>Parlamentet betonar att instrumentet är utformat för att inte påverka befolkningens åtnjutande av mänskliga rättigheter.</w:t>
      </w:r>
    </w:p>
    <w:p w14:paraId="53E64F49" w14:textId="77777777" w:rsidR="00C56434" w:rsidRPr="008C71F8" w:rsidRDefault="00C56434" w:rsidP="00C56434">
      <w:pPr>
        <w:pStyle w:val="NormalHanging12a"/>
        <w:keepNext/>
        <w:keepLines/>
        <w:widowControl/>
      </w:pPr>
      <w:r w:rsidRPr="008C71F8">
        <w:lastRenderedPageBreak/>
        <w:t>2.</w:t>
      </w:r>
      <w:r w:rsidRPr="008C71F8">
        <w:tab/>
        <w:t>Europaparlamentet bekräftar sitt orubbliga engagemang för att bekämpa straffrihet för allvarliga kränkningar av och brott mot de mänskliga rättigheterna i hela världen genom en ändamålsenlig användning av EU:s befintliga instrument och verktyg för sanktioner, inbegripet EU:s Magnitskijlag. Parlamentet bekräftar också sitt orubbliga engagemang för det internationella rättssystemet, som står inför aldrig tidigare skådade utmaningar, inbegripet grundlösa sanktioner mot domare och personal vid Internationella brottmålsdomstolen (ICC), varav vissa är EU-medborgare. I detta avseende uppmanar parlamentet eftertryckligen EU att aktivera sin blockerande stadga</w:t>
      </w:r>
      <w:r w:rsidRPr="008C71F8">
        <w:rPr>
          <w:rStyle w:val="FootnoteReference"/>
        </w:rPr>
        <w:footnoteReference w:id="21"/>
      </w:r>
      <w:r w:rsidRPr="008C71F8">
        <w:t xml:space="preserve"> för att begränsa effekterna av dessa sanktioner.</w:t>
      </w:r>
    </w:p>
    <w:p w14:paraId="457C7A36" w14:textId="77777777" w:rsidR="00C56434" w:rsidRPr="008C71F8" w:rsidRDefault="00C56434" w:rsidP="00C56434">
      <w:pPr>
        <w:pStyle w:val="NormalHanging12a"/>
        <w:rPr>
          <w:b/>
          <w:bCs/>
          <w:i/>
          <w:iCs/>
          <w:szCs w:val="24"/>
        </w:rPr>
      </w:pPr>
      <w:r w:rsidRPr="008C71F8">
        <w:rPr>
          <w:b/>
          <w:i/>
        </w:rPr>
        <w:t>Politisk samstämdhet och strategisk effektivitet</w:t>
      </w:r>
    </w:p>
    <w:p w14:paraId="53694986" w14:textId="77777777" w:rsidR="00C56434" w:rsidRPr="008C71F8" w:rsidRDefault="00C56434" w:rsidP="00C56434">
      <w:pPr>
        <w:pStyle w:val="NormalHanging12a"/>
      </w:pPr>
      <w:r w:rsidRPr="008C71F8">
        <w:t>3.</w:t>
      </w:r>
      <w:r w:rsidRPr="008C71F8">
        <w:tab/>
        <w:t>Europaparlamentet efterlyser en omfattande konsekvensbedömning av EU:s Magnitskijlag och hur den samspelar med EU:s landsspecifika sanktioner och EU:s övriga övergripande restriktiva åtgärder, i syfte att utvärdera dess samstämdhet, proportionalitet och effektivitet, bland annat när det gäller att ändra beteendet hos dem som förts upp på förteckningen, kartlägga operativa brister och säkerställa en konsekvent och strategisk tillämpning i hela världen. Vidare efterlyser parlamentet en översyn av EU:s Magnitskijlag i enlighet med resultaten av nämnda konsekvensbedömning.</w:t>
      </w:r>
    </w:p>
    <w:p w14:paraId="093686B4" w14:textId="77777777" w:rsidR="00C56434" w:rsidRPr="008C71F8" w:rsidRDefault="00C56434" w:rsidP="00C56434">
      <w:pPr>
        <w:pStyle w:val="NormalHanging12a"/>
      </w:pPr>
      <w:r w:rsidRPr="008C71F8">
        <w:t>4.</w:t>
      </w:r>
      <w:r w:rsidRPr="008C71F8">
        <w:tab/>
        <w:t>Europaparlamentet efterlyser en kontinuerlig och systematisk översyn av registreringarna i förteckningen på grundval av EU:s Magnitskijlag minst en gång var 12:e månad, för att säkerställa att de är konsekventa, proportionella och överensstämmande med den senaste informationen och föreliggande rättsliga beslut.</w:t>
      </w:r>
    </w:p>
    <w:p w14:paraId="0BDA65E2" w14:textId="77777777" w:rsidR="00C56434" w:rsidRPr="008C71F8" w:rsidRDefault="00C56434" w:rsidP="00C56434">
      <w:pPr>
        <w:pStyle w:val="NormalHanging12a"/>
      </w:pPr>
      <w:r w:rsidRPr="008C71F8">
        <w:t>5.</w:t>
      </w:r>
      <w:r w:rsidRPr="008C71F8">
        <w:tab/>
        <w:t>Europaparlamentet anser att ytterligare information om kriterierna för avförande från förteckningen bör göras tillgänglig för att öka den rättsliga klarheten, rättssäkerheten, transparensen och ansvarsskyldigheten.</w:t>
      </w:r>
    </w:p>
    <w:p w14:paraId="5483554F" w14:textId="77777777" w:rsidR="00C56434" w:rsidRPr="008C71F8" w:rsidRDefault="00C56434" w:rsidP="00C56434">
      <w:pPr>
        <w:pStyle w:val="NormalHanging12a"/>
      </w:pPr>
      <w:r w:rsidRPr="008C71F8">
        <w:t>6.</w:t>
      </w:r>
      <w:r w:rsidRPr="008C71F8">
        <w:tab/>
        <w:t>Europaparlamentet upprepar att det är viktigt att EU:s Magnitskijlag är förenlig med och kompletterar EU:s landsspecifika och övergripande restriktiva åtgärder, sektorsspecifika åtgärder och vapenembargon samt befintliga internationella sanktionsramverk.</w:t>
      </w:r>
    </w:p>
    <w:p w14:paraId="4D6C991B" w14:textId="77777777" w:rsidR="00C56434" w:rsidRPr="008C71F8" w:rsidRDefault="00C56434" w:rsidP="00C56434">
      <w:pPr>
        <w:pStyle w:val="NormalHanging12a"/>
      </w:pPr>
      <w:r w:rsidRPr="008C71F8">
        <w:t>7.</w:t>
      </w:r>
      <w:r w:rsidRPr="008C71F8">
        <w:tab/>
        <w:t xml:space="preserve">Europaparlamentet uppmuntrar rådet att sträva efter att anpassa registreringarna i förteckningen enligt EU:s Magnitskijlag efter sanktionsförteckningarna hos likasinnade partner, i synnerhet i G7, och FN:s säkerhetsråd, när detta är politiskt och rättsligt genomförbart, i syfte att stärka den globala legitimiteten och effektiviteten. </w:t>
      </w:r>
    </w:p>
    <w:p w14:paraId="5A3A7FBE" w14:textId="77777777" w:rsidR="00C56434" w:rsidRPr="008C71F8" w:rsidRDefault="00C56434" w:rsidP="00C56434">
      <w:pPr>
        <w:pStyle w:val="NormalHanging12a"/>
      </w:pPr>
      <w:r w:rsidRPr="008C71F8">
        <w:t>8.</w:t>
      </w:r>
      <w:r w:rsidRPr="008C71F8">
        <w:tab/>
        <w:t>Europaparlamentet uppmanar kommissionen och medlemsstaterna att stärka synergierna mellan EU:s Magnitskijlag och internationella mekanismer för ansvarsskyldighet – såsom FN, Internationella brottmålsdomstolen och regionala människorättsdomstolar – för att ge EU:s åtgärder mot allvarliga kränkningar av de mänskliga rättigheterna större effekt.</w:t>
      </w:r>
    </w:p>
    <w:p w14:paraId="11437B2F" w14:textId="77777777" w:rsidR="00C56434" w:rsidRPr="008C71F8" w:rsidRDefault="00C56434" w:rsidP="00C56434">
      <w:pPr>
        <w:pStyle w:val="NormalHanging12a"/>
      </w:pPr>
      <w:r w:rsidRPr="008C71F8">
        <w:t>9.</w:t>
      </w:r>
      <w:r w:rsidRPr="008C71F8">
        <w:tab/>
        <w:t xml:space="preserve">Europaparlamentet understryker att det är viktigt att EU:s kandidatländer och potentiella </w:t>
      </w:r>
      <w:r w:rsidRPr="008C71F8">
        <w:lastRenderedPageBreak/>
        <w:t>kandidatländer anpassar sig till EU:s Magnitskijlag, i linje med respektive länders mer allmänna anpassning till EU:s gemensamma utrikes- och säkerhetspolitik.</w:t>
      </w:r>
    </w:p>
    <w:p w14:paraId="64D987C6" w14:textId="77777777" w:rsidR="00C56434" w:rsidRPr="008C71F8" w:rsidRDefault="00C56434" w:rsidP="00C56434">
      <w:pPr>
        <w:pStyle w:val="NormalHanging12a"/>
      </w:pPr>
      <w:r w:rsidRPr="008C71F8">
        <w:t>10.</w:t>
      </w:r>
      <w:r w:rsidRPr="008C71F8">
        <w:tab/>
        <w:t xml:space="preserve">Europaparlamentet stöder till fullo införande av riktade sanktioner mot korruption inom EU:s ramar, vilket har varit en långvarig prioritering för parlamentet, antingen genom att de inkluderas i EU:s Magnitskijlag eller genom något annat system. Parlamentet rekommenderar att systemets tillämpningsområde utvidgas så att det omfattar storskaliga korruptionsfall och missbruk av statliga upphandlingskontrakt som direkt stöder auktoritära regimer, så att det görs en koppling mellan människorättskränkningar och kleptokratiska metoder. Parlamentet betonar vidare att sanktioner mot korruption bör ta hänsyn till det bredare systemsammanhanget och vara nära kopplade till de övergripande strategierna gentemot respektive aktörer. Parlamentet välkomnar att kommissionen har lagt fram ett förslag om ett system för sanktioner mot korruption, men finner det beklagligt att frågan har blockerats i rådet av vissa medlemsstater. </w:t>
      </w:r>
    </w:p>
    <w:p w14:paraId="083A9EA2" w14:textId="725C33CB" w:rsidR="00C56434" w:rsidRPr="008C71F8" w:rsidRDefault="00C56434" w:rsidP="00C56434">
      <w:pPr>
        <w:pStyle w:val="NormalHanging12a"/>
      </w:pPr>
      <w:r w:rsidRPr="008C71F8">
        <w:t>11.</w:t>
      </w:r>
      <w:r w:rsidRPr="008C71F8">
        <w:tab/>
        <w:t>Europaparlamentet betonar att EU:s Magnitskijlag också bör ta upp kränkningar av de mänskliga rättigheterna som möjliggörs genom digital övervakning, export av spionprogram och annan teknik som används för förtryck samt avsiktlig miljöförstöring med en tydlig avsikt att skada civilbefolkningen. Parlamentet efterlyser uttryckliga registreringar av personer som är inblandade i sådana övergrepp.</w:t>
      </w:r>
    </w:p>
    <w:p w14:paraId="4BE46F50" w14:textId="563BED7A" w:rsidR="00C56434" w:rsidRPr="008C71F8" w:rsidRDefault="00C56434" w:rsidP="00C56434">
      <w:pPr>
        <w:pStyle w:val="NormalHanging12a"/>
      </w:pPr>
      <w:r w:rsidRPr="008C71F8">
        <w:t>12.</w:t>
      </w:r>
      <w:r w:rsidRPr="008C71F8">
        <w:tab/>
        <w:t>Europaparlamentet välkomnar den senaste tidens användning av EU:s Magnitskijlag mot aktörer som är ansvariga för transnationellt förtryck av oliktänkande och människorättsförsvarare, och vill se fler registreringar som ett svar på denna ökande globala trend och för att systematiskt bedöma fall av gränsöverskridande förtryck, inbegripet digital övervakning, trakasserier av personer i exil samt gränsöverskridande hot, desinformation och rättsmissbruk. Parlamentet uppmanar rådet att anta en arbetsdefinition av transnationellt förtryck för att säkerställa ett konsekvent sanktionsbeläggande, även mot icke-statliga ombud såsom privata säkerhetsföretag och diasporaorganisationer. Parlamentet uppmanar EU att intensifiera tillämpningen av sanktioner mot personer och enheter som på ett trovärdigt sätt har dokumenterats som ansvariga för transnationellt förtryck av människorättsförsvarare, inbegripet trakasserier av släktingar, digitala angrepp och hot utomlands.</w:t>
      </w:r>
    </w:p>
    <w:p w14:paraId="158F2E53" w14:textId="77777777" w:rsidR="00C56434" w:rsidRPr="008C71F8" w:rsidRDefault="00C56434" w:rsidP="00C56434">
      <w:pPr>
        <w:pStyle w:val="NormalHanging12a"/>
      </w:pPr>
      <w:r w:rsidRPr="008C71F8">
        <w:t>13.</w:t>
      </w:r>
      <w:r w:rsidRPr="008C71F8">
        <w:tab/>
        <w:t>Europaparlamentet uppmanar eftertryckligen medlemsstaterna att avstå från bilaterala politiska eller diplomatiska åtgärder som undergräver deras åtaganden gentemot internationella straffrättsliga mekanismer, inbegripet Romstadgan, och försvaret av de mänskliga rättigheterna, eller står i strid med EU:s enhetliga hållning i fråga om sanktioner. Parlamentet uppdrar åt vice ordföranden för kommissionen/unionens höga representant för utrikes frågor och säkerhetspolitik att, om denna rekommendation inte beaktas, uppmana de berörda medlemsstaterna att anpassa sina åtgärder och upprätthålla EU:s enighet. Parlamentet uppmanar medlemsstaterna att förbättra samordningen och utnyttja sina egna instrument, såsom universell jurisdiktion och nationella sanktioner, förutsatt att dessa tillämpas på ett samordnat sätt till stöd för EU:s gemensamma mål, i syfte att åstadkomma betydande förändringar och bidra till att målen för EU:s sanktioner uppnås.</w:t>
      </w:r>
    </w:p>
    <w:p w14:paraId="30F0ECF6" w14:textId="77777777" w:rsidR="00C56434" w:rsidRPr="008C71F8" w:rsidRDefault="00C56434" w:rsidP="00C56434">
      <w:pPr>
        <w:pStyle w:val="NormalHanging12a"/>
        <w:keepNext/>
        <w:keepLines/>
        <w:widowControl/>
      </w:pPr>
      <w:r w:rsidRPr="008C71F8">
        <w:lastRenderedPageBreak/>
        <w:t>14.</w:t>
      </w:r>
      <w:r w:rsidRPr="008C71F8">
        <w:tab/>
        <w:t>Europaparlamentet fördömer att vissa EU-medlemsstater har underlåtit att agera i enlighet med EU:s sanktioner genom att tillåta personer som är föremål för sanktioner att resa in på EU:s territorium, så att trovärdigheten och effektiviteten i sanktionerna undergrävts. Parlamentet uppmanar eftertryckligen samtliga EU-medlemsstater att fullt ut och villkorslöst agera i enlighet med EU:s sanktioner. Parlamentet uppmanar kommissionen att, i egenskap av fördragens väktare, se till att EU:s medlemsstater agerar i enlighet med sanktionerna samt kraftfullt och utan diskriminering ta itu med alla fall av bristande efterlevnad från medlemsstaternas sida.</w:t>
      </w:r>
    </w:p>
    <w:p w14:paraId="25BF65CC" w14:textId="77777777" w:rsidR="00C56434" w:rsidRPr="008C71F8" w:rsidRDefault="00C56434" w:rsidP="00C56434">
      <w:pPr>
        <w:pStyle w:val="NormalHanging12a"/>
      </w:pPr>
      <w:r w:rsidRPr="008C71F8">
        <w:t>15.</w:t>
      </w:r>
      <w:r w:rsidRPr="008C71F8">
        <w:tab/>
        <w:t xml:space="preserve">Europaparlamentet betonar att EU:s restriktiva åtgärder kan få full effekt endast om de tolkas, verkställs och genomförs på ett konsekvent, snabbt och enhetligt sätt av alla medlemsstater. Parlamentet noterar skillnaderna mellan medlemsstaterna när det gäller rättsliga ramar, administrativa strukturer och operativa resurser för genomförandet av sanktioner. Parlamentet uppmanar därför kommissionen och medlemsstaterna att vidta nödvändiga åtgärder för att säkerställa en mer harmoniserad och samordnad tillämpning, bland annat genom att stärka kapaciteten för frysning av tillgångar, förbättra informationsutbytet och utveckla gemensamma övervaknings- och verkställighetsmekanismer på EU-nivå. </w:t>
      </w:r>
    </w:p>
    <w:p w14:paraId="3AB10113" w14:textId="77777777" w:rsidR="00C56434" w:rsidRPr="008C71F8" w:rsidRDefault="00C56434" w:rsidP="00C56434">
      <w:pPr>
        <w:pStyle w:val="NormalHanging12a"/>
      </w:pPr>
      <w:r w:rsidRPr="008C71F8">
        <w:t>16.</w:t>
      </w:r>
      <w:r w:rsidRPr="008C71F8">
        <w:tab/>
        <w:t>Europaparlamentet uppmanar eftertryckligen utrikestjänsten att fastställa lagliga sätt att mobilisera de upplupna räntorna från frysta tillgångar tillhörande personer som är föremål för sanktioner enligt EU:s Magnitskijlag, så att de kan användas till förmån för offren för de allvarliga kränkningar av de mänskliga rättigheterna som de personer som är föremål för sanktionerna är ansvariga för. Parlamentet uppmuntrar vidare EU att undersöka möjligheten att inrätta ett särskilt förfarande avseende orättmätig vinning.</w:t>
      </w:r>
    </w:p>
    <w:p w14:paraId="3383180F" w14:textId="77777777" w:rsidR="00C56434" w:rsidRPr="008C71F8" w:rsidRDefault="00C56434" w:rsidP="00C56434">
      <w:pPr>
        <w:pStyle w:val="NormalHanging12a"/>
      </w:pPr>
      <w:r w:rsidRPr="008C71F8">
        <w:t>17.</w:t>
      </w:r>
      <w:r w:rsidRPr="008C71F8">
        <w:tab/>
        <w:t>Europaparlamentet välkomnar varmt rådets antagande av tematiska sanktionspaket inom ramen för EU:s Magnitskijlag. Parlamentet uppmanar med eftertryck rådet att systematiskt och proaktivt anta liknande riktade åtgärder för att ta itu med andra specifika och allvarliga kränkningar av de mänskliga rättigheterna, däribland tortyr, påtvingade försvinnanden, godtyckliga frihetsberövanden och förtryck av det civila samhället och människorättsförsvarare.</w:t>
      </w:r>
    </w:p>
    <w:p w14:paraId="473ECF57" w14:textId="54124F8A" w:rsidR="00C56434" w:rsidRPr="008C71F8" w:rsidRDefault="00C56434" w:rsidP="00C56434">
      <w:pPr>
        <w:pStyle w:val="NormalHanging12a"/>
        <w:rPr>
          <w:bCs/>
          <w:iCs/>
        </w:rPr>
      </w:pPr>
      <w:r w:rsidRPr="008C71F8">
        <w:t>18.</w:t>
      </w:r>
      <w:r w:rsidRPr="008C71F8">
        <w:tab/>
        <w:t>Europaparlamentet upprepar sin uppmaning till rådet att gradvis övergå till omröstning med kvalificerad majoritet för beslut på områden inom den gemensamma utrikes- och säkerhetspolitiken som inte har militära eller försvarsmässiga konsekvenser, såsom sanktioner.</w:t>
      </w:r>
    </w:p>
    <w:p w14:paraId="4FA518EB" w14:textId="77777777" w:rsidR="00C56434" w:rsidRPr="008C71F8" w:rsidRDefault="00C56434" w:rsidP="00C56434">
      <w:pPr>
        <w:pStyle w:val="NormalHanging12a"/>
        <w:rPr>
          <w:b/>
          <w:bCs/>
          <w:i/>
          <w:iCs/>
          <w:szCs w:val="24"/>
        </w:rPr>
      </w:pPr>
      <w:r w:rsidRPr="008C71F8">
        <w:rPr>
          <w:b/>
          <w:i/>
        </w:rPr>
        <w:t>Stärkande av kampen mot straffrihet</w:t>
      </w:r>
    </w:p>
    <w:p w14:paraId="0BB9C0D2" w14:textId="77777777" w:rsidR="00C56434" w:rsidRPr="008C71F8" w:rsidRDefault="00C56434" w:rsidP="00C56434">
      <w:pPr>
        <w:pStyle w:val="NormalHanging12a"/>
      </w:pPr>
      <w:r w:rsidRPr="008C71F8">
        <w:t>19.</w:t>
      </w:r>
      <w:r w:rsidRPr="008C71F8">
        <w:tab/>
        <w:t>Europaparlamentet vill att EU:s sanktionssystem ska vara förenligt med och komplettera internationell straffrätt, internationell humanitär rätt och EU:s politik avseende rättsstatens principer och de grundläggande friheterna, i syfte att stärka kampen mot straffrihet i hela världen.</w:t>
      </w:r>
    </w:p>
    <w:p w14:paraId="7026FCC5" w14:textId="77777777" w:rsidR="00C56434" w:rsidRPr="008C71F8" w:rsidRDefault="00C56434" w:rsidP="006E6D54">
      <w:pPr>
        <w:pStyle w:val="NormalHanging12a"/>
      </w:pPr>
      <w:r w:rsidRPr="008C71F8">
        <w:t>20.</w:t>
      </w:r>
      <w:r w:rsidRPr="008C71F8">
        <w:tab/>
        <w:t>Europaparlamentet uppmanar eftertryckligen EU att strategiskt anpassa registreringarna i förteckningen enligt EU:s Magnitskijlag till nationella och internationella straffrättsliga insatser, bland annat genom att registrera personer som åtalats av internationella domstolar, till exempel Internationella brottmålsdomstolen, förövare av centrala internationella brott samt andra aktörer som hindrar dessa processer för ansvarsutkrävande.</w:t>
      </w:r>
    </w:p>
    <w:p w14:paraId="22BC1285" w14:textId="77777777" w:rsidR="00C56434" w:rsidRPr="008C71F8" w:rsidRDefault="00C56434" w:rsidP="00C56434">
      <w:pPr>
        <w:pStyle w:val="NormalHanging12a"/>
      </w:pPr>
      <w:r w:rsidRPr="008C71F8">
        <w:lastRenderedPageBreak/>
        <w:t>21.</w:t>
      </w:r>
      <w:r w:rsidRPr="008C71F8">
        <w:tab/>
        <w:t>Europaparlamentet understryker att sanktionerna också bör syfta till att säkerställa att de som gjort sig skyldiga till allvarliga kränkningar av de mänskliga rättigheterna och korruption inte förblir anonyma och därmed avslöja de ansvariga.</w:t>
      </w:r>
    </w:p>
    <w:p w14:paraId="241F4306" w14:textId="77777777" w:rsidR="00C56434" w:rsidRPr="008C71F8" w:rsidRDefault="00C56434" w:rsidP="00C56434">
      <w:pPr>
        <w:pStyle w:val="NormalHanging12a"/>
      </w:pPr>
      <w:r w:rsidRPr="008C71F8">
        <w:t>22.</w:t>
      </w:r>
      <w:r w:rsidRPr="008C71F8">
        <w:tab/>
        <w:t>Europaparlamentet uppmanar eftertryckligen rådet att se till att alla regioner i världen omfattas av samma grad av granskning och ges ett likvärdigt engagemang, och att korrigera de rådande geografiska och tematiska obalanserna i de registreringar som gjorts i förteckningen enligt EU:s Magnitskijlag genom att utvidga registreringarna utöver den nuvarande geografiska koncentrationen till alla personer och enheter som är ansvariga för allvarliga kränkningar av de mänskliga rättigheterna, oavsett ursprungsland.</w:t>
      </w:r>
    </w:p>
    <w:p w14:paraId="5E5AF453" w14:textId="77777777" w:rsidR="00C56434" w:rsidRPr="008C71F8" w:rsidRDefault="00C56434" w:rsidP="00C56434">
      <w:pPr>
        <w:pStyle w:val="NormalHanging12a"/>
      </w:pPr>
      <w:r w:rsidRPr="008C71F8">
        <w:t>23.</w:t>
      </w:r>
      <w:r w:rsidRPr="008C71F8">
        <w:tab/>
        <w:t xml:space="preserve">Europaparlamentet uppmuntrar rådet att ägna särskild uppmärksamhet åt kränkningar såsom sexuellt och könsrelaterat våld, diskriminerande politik och förföljelse av kvinnliga ledare, journalister och aktivister, så att dessa kategorier återspeglas på lämpligt sätt i framtida registreringar i förteckningen. </w:t>
      </w:r>
    </w:p>
    <w:p w14:paraId="625C085D" w14:textId="77777777" w:rsidR="00C56434" w:rsidRPr="008C71F8" w:rsidRDefault="00C56434" w:rsidP="00C56434">
      <w:pPr>
        <w:pStyle w:val="NormalHanging12a"/>
      </w:pPr>
      <w:r w:rsidRPr="008C71F8">
        <w:t>24.</w:t>
      </w:r>
      <w:r w:rsidRPr="008C71F8">
        <w:tab/>
        <w:t xml:space="preserve">Europaparlamentet noterar att en betydande andel av de personer som hittills har blivit föremål för sanktioner enligt EU:s Magnitskijlag har varit inblandade i statens repressiva apparat, men inte fattat några beslut, medan endast en minoritet av de registrerade innehar politiska eller militära ledande befattningar. Parlamentet riktar en bestämd uppmaning till rådet att utvidga registreringarna i förteckningen så att de kommer att omfatta även politiska och militära ledare och de som är ansvariga för beslut som lett till allvarliga kränkningar av de mänskliga rättigheterna beläggs med sanktioner. </w:t>
      </w:r>
    </w:p>
    <w:p w14:paraId="7FB9CD6B" w14:textId="77777777" w:rsidR="00C56434" w:rsidRPr="008C71F8" w:rsidRDefault="00C56434" w:rsidP="00C56434">
      <w:pPr>
        <w:pStyle w:val="NormalHanging12a"/>
      </w:pPr>
      <w:r w:rsidRPr="008C71F8">
        <w:t>25.</w:t>
      </w:r>
      <w:r w:rsidRPr="008C71F8">
        <w:tab/>
        <w:t>Europaparlamentet efterlyser ökad och effektivare kommunikation om införda sanktioner för att upprepa EU:s globala ställningstagande för mänskliga rättigheter och för kampen mot straffrihet, eftersom personer som är föremål för sanktioner i vissa fall framställs som hjältar av den nationella propagandan och till och med belönas av repressiva regimer. Parlamentet konstaterar att det avskräckande inslaget i EU:s Magnitskijlag fungerar mest effektivt mot enskilda personer och enheter som har egendom i, eller medel för att resa till, EU.</w:t>
      </w:r>
    </w:p>
    <w:p w14:paraId="160A88D2" w14:textId="77777777" w:rsidR="00C56434" w:rsidRPr="008C71F8" w:rsidRDefault="00C56434" w:rsidP="00C56434">
      <w:pPr>
        <w:pStyle w:val="NormalHanging12a"/>
      </w:pPr>
      <w:r w:rsidRPr="008C71F8">
        <w:t>26.</w:t>
      </w:r>
      <w:r w:rsidRPr="008C71F8">
        <w:tab/>
        <w:t>Europaparlamentet fördömer alla motsanktioner som införs mot EU eller dess institutioner, medlemsstater, organ eller medborgare bara för att dessa främjar och upprätthåller de mänskliga rättigheterna, demokratin och rättsstaten genom EU:s Magnitskijlag.</w:t>
      </w:r>
    </w:p>
    <w:p w14:paraId="2D2F9903" w14:textId="77777777" w:rsidR="00C56434" w:rsidRPr="008C71F8" w:rsidRDefault="00C56434" w:rsidP="00C56434">
      <w:pPr>
        <w:pStyle w:val="NormalHanging12a"/>
        <w:rPr>
          <w:b/>
          <w:bCs/>
          <w:i/>
          <w:iCs/>
          <w:szCs w:val="24"/>
        </w:rPr>
      </w:pPr>
      <w:r w:rsidRPr="008C71F8">
        <w:rPr>
          <w:b/>
          <w:i/>
        </w:rPr>
        <w:t>Transparens, ansvarsskyldighet och det civila samhällets roll</w:t>
      </w:r>
    </w:p>
    <w:p w14:paraId="160DCED3" w14:textId="77777777" w:rsidR="00C56434" w:rsidRPr="008C71F8" w:rsidRDefault="00C56434" w:rsidP="00C56434">
      <w:pPr>
        <w:pStyle w:val="NormalHanging12a"/>
        <w:keepNext/>
        <w:keepLines/>
        <w:widowControl/>
      </w:pPr>
      <w:r w:rsidRPr="008C71F8">
        <w:t>27.</w:t>
      </w:r>
      <w:r w:rsidRPr="008C71F8">
        <w:tab/>
        <w:t>Europaparlamentet efterlyser ökad transparens i sanktionsprocessen och klara riktlinjer med avseende på den, samtidigt som de registrerade personernas rätt till effektiv rättslig prövning upprätthålls.</w:t>
      </w:r>
    </w:p>
    <w:p w14:paraId="2AC43A1D" w14:textId="77777777" w:rsidR="00C56434" w:rsidRPr="008C71F8" w:rsidRDefault="00C56434" w:rsidP="00C56434">
      <w:pPr>
        <w:pStyle w:val="NormalHanging12a"/>
      </w:pPr>
      <w:r w:rsidRPr="008C71F8">
        <w:t>28.</w:t>
      </w:r>
      <w:r w:rsidRPr="008C71F8">
        <w:tab/>
        <w:t>Europaparlamentet rekommenderar att hållbara, påvisbara, verkliga och varaktiga beteendeförändringar från de registrerade personernas och enheternas sida, till exempel i form av pågående samarbete med internationella rättsliga mekanismer, formellt erkänns som ett kriterium för avförande från förteckningen för att uppmuntra ansvarsskyldighet och efterlevnad.</w:t>
      </w:r>
    </w:p>
    <w:p w14:paraId="44F62C9F" w14:textId="77777777" w:rsidR="00C56434" w:rsidRPr="008C71F8" w:rsidRDefault="00C56434" w:rsidP="00C56434">
      <w:pPr>
        <w:pStyle w:val="NormalHanging12a"/>
      </w:pPr>
      <w:r w:rsidRPr="008C71F8">
        <w:lastRenderedPageBreak/>
        <w:t>29.</w:t>
      </w:r>
      <w:r w:rsidRPr="008C71F8">
        <w:tab/>
        <w:t>Europaparlamentet föreslår att det inrättas en strukturerad och transparent samrådsmekanism för det civila samhällets rapportering och deltagande i sanktionsprocessen, med skyddsåtgärder för visselblåsare, inbegripet inrättandet av en särskild kontaktpunkt på utrikestjänsten. Parlamentet rekommenderar att det införs ett budgetfönster för att stärka utrikestjänstens kapacitet att systematiskt bedöma, utreda, reagera på och behandla information och förslag från det civila samhället.</w:t>
      </w:r>
    </w:p>
    <w:p w14:paraId="331AB18B" w14:textId="77777777" w:rsidR="00C56434" w:rsidRPr="008C71F8" w:rsidRDefault="00C56434" w:rsidP="00C56434">
      <w:pPr>
        <w:pStyle w:val="NormalHanging12a"/>
      </w:pPr>
      <w:r w:rsidRPr="008C71F8">
        <w:t>30.</w:t>
      </w:r>
      <w:r w:rsidRPr="008C71F8">
        <w:tab/>
        <w:t>Europaparlamentet uppmanar rådet och vice ordföranden för kommissionen/unionens höga representant för utrikes frågor och säkerhetspolitik att ge parlamentet en kompletterande roll för att samla in och föreslå fall av allvarliga kränkningar av de mänskliga rättigheterna som ska behandlas inom ramen för sanktionssystemet och att förse parlamentet med årliga rapporter om beslut om sanktioner enligt EU:s Magnitskijlag, även vid kringgående av sanktioner. Parlamentet begär att de rekommendationer om registrering i förteckningen som ingår i parlamentets resolutioner noggrant övervägs av rådet.</w:t>
      </w:r>
    </w:p>
    <w:p w14:paraId="2219FCE9" w14:textId="77777777" w:rsidR="00C56434" w:rsidRPr="008C71F8" w:rsidRDefault="00C56434" w:rsidP="00C56434">
      <w:pPr>
        <w:pStyle w:val="NormalHanging12a"/>
        <w:rPr>
          <w:b/>
          <w:bCs/>
          <w:i/>
          <w:iCs/>
          <w:szCs w:val="24"/>
        </w:rPr>
      </w:pPr>
      <w:r w:rsidRPr="008C71F8">
        <w:rPr>
          <w:b/>
          <w:i/>
        </w:rPr>
        <w:t>Åtgärder för att förhindra kringgående och stärka verktygen för kontroll av efterlevnaden</w:t>
      </w:r>
    </w:p>
    <w:p w14:paraId="5A084132" w14:textId="77777777" w:rsidR="00C56434" w:rsidRPr="008C71F8" w:rsidRDefault="00C56434" w:rsidP="00C56434">
      <w:pPr>
        <w:pStyle w:val="NormalHanging12a"/>
      </w:pPr>
      <w:r w:rsidRPr="008C71F8">
        <w:t>31.</w:t>
      </w:r>
      <w:r w:rsidRPr="008C71F8">
        <w:tab/>
        <w:t>Europaparlamentet efterlyser en översyn av EU:s Magnitskijlag för att förhindra kringgående av sanktioner, genom att det utfärdas uttryckliga och uppdaterade riktlinjer om förbudet mot att tillhandahålla ekonomiska resurser och tekniskt och materiellt stöd till registrerade personer och enheter, och att det klargörs att förbudet mot att tillhandahålla tekniskt och materiellt stöd inbegriper icke-finansiellt stöd såsom IKT</w:t>
      </w:r>
      <w:r w:rsidRPr="008C71F8">
        <w:noBreakHyphen/>
        <w:t xml:space="preserve">infrastruktur, programvara, rättshjälp och it-verktyg som används för förtryck. Parlamentet betonar behovet att förstärka EU:s sanktionssystem genom att bredda och diversifiera användningen av sekundära sanktioner i syfte att rikta åtgärder mot regeringstjänstemän, enheter, företag och enskilda personer som är inblandade i att underlätta överträdelser eller kringgående av sanktioner som gör det möjligt för auktoritära regimer att fortsätta sina allvarliga kränkningar av de mänskliga rättigheterna. </w:t>
      </w:r>
    </w:p>
    <w:p w14:paraId="09BA111B" w14:textId="77777777" w:rsidR="00C56434" w:rsidRPr="008C71F8" w:rsidRDefault="00C56434" w:rsidP="00C56434">
      <w:pPr>
        <w:pStyle w:val="NormalHanging12a"/>
      </w:pPr>
      <w:r w:rsidRPr="008C71F8">
        <w:t>32.</w:t>
      </w:r>
      <w:r w:rsidRPr="008C71F8">
        <w:tab/>
        <w:t>Europaparlamentet uppmanar kommissionen att stärka samarbetet med Europeiska bankmyndigheten, Europeiska värdepappers- och marknadsmyndigheten, Myndigheten för bekämpning av penningtvätt samt nationella finansunderrättelseenheter för att systematiskt fastställa huruvida finansiella produkter, kryptotillgångar och offshore-strukturer med bristfällig transparens används för att kringgå sanktioner.</w:t>
      </w:r>
    </w:p>
    <w:p w14:paraId="422EE88A" w14:textId="77777777" w:rsidR="00C56434" w:rsidRPr="008C71F8" w:rsidRDefault="00C56434" w:rsidP="00C56434">
      <w:pPr>
        <w:pStyle w:val="NormalHanging12a"/>
        <w:keepNext/>
        <w:keepLines/>
        <w:widowControl/>
      </w:pPr>
      <w:r w:rsidRPr="008C71F8">
        <w:t>33.</w:t>
      </w:r>
      <w:r w:rsidRPr="008C71F8">
        <w:tab/>
        <w:t>Europaparlamentet uppmuntrar till användning av korshänvisningar för enheter som registrerats enligt både EU:s Magnitskijlag och geografiska sanktionssystem där så är lämpligt.</w:t>
      </w:r>
    </w:p>
    <w:p w14:paraId="1C9BC4A9" w14:textId="77777777" w:rsidR="00C56434" w:rsidRPr="008C71F8" w:rsidRDefault="00C56434" w:rsidP="00C56434">
      <w:pPr>
        <w:pStyle w:val="NormalHanging12a"/>
      </w:pPr>
      <w:r w:rsidRPr="008C71F8">
        <w:t>34.</w:t>
      </w:r>
      <w:r w:rsidRPr="008C71F8">
        <w:tab/>
        <w:t>Europaparlamentet uppmanar rådet att se över undantagsklausulerna för att säkerställa att avtal ingångna innan en person fördes upp på förteckningen inte gynnar vederbörandes familjemedlemmar eller samarbetspartner eller enheter som kontrolleras av den person som är föremål för sanktioner.</w:t>
      </w:r>
    </w:p>
    <w:p w14:paraId="1ED448A9" w14:textId="77777777" w:rsidR="00C56434" w:rsidRPr="008C71F8" w:rsidRDefault="00C56434" w:rsidP="00C56434">
      <w:pPr>
        <w:pStyle w:val="NormalHanging12a"/>
        <w:jc w:val="center"/>
      </w:pPr>
      <w:r w:rsidRPr="008C71F8">
        <w:t>°</w:t>
      </w:r>
    </w:p>
    <w:p w14:paraId="50F436E3" w14:textId="77777777" w:rsidR="00C56434" w:rsidRPr="008C71F8" w:rsidRDefault="00C56434" w:rsidP="00C56434">
      <w:pPr>
        <w:pStyle w:val="NormalHanging12a"/>
        <w:jc w:val="center"/>
      </w:pPr>
      <w:r w:rsidRPr="008C71F8">
        <w:t>°</w:t>
      </w:r>
      <w:r w:rsidRPr="008C71F8">
        <w:tab/>
        <w:t>°</w:t>
      </w:r>
    </w:p>
    <w:p w14:paraId="43EA84D9" w14:textId="1E3DB6C2" w:rsidR="008C71F8" w:rsidRPr="008C71F8" w:rsidRDefault="00C56434" w:rsidP="008C71F8">
      <w:pPr>
        <w:pStyle w:val="NormalHanging12a"/>
        <w:rPr>
          <w:sz w:val="28"/>
          <w:lang w:eastAsia="fr-FR"/>
        </w:rPr>
      </w:pPr>
      <w:r w:rsidRPr="008C71F8">
        <w:lastRenderedPageBreak/>
        <w:t>35.</w:t>
      </w:r>
      <w:r w:rsidRPr="008C71F8">
        <w:tab/>
        <w:t>Europaparlamentet uppdrar åt talmannen att översända denna resolution till rådet och kommissionen samt till vice ordföranden för kommissionen/unionens höga representant för utrikes frågor och säkerhetspolitik.</w:t>
      </w:r>
      <w:bookmarkEnd w:id="1"/>
    </w:p>
    <w:p w14:paraId="53DF84A2" w14:textId="089A9DA7" w:rsidR="00E365E1" w:rsidRPr="008C71F8" w:rsidRDefault="00E365E1" w:rsidP="00C56434">
      <w:pPr>
        <w:rPr>
          <w:sz w:val="28"/>
          <w:lang w:eastAsia="fr-FR"/>
        </w:rPr>
      </w:pPr>
    </w:p>
    <w:sectPr w:rsidR="00E365E1" w:rsidRPr="008C71F8" w:rsidSect="008C71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EEC92" w14:textId="77777777" w:rsidR="00023552" w:rsidRPr="008C71F8" w:rsidRDefault="00023552">
      <w:r w:rsidRPr="008C71F8">
        <w:separator/>
      </w:r>
    </w:p>
  </w:endnote>
  <w:endnote w:type="continuationSeparator" w:id="0">
    <w:p w14:paraId="6A631283" w14:textId="77777777" w:rsidR="00023552" w:rsidRPr="008C71F8" w:rsidRDefault="00023552">
      <w:r w:rsidRPr="008C71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185BA" w14:textId="77777777" w:rsidR="00064002" w:rsidRPr="008C71F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CD9B9" w14:textId="77777777" w:rsidR="00064002" w:rsidRPr="008C71F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8A6EF" w14:textId="77777777" w:rsidR="00064002" w:rsidRPr="008C71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59FE1" w14:textId="77777777" w:rsidR="00023552" w:rsidRPr="008C71F8" w:rsidRDefault="00023552">
      <w:r w:rsidRPr="008C71F8">
        <w:separator/>
      </w:r>
    </w:p>
  </w:footnote>
  <w:footnote w:type="continuationSeparator" w:id="0">
    <w:p w14:paraId="4FA6FB9F" w14:textId="77777777" w:rsidR="00023552" w:rsidRPr="008C71F8" w:rsidRDefault="00023552">
      <w:r w:rsidRPr="008C71F8">
        <w:continuationSeparator/>
      </w:r>
    </w:p>
  </w:footnote>
  <w:footnote w:id="1">
    <w:p w14:paraId="6F24503D" w14:textId="1CC906C7" w:rsidR="00C56434" w:rsidRPr="006E6D54" w:rsidRDefault="00C56434" w:rsidP="008C71F8">
      <w:pPr>
        <w:ind w:left="567" w:hanging="567"/>
        <w:rPr>
          <w:lang w:val="fi-FI"/>
        </w:rPr>
      </w:pPr>
      <w:r w:rsidRPr="008C71F8">
        <w:rPr>
          <w:rStyle w:val="FootnoteReference"/>
        </w:rPr>
        <w:footnoteRef/>
      </w:r>
      <w:r w:rsidR="008C71F8" w:rsidRPr="006E6D54">
        <w:rPr>
          <w:lang w:val="fi-FI"/>
        </w:rPr>
        <w:t xml:space="preserve"> </w:t>
      </w:r>
      <w:r w:rsidR="008C71F8" w:rsidRPr="006E6D54">
        <w:rPr>
          <w:lang w:val="fi-FI"/>
        </w:rPr>
        <w:tab/>
      </w:r>
      <w:r w:rsidRPr="006E6D54">
        <w:rPr>
          <w:lang w:val="fi-FI"/>
        </w:rPr>
        <w:t>EUT L 410</w:t>
      </w:r>
      <w:r w:rsidR="0073253E">
        <w:rPr>
          <w:lang w:val="fi-FI"/>
        </w:rPr>
        <w:t xml:space="preserve"> </w:t>
      </w:r>
      <w:r w:rsidRPr="006E6D54">
        <w:rPr>
          <w:lang w:val="fi-FI"/>
        </w:rPr>
        <w:t xml:space="preserve">I, 7.12.2020, s. 13, ELI: </w:t>
      </w:r>
      <w:hyperlink r:id="rId1" w:history="1">
        <w:r w:rsidRPr="006E6D54">
          <w:rPr>
            <w:rStyle w:val="Hyperlink"/>
            <w:color w:val="0563C1"/>
            <w:lang w:val="fi-FI"/>
          </w:rPr>
          <w:t>http://data.europa.eu/eli/dec/2020/1999/oj</w:t>
        </w:r>
      </w:hyperlink>
      <w:r w:rsidRPr="006E6D54">
        <w:rPr>
          <w:lang w:val="fi-FI"/>
        </w:rPr>
        <w:t>.</w:t>
      </w:r>
    </w:p>
  </w:footnote>
  <w:footnote w:id="2">
    <w:p w14:paraId="5F271471" w14:textId="6715C11B"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EUT L 410</w:t>
      </w:r>
      <w:r w:rsidR="0073253E">
        <w:rPr>
          <w:sz w:val="24"/>
          <w:lang w:val="fi-FI"/>
        </w:rPr>
        <w:t xml:space="preserve"> </w:t>
      </w:r>
      <w:r w:rsidRPr="006E6D54">
        <w:rPr>
          <w:sz w:val="24"/>
          <w:lang w:val="fi-FI"/>
        </w:rPr>
        <w:t xml:space="preserve">I, 7.12.2020, s. 1, ELI: </w:t>
      </w:r>
      <w:hyperlink r:id="rId2" w:history="1">
        <w:r w:rsidRPr="006E6D54">
          <w:rPr>
            <w:rStyle w:val="Hyperlink"/>
            <w:color w:val="0563C1"/>
            <w:sz w:val="24"/>
            <w:lang w:val="fi-FI"/>
          </w:rPr>
          <w:t>http://data.europa.eu/eli/reg/2020/1998/oj</w:t>
        </w:r>
      </w:hyperlink>
      <w:r w:rsidRPr="006E6D54">
        <w:rPr>
          <w:sz w:val="24"/>
          <w:lang w:val="fi-FI"/>
        </w:rPr>
        <w:t xml:space="preserve">. </w:t>
      </w:r>
    </w:p>
  </w:footnote>
  <w:footnote w:id="3">
    <w:p w14:paraId="79481C9F" w14:textId="489E1E39" w:rsidR="00C56434" w:rsidRPr="006E6D54" w:rsidRDefault="00C56434" w:rsidP="008C71F8">
      <w:pPr>
        <w:ind w:left="567" w:hanging="567"/>
        <w:rPr>
          <w:lang w:val="fi-FI"/>
        </w:rPr>
      </w:pPr>
      <w:r w:rsidRPr="008C71F8">
        <w:rPr>
          <w:rStyle w:val="FootnoteReference"/>
        </w:rPr>
        <w:footnoteRef/>
      </w:r>
      <w:r w:rsidR="008C71F8" w:rsidRPr="006E6D54">
        <w:rPr>
          <w:lang w:val="fi-FI"/>
        </w:rPr>
        <w:t xml:space="preserve"> </w:t>
      </w:r>
      <w:r w:rsidR="008C71F8" w:rsidRPr="006E6D54">
        <w:rPr>
          <w:lang w:val="fi-FI"/>
        </w:rPr>
        <w:tab/>
      </w:r>
      <w:r w:rsidRPr="006E6D54">
        <w:rPr>
          <w:lang w:val="fi-FI"/>
        </w:rPr>
        <w:t>EUT L 71</w:t>
      </w:r>
      <w:r w:rsidR="0073253E">
        <w:rPr>
          <w:lang w:val="fi-FI"/>
        </w:rPr>
        <w:t xml:space="preserve"> </w:t>
      </w:r>
      <w:r w:rsidRPr="006E6D54">
        <w:rPr>
          <w:lang w:val="fi-FI"/>
        </w:rPr>
        <w:t xml:space="preserve">I, 2.3.2021, s. 1, ELI: </w:t>
      </w:r>
      <w:hyperlink r:id="rId3" w:history="1">
        <w:r w:rsidRPr="006E6D54">
          <w:rPr>
            <w:rStyle w:val="Hyperlink"/>
            <w:color w:val="0563C1"/>
            <w:lang w:val="fi-FI"/>
          </w:rPr>
          <w:t>http://data.europa.eu/eli/reg_impl/2021/371/oj</w:t>
        </w:r>
      </w:hyperlink>
      <w:r w:rsidRPr="006E6D54">
        <w:rPr>
          <w:lang w:val="fi-FI"/>
        </w:rPr>
        <w:t xml:space="preserve">. </w:t>
      </w:r>
    </w:p>
  </w:footnote>
  <w:footnote w:id="4">
    <w:p w14:paraId="5E7EFD57" w14:textId="74FA3C62"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EUT L 99</w:t>
      </w:r>
      <w:r w:rsidR="0073253E">
        <w:rPr>
          <w:sz w:val="24"/>
          <w:lang w:val="fi-FI"/>
        </w:rPr>
        <w:t xml:space="preserve"> </w:t>
      </w:r>
      <w:r w:rsidRPr="006E6D54">
        <w:rPr>
          <w:sz w:val="24"/>
          <w:lang w:val="fi-FI"/>
        </w:rPr>
        <w:t xml:space="preserve">I, 22.3.2021, s. 1, ELI: </w:t>
      </w:r>
      <w:hyperlink r:id="rId4" w:history="1">
        <w:r w:rsidRPr="006E6D54">
          <w:rPr>
            <w:rStyle w:val="Hyperlink"/>
            <w:color w:val="0563C1"/>
            <w:sz w:val="24"/>
            <w:lang w:val="fi-FI"/>
          </w:rPr>
          <w:t>http://data.europa.eu/eli/reg_impl/2021/478/oj</w:t>
        </w:r>
      </w:hyperlink>
      <w:r w:rsidRPr="006E6D54">
        <w:rPr>
          <w:sz w:val="24"/>
          <w:lang w:val="fi-FI"/>
        </w:rPr>
        <w:t xml:space="preserve">. </w:t>
      </w:r>
    </w:p>
  </w:footnote>
  <w:footnote w:id="5">
    <w:p w14:paraId="48C9DCEE" w14:textId="02D314BB"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 xml:space="preserve">EUT L, 2025/1111, 28.5.2025, ELI: </w:t>
      </w:r>
      <w:hyperlink r:id="rId5" w:history="1">
        <w:r w:rsidRPr="006E6D54">
          <w:rPr>
            <w:rStyle w:val="Hyperlink"/>
            <w:color w:val="0563C1"/>
            <w:sz w:val="24"/>
            <w:lang w:val="fi-FI"/>
          </w:rPr>
          <w:t>http://data.europa.eu/eli/reg_impl/2025/1111/oj</w:t>
        </w:r>
      </w:hyperlink>
      <w:r w:rsidRPr="006E6D54">
        <w:rPr>
          <w:sz w:val="24"/>
          <w:lang w:val="fi-FI"/>
        </w:rPr>
        <w:t xml:space="preserve">. </w:t>
      </w:r>
    </w:p>
  </w:footnote>
  <w:footnote w:id="6">
    <w:p w14:paraId="032D66A3" w14:textId="3EEB66F9"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EUT L 71</w:t>
      </w:r>
      <w:r w:rsidR="0073253E">
        <w:rPr>
          <w:sz w:val="24"/>
          <w:lang w:val="fi-FI"/>
        </w:rPr>
        <w:t xml:space="preserve"> </w:t>
      </w:r>
      <w:r w:rsidRPr="006E6D54">
        <w:rPr>
          <w:sz w:val="24"/>
          <w:lang w:val="fi-FI"/>
        </w:rPr>
        <w:t xml:space="preserve">I, 2.3.2021, s. 6, ELI: </w:t>
      </w:r>
      <w:hyperlink r:id="rId6" w:history="1">
        <w:r w:rsidRPr="006E6D54">
          <w:rPr>
            <w:rStyle w:val="Hyperlink"/>
            <w:color w:val="0563C1"/>
            <w:sz w:val="24"/>
            <w:lang w:val="fi-FI"/>
          </w:rPr>
          <w:t>http://data.europa.eu/eli/dec/2021/372/oj</w:t>
        </w:r>
      </w:hyperlink>
      <w:r w:rsidRPr="006E6D54">
        <w:rPr>
          <w:sz w:val="24"/>
          <w:lang w:val="fi-FI"/>
        </w:rPr>
        <w:t xml:space="preserve">. </w:t>
      </w:r>
    </w:p>
  </w:footnote>
  <w:footnote w:id="7">
    <w:p w14:paraId="7FC73C53" w14:textId="67DA4388"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EUT L 99</w:t>
      </w:r>
      <w:r w:rsidR="0073253E">
        <w:rPr>
          <w:sz w:val="24"/>
          <w:lang w:val="fi-FI"/>
        </w:rPr>
        <w:t xml:space="preserve"> </w:t>
      </w:r>
      <w:r w:rsidRPr="006E6D54">
        <w:rPr>
          <w:sz w:val="24"/>
          <w:lang w:val="fi-FI"/>
        </w:rPr>
        <w:t xml:space="preserve">I, 22.3.2021, s. 25, ELI: </w:t>
      </w:r>
      <w:hyperlink r:id="rId7" w:history="1">
        <w:r w:rsidRPr="006E6D54">
          <w:rPr>
            <w:rStyle w:val="Hyperlink"/>
            <w:color w:val="0563C1"/>
            <w:sz w:val="24"/>
            <w:lang w:val="fi-FI"/>
          </w:rPr>
          <w:t>http://data.europa.eu/eli/dec/2021/481/oj</w:t>
        </w:r>
      </w:hyperlink>
      <w:r w:rsidRPr="006E6D54">
        <w:rPr>
          <w:sz w:val="24"/>
          <w:lang w:val="fi-FI"/>
        </w:rPr>
        <w:t xml:space="preserve">. </w:t>
      </w:r>
    </w:p>
  </w:footnote>
  <w:footnote w:id="8">
    <w:p w14:paraId="19623671" w14:textId="3B5DB9E2"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EUT L 445</w:t>
      </w:r>
      <w:r w:rsidR="0073253E">
        <w:rPr>
          <w:sz w:val="24"/>
          <w:lang w:val="fi-FI"/>
        </w:rPr>
        <w:t xml:space="preserve"> </w:t>
      </w:r>
      <w:r w:rsidRPr="006E6D54">
        <w:rPr>
          <w:sz w:val="24"/>
          <w:lang w:val="fi-FI"/>
        </w:rPr>
        <w:t xml:space="preserve">I, 13.12.2021, s. 17, ELI: </w:t>
      </w:r>
      <w:hyperlink r:id="rId8" w:history="1">
        <w:r w:rsidRPr="006E6D54">
          <w:rPr>
            <w:rStyle w:val="Hyperlink"/>
            <w:color w:val="0563C1"/>
            <w:sz w:val="24"/>
            <w:lang w:val="fi-FI"/>
          </w:rPr>
          <w:t>http://data.europa.eu/eli/dec/2021/2197/oj</w:t>
        </w:r>
      </w:hyperlink>
      <w:r w:rsidRPr="006E6D54">
        <w:rPr>
          <w:sz w:val="24"/>
          <w:lang w:val="fi-FI"/>
        </w:rPr>
        <w:t xml:space="preserve">. </w:t>
      </w:r>
    </w:p>
  </w:footnote>
  <w:footnote w:id="9">
    <w:p w14:paraId="67CF4206" w14:textId="15B0E826"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EUT L 183</w:t>
      </w:r>
      <w:r w:rsidR="0073253E">
        <w:rPr>
          <w:sz w:val="24"/>
          <w:lang w:val="fi-FI"/>
        </w:rPr>
        <w:t xml:space="preserve"> </w:t>
      </w:r>
      <w:r w:rsidRPr="006E6D54">
        <w:rPr>
          <w:sz w:val="24"/>
          <w:lang w:val="fi-FI"/>
        </w:rPr>
        <w:t xml:space="preserve">I, 20.7.2023, s. 60, ELI: </w:t>
      </w:r>
      <w:hyperlink r:id="rId9" w:history="1">
        <w:r w:rsidRPr="006E6D54">
          <w:rPr>
            <w:rStyle w:val="Hyperlink"/>
            <w:color w:val="0563C1"/>
            <w:sz w:val="24"/>
            <w:lang w:val="fi-FI"/>
          </w:rPr>
          <w:t>http://data.europa.eu/eli/dec/2023/1504/oj</w:t>
        </w:r>
      </w:hyperlink>
      <w:r w:rsidRPr="006E6D54">
        <w:rPr>
          <w:sz w:val="24"/>
          <w:lang w:val="fi-FI"/>
        </w:rPr>
        <w:t xml:space="preserve">. </w:t>
      </w:r>
    </w:p>
  </w:footnote>
  <w:footnote w:id="10">
    <w:p w14:paraId="1524CA22" w14:textId="3EC6B380"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EUT L 221</w:t>
      </w:r>
      <w:r w:rsidR="0073253E">
        <w:rPr>
          <w:sz w:val="24"/>
          <w:lang w:val="fi-FI"/>
        </w:rPr>
        <w:t xml:space="preserve"> </w:t>
      </w:r>
      <w:r w:rsidRPr="006E6D54">
        <w:rPr>
          <w:sz w:val="24"/>
          <w:lang w:val="fi-FI"/>
        </w:rPr>
        <w:t xml:space="preserve">I, 8.9.2023, s. 6, ELI: </w:t>
      </w:r>
      <w:hyperlink r:id="rId10" w:history="1">
        <w:r w:rsidRPr="006E6D54">
          <w:rPr>
            <w:rStyle w:val="Hyperlink"/>
            <w:sz w:val="24"/>
            <w:lang w:val="fi-FI"/>
          </w:rPr>
          <w:t>http://data.europa.eu/eli/dec/2023/1716/oj</w:t>
        </w:r>
      </w:hyperlink>
      <w:r w:rsidRPr="006E6D54">
        <w:rPr>
          <w:sz w:val="24"/>
          <w:lang w:val="fi-FI"/>
        </w:rPr>
        <w:t xml:space="preserve">. </w:t>
      </w:r>
    </w:p>
  </w:footnote>
  <w:footnote w:id="11">
    <w:p w14:paraId="3F6B27AF" w14:textId="3ADC729B"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 xml:space="preserve">EUT L, 2024/1025, 5.4.2024, ELI: </w:t>
      </w:r>
      <w:hyperlink r:id="rId11" w:history="1">
        <w:r w:rsidRPr="006E6D54">
          <w:rPr>
            <w:rStyle w:val="Hyperlink"/>
            <w:sz w:val="24"/>
            <w:lang w:val="fi-FI"/>
          </w:rPr>
          <w:t>http://data.europa.eu/eli/dec/2024/1025/oj</w:t>
        </w:r>
      </w:hyperlink>
      <w:r w:rsidRPr="006E6D54">
        <w:rPr>
          <w:sz w:val="24"/>
          <w:lang w:val="fi-FI"/>
        </w:rPr>
        <w:t xml:space="preserve">. </w:t>
      </w:r>
    </w:p>
  </w:footnote>
  <w:footnote w:id="12">
    <w:p w14:paraId="0CDE3A4C" w14:textId="591FF58F"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 xml:space="preserve">EUT L, 2024/1074, 12.4.2024, ELI: </w:t>
      </w:r>
      <w:hyperlink r:id="rId12" w:history="1">
        <w:r w:rsidRPr="006E6D54">
          <w:rPr>
            <w:rStyle w:val="Hyperlink"/>
            <w:sz w:val="24"/>
            <w:lang w:val="fi-FI"/>
          </w:rPr>
          <w:t>http://data.europa.eu/eli/dec/2024/1074/oj</w:t>
        </w:r>
      </w:hyperlink>
      <w:r w:rsidRPr="006E6D54">
        <w:rPr>
          <w:sz w:val="24"/>
          <w:lang w:val="fi-FI"/>
        </w:rPr>
        <w:t xml:space="preserve">. </w:t>
      </w:r>
    </w:p>
  </w:footnote>
  <w:footnote w:id="13">
    <w:p w14:paraId="446F214B" w14:textId="6CB0A191"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 xml:space="preserve">EUT L, 2024/1175, 19.4.2024, ELI: </w:t>
      </w:r>
      <w:hyperlink r:id="rId13" w:history="1">
        <w:r w:rsidRPr="006E6D54">
          <w:rPr>
            <w:rStyle w:val="Hyperlink"/>
            <w:sz w:val="24"/>
            <w:lang w:val="fi-FI"/>
          </w:rPr>
          <w:t>http://data.europa.eu/eli/dec/2024/1175/oj</w:t>
        </w:r>
      </w:hyperlink>
      <w:r w:rsidRPr="006E6D54">
        <w:rPr>
          <w:sz w:val="24"/>
          <w:lang w:val="fi-FI"/>
        </w:rPr>
        <w:t xml:space="preserve">. </w:t>
      </w:r>
    </w:p>
  </w:footnote>
  <w:footnote w:id="14">
    <w:p w14:paraId="765D101C" w14:textId="780DE5D9"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 xml:space="preserve">EUT L, 2024/1967, 15.7.2024, ELI: </w:t>
      </w:r>
      <w:hyperlink r:id="rId14" w:history="1">
        <w:r w:rsidRPr="006E6D54">
          <w:rPr>
            <w:rStyle w:val="Hyperlink"/>
            <w:sz w:val="24"/>
            <w:lang w:val="fi-FI"/>
          </w:rPr>
          <w:t>http://data.europa.eu/eli/dec/2024/1967/oj</w:t>
        </w:r>
      </w:hyperlink>
      <w:r w:rsidRPr="006E6D54">
        <w:rPr>
          <w:sz w:val="24"/>
          <w:lang w:val="fi-FI"/>
        </w:rPr>
        <w:t xml:space="preserve">. </w:t>
      </w:r>
    </w:p>
  </w:footnote>
  <w:footnote w:id="15">
    <w:p w14:paraId="6B400884" w14:textId="1BA5B093"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 xml:space="preserve">EUT L, 2024/3004, 3.12.2024, ELI: </w:t>
      </w:r>
      <w:hyperlink r:id="rId15" w:history="1">
        <w:r w:rsidRPr="006E6D54">
          <w:rPr>
            <w:rStyle w:val="Hyperlink"/>
            <w:sz w:val="24"/>
            <w:lang w:val="fi-FI"/>
          </w:rPr>
          <w:t>http://data.europa.eu/eli/dec/2024/3004/oj</w:t>
        </w:r>
      </w:hyperlink>
      <w:r w:rsidRPr="006E6D54">
        <w:rPr>
          <w:sz w:val="24"/>
          <w:lang w:val="fi-FI"/>
        </w:rPr>
        <w:t xml:space="preserve">. </w:t>
      </w:r>
    </w:p>
  </w:footnote>
  <w:footnote w:id="16">
    <w:p w14:paraId="1293A405" w14:textId="784F55CF"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 xml:space="preserve">EUT L, 2025/346, 19.2.2025, ELI: </w:t>
      </w:r>
      <w:hyperlink r:id="rId16" w:history="1">
        <w:r w:rsidRPr="006E6D54">
          <w:rPr>
            <w:rStyle w:val="Hyperlink"/>
            <w:sz w:val="24"/>
            <w:lang w:val="fi-FI"/>
          </w:rPr>
          <w:t>http://data.europa.eu/eli/dec/2025/346/oj</w:t>
        </w:r>
      </w:hyperlink>
      <w:r w:rsidRPr="006E6D54">
        <w:rPr>
          <w:sz w:val="24"/>
          <w:lang w:val="fi-FI"/>
        </w:rPr>
        <w:t xml:space="preserve">. </w:t>
      </w:r>
    </w:p>
  </w:footnote>
  <w:footnote w:id="17">
    <w:p w14:paraId="4508153B" w14:textId="762AABDB"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 xml:space="preserve">EUT L, 2025/1110, 28.5.2025, ELI: </w:t>
      </w:r>
      <w:hyperlink r:id="rId17" w:history="1">
        <w:r w:rsidRPr="006E6D54">
          <w:rPr>
            <w:rStyle w:val="Hyperlink"/>
            <w:sz w:val="24"/>
            <w:lang w:val="fi-FI"/>
          </w:rPr>
          <w:t>http://data.europa.eu/eli/dec/2025/1110/oj</w:t>
        </w:r>
      </w:hyperlink>
      <w:r w:rsidRPr="006E6D54">
        <w:rPr>
          <w:sz w:val="24"/>
          <w:lang w:val="fi-FI"/>
        </w:rPr>
        <w:t xml:space="preserve">. </w:t>
      </w:r>
    </w:p>
  </w:footnote>
  <w:footnote w:id="18">
    <w:p w14:paraId="622341DD" w14:textId="209208D5"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EUT C 99, 1.3.2022, s. 152.</w:t>
      </w:r>
    </w:p>
  </w:footnote>
  <w:footnote w:id="19">
    <w:p w14:paraId="7DA2956C" w14:textId="5D824263" w:rsidR="00C56434" w:rsidRPr="006E6D54" w:rsidRDefault="00C56434" w:rsidP="008C71F8">
      <w:pPr>
        <w:pStyle w:val="FootnoteText"/>
        <w:ind w:left="567" w:hanging="567"/>
        <w:rPr>
          <w:sz w:val="24"/>
          <w:szCs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00634C7F">
        <w:rPr>
          <w:sz w:val="24"/>
          <w:szCs w:val="24"/>
          <w:lang w:val="fi-FI"/>
        </w:rPr>
        <w:t>EUT</w:t>
      </w:r>
      <w:r w:rsidR="00634C7F" w:rsidRPr="00634C7F">
        <w:rPr>
          <w:sz w:val="24"/>
          <w:szCs w:val="24"/>
          <w:lang w:val="fi-FI"/>
        </w:rPr>
        <w:t xml:space="preserve"> C, C/2025/4390, 9.9.2025, ELI: </w:t>
      </w:r>
      <w:r w:rsidR="00634C7F" w:rsidRPr="006E6D54">
        <w:rPr>
          <w:rStyle w:val="Hyperlink"/>
          <w:sz w:val="24"/>
          <w:szCs w:val="24"/>
          <w:lang w:val="fi-FI"/>
        </w:rPr>
        <w:t>http://data.europa.eu/eli/C/2025/4390/oj</w:t>
      </w:r>
      <w:r w:rsidRPr="006E6D54">
        <w:rPr>
          <w:sz w:val="24"/>
          <w:szCs w:val="24"/>
          <w:lang w:val="fi-FI"/>
        </w:rPr>
        <w:t>.</w:t>
      </w:r>
    </w:p>
  </w:footnote>
  <w:footnote w:id="20">
    <w:p w14:paraId="614B3DC7" w14:textId="651D6EAB" w:rsidR="00C56434" w:rsidRPr="006E6D54" w:rsidRDefault="00C56434" w:rsidP="008C71F8">
      <w:pPr>
        <w:pStyle w:val="FootnoteText"/>
        <w:ind w:left="567" w:hanging="567"/>
        <w:rPr>
          <w:sz w:val="24"/>
          <w:lang w:val="fi-FI"/>
        </w:rPr>
      </w:pPr>
      <w:r w:rsidRPr="008C71F8">
        <w:rPr>
          <w:rStyle w:val="FootnoteReference"/>
          <w:sz w:val="24"/>
          <w:lang w:val="sv-SE"/>
        </w:rPr>
        <w:footnoteRef/>
      </w:r>
      <w:r w:rsidR="008C71F8" w:rsidRPr="006E6D54">
        <w:rPr>
          <w:sz w:val="24"/>
          <w:lang w:val="fi-FI"/>
        </w:rPr>
        <w:t xml:space="preserve"> </w:t>
      </w:r>
      <w:r w:rsidR="008C71F8" w:rsidRPr="006E6D54">
        <w:rPr>
          <w:sz w:val="24"/>
          <w:lang w:val="fi-FI"/>
        </w:rPr>
        <w:tab/>
      </w:r>
      <w:r w:rsidRPr="006E6D54">
        <w:rPr>
          <w:sz w:val="24"/>
          <w:lang w:val="fi-FI"/>
        </w:rPr>
        <w:t xml:space="preserve">EUT L, 2023/2721, 5.12.2023, ELI: </w:t>
      </w:r>
      <w:hyperlink r:id="rId18" w:history="1">
        <w:r w:rsidRPr="006E6D54">
          <w:rPr>
            <w:rStyle w:val="Hyperlink"/>
            <w:sz w:val="24"/>
            <w:lang w:val="fi-FI"/>
          </w:rPr>
          <w:t>http://data.europa.eu/eli/dec/2023/2721/oj</w:t>
        </w:r>
      </w:hyperlink>
      <w:r w:rsidRPr="006E6D54">
        <w:rPr>
          <w:sz w:val="24"/>
          <w:lang w:val="fi-FI"/>
        </w:rPr>
        <w:t xml:space="preserve">. </w:t>
      </w:r>
    </w:p>
  </w:footnote>
  <w:footnote w:id="21">
    <w:p w14:paraId="1E8DEAB7" w14:textId="3F4D1755" w:rsidR="00C56434" w:rsidRPr="008C71F8" w:rsidRDefault="00C56434" w:rsidP="008C71F8">
      <w:pPr>
        <w:pStyle w:val="FootnoteText"/>
        <w:ind w:left="567" w:hanging="567"/>
        <w:rPr>
          <w:sz w:val="24"/>
          <w:lang w:val="sv-SE"/>
        </w:rPr>
      </w:pPr>
      <w:r w:rsidRPr="008C71F8">
        <w:rPr>
          <w:rStyle w:val="FootnoteReference"/>
          <w:sz w:val="24"/>
          <w:lang w:val="sv-SE"/>
        </w:rPr>
        <w:footnoteRef/>
      </w:r>
      <w:r w:rsidR="008C71F8" w:rsidRPr="008C71F8">
        <w:rPr>
          <w:sz w:val="24"/>
          <w:lang w:val="sv-SE"/>
        </w:rPr>
        <w:t xml:space="preserve"> </w:t>
      </w:r>
      <w:r w:rsidR="008C71F8" w:rsidRPr="008C71F8">
        <w:rPr>
          <w:sz w:val="24"/>
          <w:lang w:val="sv-SE"/>
        </w:rPr>
        <w:tab/>
      </w:r>
      <w:r w:rsidRPr="008C71F8">
        <w:rPr>
          <w:sz w:val="24"/>
          <w:lang w:val="sv-SE"/>
        </w:rPr>
        <w:t>Rådets förordning (EG) nr 2271/96 av den 22 november 1996 om skydd mot följderna av tillämpning av extraterritoriell lagstiftning som antas av ett tredje land, och åtgärder som grundar sig på eller är en följd av denna lagstiftning (EGT L 309, 29.11.1996, s. 1, ELI: </w:t>
      </w:r>
      <w:hyperlink r:id="rId19" w:history="1">
        <w:r w:rsidRPr="008C71F8">
          <w:rPr>
            <w:rStyle w:val="Hyperlink"/>
            <w:sz w:val="24"/>
            <w:lang w:val="sv-SE"/>
          </w:rPr>
          <w:t>http://data.europa.eu/</w:t>
        </w:r>
        <w:proofErr w:type="spellStart"/>
        <w:r w:rsidRPr="008C71F8">
          <w:rPr>
            <w:rStyle w:val="Hyperlink"/>
            <w:sz w:val="24"/>
            <w:lang w:val="sv-SE"/>
          </w:rPr>
          <w:t>eli</w:t>
        </w:r>
        <w:proofErr w:type="spellEnd"/>
        <w:r w:rsidRPr="008C71F8">
          <w:rPr>
            <w:rStyle w:val="Hyperlink"/>
            <w:sz w:val="24"/>
            <w:lang w:val="sv-SE"/>
          </w:rPr>
          <w:t>/</w:t>
        </w:r>
        <w:proofErr w:type="spellStart"/>
        <w:r w:rsidRPr="008C71F8">
          <w:rPr>
            <w:rStyle w:val="Hyperlink"/>
            <w:sz w:val="24"/>
            <w:lang w:val="sv-SE"/>
          </w:rPr>
          <w:t>reg</w:t>
        </w:r>
        <w:proofErr w:type="spellEnd"/>
        <w:r w:rsidRPr="008C71F8">
          <w:rPr>
            <w:rStyle w:val="Hyperlink"/>
            <w:sz w:val="24"/>
            <w:lang w:val="sv-SE"/>
          </w:rPr>
          <w:t>/1996/2271/oj</w:t>
        </w:r>
      </w:hyperlink>
      <w:r w:rsidRPr="008C71F8">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F58CB" w14:textId="77777777" w:rsidR="00064002" w:rsidRPr="008C71F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633FD" w14:textId="77777777" w:rsidR="00064002" w:rsidRPr="008C71F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EB5B3" w14:textId="77777777" w:rsidR="00064002" w:rsidRPr="008C71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3795527">
    <w:abstractNumId w:val="9"/>
  </w:num>
  <w:num w:numId="2" w16cid:durableId="194007257">
    <w:abstractNumId w:val="9"/>
  </w:num>
  <w:num w:numId="3" w16cid:durableId="1284578458">
    <w:abstractNumId w:val="7"/>
  </w:num>
  <w:num w:numId="4" w16cid:durableId="699401062">
    <w:abstractNumId w:val="7"/>
  </w:num>
  <w:num w:numId="5" w16cid:durableId="212693920">
    <w:abstractNumId w:val="6"/>
  </w:num>
  <w:num w:numId="6" w16cid:durableId="177695163">
    <w:abstractNumId w:val="6"/>
  </w:num>
  <w:num w:numId="7" w16cid:durableId="878206207">
    <w:abstractNumId w:val="5"/>
  </w:num>
  <w:num w:numId="8" w16cid:durableId="162204812">
    <w:abstractNumId w:val="5"/>
  </w:num>
  <w:num w:numId="9" w16cid:durableId="1636525292">
    <w:abstractNumId w:val="4"/>
  </w:num>
  <w:num w:numId="10" w16cid:durableId="1075084108">
    <w:abstractNumId w:val="4"/>
  </w:num>
  <w:num w:numId="11" w16cid:durableId="1160928523">
    <w:abstractNumId w:val="8"/>
  </w:num>
  <w:num w:numId="12" w16cid:durableId="2037926633">
    <w:abstractNumId w:val="8"/>
  </w:num>
  <w:num w:numId="13" w16cid:durableId="1304386760">
    <w:abstractNumId w:val="3"/>
  </w:num>
  <w:num w:numId="14" w16cid:durableId="403644062">
    <w:abstractNumId w:val="3"/>
  </w:num>
  <w:num w:numId="15" w16cid:durableId="1362391656">
    <w:abstractNumId w:val="2"/>
  </w:num>
  <w:num w:numId="16" w16cid:durableId="436949415">
    <w:abstractNumId w:val="2"/>
  </w:num>
  <w:num w:numId="17" w16cid:durableId="906765581">
    <w:abstractNumId w:val="1"/>
  </w:num>
  <w:num w:numId="18" w16cid:durableId="1540239146">
    <w:abstractNumId w:val="1"/>
  </w:num>
  <w:num w:numId="19" w16cid:durableId="809907737">
    <w:abstractNumId w:val="0"/>
  </w:num>
  <w:num w:numId="20" w16cid:durableId="430324733">
    <w:abstractNumId w:val="0"/>
  </w:num>
  <w:num w:numId="21" w16cid:durableId="1253662245">
    <w:abstractNumId w:val="9"/>
  </w:num>
  <w:num w:numId="22" w16cid:durableId="436170618">
    <w:abstractNumId w:val="7"/>
  </w:num>
  <w:num w:numId="23" w16cid:durableId="413749400">
    <w:abstractNumId w:val="6"/>
  </w:num>
  <w:num w:numId="24" w16cid:durableId="593561959">
    <w:abstractNumId w:val="5"/>
  </w:num>
  <w:num w:numId="25" w16cid:durableId="1399936739">
    <w:abstractNumId w:val="4"/>
  </w:num>
  <w:num w:numId="26" w16cid:durableId="949043649">
    <w:abstractNumId w:val="8"/>
  </w:num>
  <w:num w:numId="27" w16cid:durableId="2077976016">
    <w:abstractNumId w:val="3"/>
  </w:num>
  <w:num w:numId="28" w16cid:durableId="2101875081">
    <w:abstractNumId w:val="2"/>
  </w:num>
  <w:num w:numId="29" w16cid:durableId="2033606076">
    <w:abstractNumId w:val="1"/>
  </w:num>
  <w:num w:numId="30" w16cid:durableId="1730571979">
    <w:abstractNumId w:val="0"/>
  </w:num>
  <w:num w:numId="31" w16cid:durableId="1790660948">
    <w:abstractNumId w:val="9"/>
  </w:num>
  <w:num w:numId="32" w16cid:durableId="2117091296">
    <w:abstractNumId w:val="7"/>
  </w:num>
  <w:num w:numId="33" w16cid:durableId="118308594">
    <w:abstractNumId w:val="6"/>
  </w:num>
  <w:num w:numId="34" w16cid:durableId="1978950336">
    <w:abstractNumId w:val="5"/>
  </w:num>
  <w:num w:numId="35" w16cid:durableId="2050835963">
    <w:abstractNumId w:val="4"/>
  </w:num>
  <w:num w:numId="36" w16cid:durableId="991763042">
    <w:abstractNumId w:val="8"/>
  </w:num>
  <w:num w:numId="37" w16cid:durableId="1306931185">
    <w:abstractNumId w:val="3"/>
  </w:num>
  <w:num w:numId="38" w16cid:durableId="434134389">
    <w:abstractNumId w:val="2"/>
  </w:num>
  <w:num w:numId="39" w16cid:durableId="2035232270">
    <w:abstractNumId w:val="1"/>
  </w:num>
  <w:num w:numId="40" w16cid:durableId="690184929">
    <w:abstractNumId w:val="0"/>
  </w:num>
  <w:num w:numId="41" w16cid:durableId="514610297">
    <w:abstractNumId w:val="10"/>
  </w:num>
  <w:num w:numId="42" w16cid:durableId="1927961854">
    <w:abstractNumId w:val="10"/>
  </w:num>
  <w:num w:numId="43" w16cid:durableId="632053408">
    <w:abstractNumId w:val="10"/>
  </w:num>
  <w:num w:numId="44" w16cid:durableId="867364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6/2025"/>
    <w:docVar w:name="dvlangue" w:val="SV"/>
    <w:docVar w:name="dvnumam" w:val="0"/>
    <w:docVar w:name="dvpe" w:val="775.385"/>
    <w:docVar w:name="dvrapporteur" w:val="Föredragande: "/>
    <w:docVar w:name="dvtitre" w:val="Europaparlamentets resolution av den xx xx 2026 om bekämpning av straffrihet genom EU-sanktioner, inbegripet det globala EU-systemet för sanktioner avseende mänskliga rättigheter (”EU:s Magnitskijlag”)(2025/2049(INI))"/>
  </w:docVars>
  <w:rsids>
    <w:rsidRoot w:val="00023552"/>
    <w:rsid w:val="00002272"/>
    <w:rsid w:val="0002355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07A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861"/>
    <w:rsid w:val="005C2568"/>
    <w:rsid w:val="005F1B17"/>
    <w:rsid w:val="005F4318"/>
    <w:rsid w:val="006037C0"/>
    <w:rsid w:val="00634C7F"/>
    <w:rsid w:val="006631B6"/>
    <w:rsid w:val="00680577"/>
    <w:rsid w:val="006E6D54"/>
    <w:rsid w:val="006F74FA"/>
    <w:rsid w:val="00731ADD"/>
    <w:rsid w:val="0073253E"/>
    <w:rsid w:val="00734777"/>
    <w:rsid w:val="00747932"/>
    <w:rsid w:val="00751A4A"/>
    <w:rsid w:val="00756632"/>
    <w:rsid w:val="00762C74"/>
    <w:rsid w:val="00783981"/>
    <w:rsid w:val="00786EC0"/>
    <w:rsid w:val="007D1690"/>
    <w:rsid w:val="007E22AD"/>
    <w:rsid w:val="00817416"/>
    <w:rsid w:val="00842779"/>
    <w:rsid w:val="00865F67"/>
    <w:rsid w:val="00881A7B"/>
    <w:rsid w:val="008840E5"/>
    <w:rsid w:val="00887B3E"/>
    <w:rsid w:val="008C2AC6"/>
    <w:rsid w:val="008C71F8"/>
    <w:rsid w:val="00930C23"/>
    <w:rsid w:val="0093193B"/>
    <w:rsid w:val="009509D8"/>
    <w:rsid w:val="00950B64"/>
    <w:rsid w:val="00955AA7"/>
    <w:rsid w:val="00981893"/>
    <w:rsid w:val="00A1687D"/>
    <w:rsid w:val="00A43E52"/>
    <w:rsid w:val="00A4678D"/>
    <w:rsid w:val="00A778C7"/>
    <w:rsid w:val="00A859EC"/>
    <w:rsid w:val="00AB441E"/>
    <w:rsid w:val="00AB6293"/>
    <w:rsid w:val="00AE0928"/>
    <w:rsid w:val="00AF3B82"/>
    <w:rsid w:val="00B12E95"/>
    <w:rsid w:val="00B22876"/>
    <w:rsid w:val="00B345D8"/>
    <w:rsid w:val="00B558F0"/>
    <w:rsid w:val="00BD48FE"/>
    <w:rsid w:val="00BD7BD8"/>
    <w:rsid w:val="00BE6ADC"/>
    <w:rsid w:val="00C05BFE"/>
    <w:rsid w:val="00C23CD4"/>
    <w:rsid w:val="00C56434"/>
    <w:rsid w:val="00C61C0C"/>
    <w:rsid w:val="00C941CB"/>
    <w:rsid w:val="00CC2357"/>
    <w:rsid w:val="00CF071A"/>
    <w:rsid w:val="00D058B8"/>
    <w:rsid w:val="00D56C11"/>
    <w:rsid w:val="00D834A0"/>
    <w:rsid w:val="00D872DF"/>
    <w:rsid w:val="00D91E21"/>
    <w:rsid w:val="00DA7FCD"/>
    <w:rsid w:val="00DF2142"/>
    <w:rsid w:val="00E365E1"/>
    <w:rsid w:val="00E820A4"/>
    <w:rsid w:val="00EB006A"/>
    <w:rsid w:val="00EB4772"/>
    <w:rsid w:val="00ED169E"/>
    <w:rsid w:val="00ED4235"/>
    <w:rsid w:val="00F04346"/>
    <w:rsid w:val="00F075DC"/>
    <w:rsid w:val="00F077C2"/>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626083"/>
  <w15:chartTrackingRefBased/>
  <w15:docId w15:val="{2EC207B9-7FEA-4DA0-91FF-220616BA0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56434"/>
    <w:pPr>
      <w:spacing w:after="240"/>
      <w:ind w:left="567" w:hanging="567"/>
    </w:pPr>
  </w:style>
  <w:style w:type="paragraph" w:customStyle="1" w:styleId="EPComma">
    <w:name w:val="EPComma"/>
    <w:basedOn w:val="Normal"/>
    <w:rsid w:val="00C56434"/>
    <w:pPr>
      <w:spacing w:before="480" w:after="240"/>
    </w:pPr>
  </w:style>
  <w:style w:type="character" w:styleId="Hyperlink">
    <w:name w:val="Hyperlink"/>
    <w:basedOn w:val="DefaultParagraphFont"/>
    <w:rsid w:val="00C56434"/>
    <w:rPr>
      <w:color w:val="0563C1" w:themeColor="hyperlink"/>
      <w:u w:val="single"/>
    </w:rPr>
  </w:style>
  <w:style w:type="paragraph" w:styleId="Revision">
    <w:name w:val="Revision"/>
    <w:hidden/>
    <w:uiPriority w:val="99"/>
    <w:semiHidden/>
    <w:rsid w:val="00783981"/>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1/2197/oj" TargetMode="External"/><Relationship Id="rId13" Type="http://schemas.openxmlformats.org/officeDocument/2006/relationships/hyperlink" Target="http://data.europa.eu/eli/dec/2024/1175/oj" TargetMode="External"/><Relationship Id="rId18" Type="http://schemas.openxmlformats.org/officeDocument/2006/relationships/hyperlink" Target="http://data.europa.eu/eli/dec/2023/2721/oj" TargetMode="External"/><Relationship Id="rId3" Type="http://schemas.openxmlformats.org/officeDocument/2006/relationships/hyperlink" Target="http://data.europa.eu/eli/reg_impl/2021/371/oj" TargetMode="External"/><Relationship Id="rId7" Type="http://schemas.openxmlformats.org/officeDocument/2006/relationships/hyperlink" Target="http://data.europa.eu/eli/dec/2021/481/oj" TargetMode="External"/><Relationship Id="rId12" Type="http://schemas.openxmlformats.org/officeDocument/2006/relationships/hyperlink" Target="http://data.europa.eu/eli/dec/2024/1074/oj" TargetMode="External"/><Relationship Id="rId17" Type="http://schemas.openxmlformats.org/officeDocument/2006/relationships/hyperlink" Target="http://data.europa.eu/eli/dec/2025/1110/oj" TargetMode="External"/><Relationship Id="rId2" Type="http://schemas.openxmlformats.org/officeDocument/2006/relationships/hyperlink" Target="http://data.europa.eu/eli/reg/2020/1998/oj" TargetMode="External"/><Relationship Id="rId16" Type="http://schemas.openxmlformats.org/officeDocument/2006/relationships/hyperlink" Target="http://data.europa.eu/eli/dec/2025/346/oj" TargetMode="External"/><Relationship Id="rId1" Type="http://schemas.openxmlformats.org/officeDocument/2006/relationships/hyperlink" Target="http://data.europa.eu/eli/dec/2020/1999/oj" TargetMode="External"/><Relationship Id="rId6" Type="http://schemas.openxmlformats.org/officeDocument/2006/relationships/hyperlink" Target="http://data.europa.eu/eli/dec/2021/372/oj" TargetMode="External"/><Relationship Id="rId11" Type="http://schemas.openxmlformats.org/officeDocument/2006/relationships/hyperlink" Target="http://data.europa.eu/eli/dec/2024/1025/oj" TargetMode="External"/><Relationship Id="rId5" Type="http://schemas.openxmlformats.org/officeDocument/2006/relationships/hyperlink" Target="http://data.europa.eu/eli/reg_impl/2025/1111/oj" TargetMode="External"/><Relationship Id="rId15" Type="http://schemas.openxmlformats.org/officeDocument/2006/relationships/hyperlink" Target="http://data.europa.eu/eli/dec/2024/3004/oj" TargetMode="External"/><Relationship Id="rId10" Type="http://schemas.openxmlformats.org/officeDocument/2006/relationships/hyperlink" Target="http://data.europa.eu/eli/dec/2023/1716/oj" TargetMode="External"/><Relationship Id="rId19" Type="http://schemas.openxmlformats.org/officeDocument/2006/relationships/hyperlink" Target="http://data.europa.eu/eli/reg/1996/2271/oj" TargetMode="External"/><Relationship Id="rId4" Type="http://schemas.openxmlformats.org/officeDocument/2006/relationships/hyperlink" Target="http://data.europa.eu/eli/reg_impl/2021/478/oj" TargetMode="External"/><Relationship Id="rId9" Type="http://schemas.openxmlformats.org/officeDocument/2006/relationships/hyperlink" Target="http://data.europa.eu/eli/dec/2023/1504/oj" TargetMode="External"/><Relationship Id="rId14" Type="http://schemas.openxmlformats.org/officeDocument/2006/relationships/hyperlink" Target="http://data.europa.eu/eli/dec/2024/1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3801</Words>
  <Characters>25273</Characters>
  <Application>Microsoft Office Word</Application>
  <DocSecurity>0</DocSecurity>
  <Lines>210</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EDHOLM Erik Thomas</cp:lastModifiedBy>
  <cp:revision>2</cp:revision>
  <cp:lastPrinted>2004-11-19T15:42:00Z</cp:lastPrinted>
  <dcterms:created xsi:type="dcterms:W3CDTF">2026-02-25T10:28:00Z</dcterms:created>
  <dcterms:modified xsi:type="dcterms:W3CDTF">2026-02-25T10:28:00Z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A10-0266/2025</vt:lpwstr>
  </property>
  <property fmtid="{D5CDD505-2E9C-101B-9397-08002B2CF9AE}" pid="4" name="&lt;Type&gt;">
    <vt:lpwstr>RR</vt:lpwstr>
  </property>
</Properties>
</file>