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1E1F" w14:paraId="1691CC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5EA7A3" w14:textId="77777777" w:rsidR="00751A4A" w:rsidRPr="00861E1F" w:rsidRDefault="00A03AFD" w:rsidP="0010095E">
            <w:pPr>
              <w:pStyle w:val="EPName"/>
            </w:pPr>
            <w:r w:rsidRPr="00861E1F">
              <w:t>Evropský parlament</w:t>
            </w:r>
          </w:p>
          <w:p w14:paraId="6951F14D" w14:textId="77777777" w:rsidR="00751A4A" w:rsidRPr="00861E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1E1F">
              <w:t>2024</w:t>
            </w:r>
            <w:r w:rsidR="00817416" w:rsidRPr="00861E1F">
              <w:t>-202</w:t>
            </w:r>
            <w:r w:rsidRPr="00861E1F">
              <w:t>9</w:t>
            </w:r>
          </w:p>
        </w:tc>
        <w:tc>
          <w:tcPr>
            <w:tcW w:w="2268" w:type="dxa"/>
            <w:shd w:val="clear" w:color="auto" w:fill="auto"/>
          </w:tcPr>
          <w:p w14:paraId="07A3160E" w14:textId="77777777" w:rsidR="00751A4A" w:rsidRPr="00861E1F" w:rsidRDefault="00187494" w:rsidP="0010095E">
            <w:pPr>
              <w:pStyle w:val="EPLogo"/>
            </w:pPr>
            <w:r w:rsidRPr="00861E1F">
              <w:rPr>
                <w:noProof/>
                <w:lang w:eastAsia="ja-JP"/>
              </w:rPr>
              <w:drawing>
                <wp:inline distT="0" distB="0" distL="0" distR="0" wp14:anchorId="27E98EB0" wp14:editId="4613AC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70C3D8" w14:textId="77777777" w:rsidR="00D058B8" w:rsidRPr="00861E1F" w:rsidRDefault="00D058B8" w:rsidP="004C5D52">
      <w:pPr>
        <w:pStyle w:val="LineTop"/>
      </w:pPr>
    </w:p>
    <w:p w14:paraId="6B16246F" w14:textId="77777777" w:rsidR="00680577" w:rsidRPr="00861E1F" w:rsidRDefault="00A03AFD" w:rsidP="00680577">
      <w:pPr>
        <w:pStyle w:val="EPBodyTA1"/>
      </w:pPr>
      <w:r w:rsidRPr="00861E1F">
        <w:t>PŘIJATÉ TEXTY</w:t>
      </w:r>
    </w:p>
    <w:p w14:paraId="4B80B6FA" w14:textId="77777777" w:rsidR="00D058B8" w:rsidRPr="00861E1F" w:rsidRDefault="00D058B8" w:rsidP="00D058B8">
      <w:pPr>
        <w:pStyle w:val="LineBottom"/>
      </w:pPr>
    </w:p>
    <w:p w14:paraId="23F86A04" w14:textId="14CC2FA7" w:rsidR="00A03AFD" w:rsidRPr="00861E1F" w:rsidRDefault="00A03AFD" w:rsidP="00A03AFD">
      <w:pPr>
        <w:pStyle w:val="ATHeading1"/>
      </w:pPr>
      <w:bookmarkStart w:id="0" w:name="TANumber"/>
      <w:r w:rsidRPr="00861E1F">
        <w:t>P10_TA(2026)00</w:t>
      </w:r>
      <w:r w:rsidR="005923EC">
        <w:t>17</w:t>
      </w:r>
      <w:bookmarkEnd w:id="0"/>
    </w:p>
    <w:p w14:paraId="0C07E317" w14:textId="77777777" w:rsidR="00A03AFD" w:rsidRPr="00861E1F" w:rsidRDefault="00A03AFD" w:rsidP="00A03AFD">
      <w:pPr>
        <w:pStyle w:val="ATHeading2"/>
      </w:pPr>
      <w:bookmarkStart w:id="1" w:name="title"/>
      <w:r w:rsidRPr="00861E1F">
        <w:t xml:space="preserve">Případ Josepha </w:t>
      </w:r>
      <w:proofErr w:type="spellStart"/>
      <w:r w:rsidRPr="00861E1F">
        <w:t>Figueiry</w:t>
      </w:r>
      <w:proofErr w:type="spellEnd"/>
      <w:r w:rsidRPr="00861E1F">
        <w:t xml:space="preserve"> Martina ve Středoafrické republice</w:t>
      </w:r>
      <w:bookmarkEnd w:id="1"/>
    </w:p>
    <w:p w14:paraId="259F8F59" w14:textId="67449E3F" w:rsidR="00A03AFD" w:rsidRPr="00861E1F" w:rsidRDefault="00A03AFD" w:rsidP="00A03AFD">
      <w:pPr>
        <w:rPr>
          <w:i/>
          <w:vanish/>
        </w:rPr>
      </w:pPr>
      <w:r w:rsidRPr="00861E1F">
        <w:rPr>
          <w:i/>
        </w:rPr>
        <w:fldChar w:fldCharType="begin"/>
      </w:r>
      <w:r w:rsidRPr="00861E1F">
        <w:rPr>
          <w:i/>
        </w:rPr>
        <w:instrText xml:space="preserve"> TC"(</w:instrText>
      </w:r>
      <w:bookmarkStart w:id="2" w:name="DocNumber"/>
      <w:r w:rsidRPr="00861E1F">
        <w:rPr>
          <w:i/>
        </w:rPr>
        <w:instrText>B10-0066</w:instrText>
      </w:r>
      <w:r w:rsidR="00F716ED">
        <w:rPr>
          <w:i/>
        </w:rPr>
        <w:instrText>, 0088, 0091, 0093, 0094 a 0096</w:instrText>
      </w:r>
      <w:r w:rsidRPr="00861E1F">
        <w:rPr>
          <w:i/>
        </w:rPr>
        <w:instrText>/2026</w:instrText>
      </w:r>
      <w:bookmarkEnd w:id="2"/>
      <w:r w:rsidRPr="00861E1F">
        <w:rPr>
          <w:i/>
        </w:rPr>
        <w:instrText xml:space="preserve">)"\l3 \n&gt; \* MERGEFORMAT </w:instrText>
      </w:r>
      <w:r w:rsidRPr="00861E1F">
        <w:rPr>
          <w:i/>
        </w:rPr>
        <w:fldChar w:fldCharType="end"/>
      </w:r>
    </w:p>
    <w:p w14:paraId="754B0054" w14:textId="77777777" w:rsidR="00A03AFD" w:rsidRPr="00861E1F" w:rsidRDefault="00A03AFD" w:rsidP="00A03AFD">
      <w:pPr>
        <w:rPr>
          <w:vanish/>
        </w:rPr>
      </w:pPr>
      <w:bookmarkStart w:id="3" w:name="PE"/>
      <w:r w:rsidRPr="00861E1F">
        <w:rPr>
          <w:vanish/>
        </w:rPr>
        <w:t>PE782.022</w:t>
      </w:r>
      <w:bookmarkEnd w:id="3"/>
    </w:p>
    <w:p w14:paraId="59587CCB" w14:textId="77777777" w:rsidR="00A03AFD" w:rsidRPr="00861E1F" w:rsidRDefault="00A03AFD" w:rsidP="00A03AFD">
      <w:pPr>
        <w:pStyle w:val="ATHeading3"/>
      </w:pPr>
      <w:bookmarkStart w:id="4" w:name="Sujet"/>
      <w:r w:rsidRPr="00861E1F">
        <w:t xml:space="preserve">Usnesení Evropského parlamentu ze dne 22. ledna 2026 o případu Josepha </w:t>
      </w:r>
      <w:proofErr w:type="spellStart"/>
      <w:r w:rsidRPr="00861E1F">
        <w:t>Figueiry</w:t>
      </w:r>
      <w:proofErr w:type="spellEnd"/>
      <w:r w:rsidRPr="00861E1F">
        <w:t xml:space="preserve"> Martina ve Středoafrické republice</w:t>
      </w:r>
      <w:bookmarkEnd w:id="4"/>
      <w:r w:rsidRPr="00861E1F">
        <w:t xml:space="preserve"> </w:t>
      </w:r>
      <w:bookmarkStart w:id="5" w:name="References"/>
      <w:r w:rsidRPr="00861E1F">
        <w:t>(2026/2572(RSP))</w:t>
      </w:r>
      <w:bookmarkEnd w:id="5"/>
    </w:p>
    <w:p w14:paraId="60E87B6B" w14:textId="77777777" w:rsidR="0006322D" w:rsidRPr="00861E1F" w:rsidRDefault="0006322D" w:rsidP="0006322D">
      <w:pPr>
        <w:pStyle w:val="EPComma"/>
      </w:pPr>
      <w:bookmarkStart w:id="6" w:name="TextBodyBegin"/>
      <w:bookmarkEnd w:id="6"/>
      <w:r w:rsidRPr="00861E1F">
        <w:rPr>
          <w:i/>
        </w:rPr>
        <w:t>Evropský parlament</w:t>
      </w:r>
      <w:r w:rsidRPr="00861E1F">
        <w:t>,</w:t>
      </w:r>
    </w:p>
    <w:p w14:paraId="51D39408" w14:textId="77777777" w:rsidR="0006322D" w:rsidRPr="00861E1F" w:rsidRDefault="0006322D" w:rsidP="0006322D">
      <w:pPr>
        <w:pStyle w:val="NormalHanging12a"/>
      </w:pPr>
      <w:r w:rsidRPr="00861E1F">
        <w:t>–</w:t>
      </w:r>
      <w:r w:rsidRPr="00861E1F">
        <w:tab/>
        <w:t>s ohledem na čl. 150 odst. 5 a čl. 136 odst. 4 jednacího řádu,</w:t>
      </w:r>
    </w:p>
    <w:p w14:paraId="3CE2E0C8" w14:textId="77777777" w:rsidR="0006322D" w:rsidRPr="00861E1F" w:rsidRDefault="0006322D" w:rsidP="0006322D">
      <w:pPr>
        <w:pStyle w:val="NormalHanging12a"/>
      </w:pPr>
      <w:r w:rsidRPr="00861E1F">
        <w:t>A.</w:t>
      </w:r>
      <w:r w:rsidRPr="00861E1F">
        <w:tab/>
        <w:t xml:space="preserve">vzhledem k tomu, že dne 26. května 2024 Wagnerova skupina ve Středoafrické republice unesla humanitárního výzkumného pracovníka Josepha </w:t>
      </w:r>
      <w:proofErr w:type="spellStart"/>
      <w:r w:rsidRPr="00861E1F">
        <w:t>Figueiru</w:t>
      </w:r>
      <w:proofErr w:type="spellEnd"/>
      <w:r w:rsidRPr="00861E1F">
        <w:t xml:space="preserve"> Martina, držitele dvojího, belgicko-portugalského občanství, který zde byl zapojen do rozvojového projektu nevládní organizace FHI 360, a později jej předala orgánům |Středoafrické republiky;</w:t>
      </w:r>
    </w:p>
    <w:p w14:paraId="66D62561" w14:textId="77777777" w:rsidR="0006322D" w:rsidRPr="00861E1F" w:rsidRDefault="0006322D" w:rsidP="0006322D">
      <w:pPr>
        <w:pStyle w:val="NormalHanging12a"/>
      </w:pPr>
      <w:r w:rsidRPr="00861E1F">
        <w:t>B.</w:t>
      </w:r>
      <w:r w:rsidRPr="00861E1F">
        <w:tab/>
        <w:t xml:space="preserve">vzhledem k tomu, že Joseph Martin byl držen v samovazbě a mučen v Centrále boje proti kriminalitě (OCRB) v Bangui, což je zařízení provozované Wagnerovou skupinou; vzhledem k tomu, že ve vazbě strávil v nelidských podmínkách a bez přístupu k lékařské péči více než rok, aniž by proběhl soudní proces; </w:t>
      </w:r>
    </w:p>
    <w:p w14:paraId="4064FA71" w14:textId="4F45D85C" w:rsidR="0006322D" w:rsidRPr="00861E1F" w:rsidRDefault="0006322D" w:rsidP="0006322D">
      <w:pPr>
        <w:pStyle w:val="NormalHanging12a"/>
      </w:pPr>
      <w:r w:rsidRPr="00861E1F">
        <w:t>C.</w:t>
      </w:r>
      <w:r w:rsidRPr="00861E1F">
        <w:tab/>
        <w:t>vzhledem k tomu, že dne 4. listopadu 2025 trestní soud v Bangui shledal Josepha Martina vinným z několika trestných činů, včetně napomáhání zločinnému spiknutí a ohrožování státní bezpečnosti, a na základě nepodložených obvinění jej odsoudil k 10</w:t>
      </w:r>
      <w:r w:rsidR="008E7A1C" w:rsidRPr="00861E1F">
        <w:t> </w:t>
      </w:r>
      <w:r w:rsidRPr="00861E1F">
        <w:t>letům nucených prací a pokutě 50 milionů franků CFA na úhradu škod a občanskou kompenzaci;</w:t>
      </w:r>
    </w:p>
    <w:p w14:paraId="7CE892B8" w14:textId="77777777" w:rsidR="0006322D" w:rsidRPr="00861E1F" w:rsidRDefault="0006322D" w:rsidP="0006322D">
      <w:pPr>
        <w:pStyle w:val="NormalHanging12a"/>
      </w:pPr>
      <w:r w:rsidRPr="00861E1F">
        <w:t>1.</w:t>
      </w:r>
      <w:r w:rsidRPr="00861E1F">
        <w:tab/>
        <w:t>připomíná, že ve svém usnesení ze dne 10. července 2025</w:t>
      </w:r>
      <w:r w:rsidRPr="00861E1F">
        <w:rPr>
          <w:rStyle w:val="FootnoteReference"/>
        </w:rPr>
        <w:footnoteReference w:id="1"/>
      </w:r>
      <w:r w:rsidRPr="00861E1F">
        <w:t xml:space="preserve"> žádal, aby byl Joseph Martin okamžitě a bezpodmínečně propuštěn; vyjadřuje politování nad tím, že orgány Středoafrické republiky se stále zdráhají tomuto požadavku vyhovět, čímž dále zhoršují jeho situaci;</w:t>
      </w:r>
      <w:r w:rsidRPr="00861E1F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01519C9A" w14:textId="77777777" w:rsidR="0006322D" w:rsidRPr="00861E1F" w:rsidRDefault="0006322D" w:rsidP="0006322D">
      <w:pPr>
        <w:pStyle w:val="NormalHanging12a"/>
      </w:pPr>
      <w:r w:rsidRPr="00861E1F">
        <w:t>2.</w:t>
      </w:r>
      <w:r w:rsidRPr="00861E1F">
        <w:tab/>
        <w:t>požaduje, aby orgány Středoafrické republiky Josepha Martina okamžitě a bezpodmínečně propustily; zdůrazňuje, že pokračující věznění občana EU v těchto podmínkách je nepřijatelné vzhledem k vážným obavám ohledně řádnosti a spravedlnosti soudního procesu;</w:t>
      </w:r>
    </w:p>
    <w:p w14:paraId="32F167E2" w14:textId="77777777" w:rsidR="0006322D" w:rsidRPr="00861E1F" w:rsidRDefault="0006322D" w:rsidP="0006322D">
      <w:pPr>
        <w:pStyle w:val="NormalHanging12a"/>
      </w:pPr>
      <w:r w:rsidRPr="00861E1F">
        <w:lastRenderedPageBreak/>
        <w:t>3.</w:t>
      </w:r>
      <w:r w:rsidRPr="00861E1F">
        <w:tab/>
        <w:t>důrazně vyzývá orgány Středoafrické republiky, aby okamžitě povolily zdravotní evakuaci Josepha Martina vzhledem k tomu, že se vážně zhoršil jeho zdravotní stav a projevují se u něj první známky oční choroby, a aby mu mezitím v plném souladu s mezinárodními standardy v oblasti lidských práv zaručily okamžitý a ničím neomezený přístup ke specializované lékařské péči, včetně nezávislých lékařů, k právnímu poradenství a konzulární pomoci a povolily návštěvy rodinných příslušníků;</w:t>
      </w:r>
    </w:p>
    <w:p w14:paraId="722B1BD2" w14:textId="77777777" w:rsidR="0006322D" w:rsidRPr="00861E1F" w:rsidRDefault="0006322D" w:rsidP="0006322D">
      <w:pPr>
        <w:pStyle w:val="NormalHanging12a"/>
      </w:pPr>
      <w:r w:rsidRPr="00861E1F">
        <w:t>4.</w:t>
      </w:r>
      <w:r w:rsidRPr="00861E1F">
        <w:tab/>
        <w:t>vyzývá Komisi, místopředsedkyni Komise, vysokou představitelku a Radu, aby ve spolupráci s Belgií a Portugalskem uvalily na všechny osoby, které jsou odpovědné za svévolné zadržení, špatné zacházení a odsouzení Josepha Martina cílené sankce, včetně zákazu cestování a zmrazení majetku, pokud orgány Středoafrické republiky budou pokračovat v porušování jeho práv;</w:t>
      </w:r>
    </w:p>
    <w:p w14:paraId="7AD74102" w14:textId="77777777" w:rsidR="0006322D" w:rsidRPr="00861E1F" w:rsidRDefault="0006322D" w:rsidP="0006322D">
      <w:pPr>
        <w:pStyle w:val="NormalHanging12a"/>
      </w:pPr>
      <w:r w:rsidRPr="00861E1F">
        <w:t>5.</w:t>
      </w:r>
      <w:r w:rsidRPr="00861E1F">
        <w:tab/>
        <w:t>žádá, aby Parlament vyslal do Středoafrické republiky misi ad hoc, aby posoudila situaci Josepha Martina a zvýšila tlak na jeho propuštění;</w:t>
      </w:r>
    </w:p>
    <w:p w14:paraId="2EE5D9BF" w14:textId="77777777" w:rsidR="0006322D" w:rsidRPr="00861E1F" w:rsidRDefault="0006322D" w:rsidP="0006322D">
      <w:pPr>
        <w:pStyle w:val="NormalHanging12a"/>
      </w:pPr>
      <w:r w:rsidRPr="00861E1F">
        <w:t>6.</w:t>
      </w:r>
      <w:r w:rsidRPr="00861E1F">
        <w:tab/>
        <w:t>trvá na tom, že všechna soudní řízení, včetně odvolacích řízení, musí důsledně splňovat záruky řádného procesu zakotvené v Mezinárodním paktu o občanských a politických právech a ve vnitrostátním právu Středoafrické republiky, protože jejich nesplnění je porušením základních práv;</w:t>
      </w:r>
    </w:p>
    <w:p w14:paraId="42DF3D24" w14:textId="77777777" w:rsidR="0006322D" w:rsidRPr="00861E1F" w:rsidRDefault="0006322D" w:rsidP="0006322D">
      <w:pPr>
        <w:pStyle w:val="NormalHanging12a"/>
      </w:pPr>
      <w:r w:rsidRPr="00861E1F">
        <w:t>7.</w:t>
      </w:r>
      <w:r w:rsidRPr="00861E1F">
        <w:tab/>
        <w:t>znovu vyzývá Radu, aby Wagnerovu skupinu označila za teroristickou organizaci;</w:t>
      </w:r>
    </w:p>
    <w:p w14:paraId="0939763B" w14:textId="77777777" w:rsidR="0006322D" w:rsidRPr="00861E1F" w:rsidRDefault="0006322D" w:rsidP="0006322D">
      <w:pPr>
        <w:pStyle w:val="NormalHanging12a"/>
      </w:pPr>
      <w:bookmarkStart w:id="7" w:name="_Hlk219889039"/>
      <w:bookmarkStart w:id="8" w:name="_Hlk219888648"/>
      <w:r w:rsidRPr="00861E1F">
        <w:t>8.</w:t>
      </w:r>
      <w:r w:rsidRPr="00861E1F">
        <w:tab/>
        <w:t>zdůrazňuje, že EU a její členské státy jsou povinny za všech okolností chránit humanitární pracovníky a pracovníky účastnící se rozvojových projektů, a odsuzuje jejich svévolné zatýkání, věznění a pronásledování; zdůrazňuje, že tyto činy porušují mezinárodní humanitární právo a práva humanitárních pracovníků;</w:t>
      </w:r>
      <w:bookmarkEnd w:id="7"/>
    </w:p>
    <w:bookmarkEnd w:id="8"/>
    <w:p w14:paraId="7C797B57" w14:textId="6A861EBD" w:rsidR="00CB3DFA" w:rsidRPr="00861E1F" w:rsidRDefault="0006322D" w:rsidP="00CB3DFA">
      <w:pPr>
        <w:pStyle w:val="NormalHanging12a"/>
      </w:pPr>
      <w:r w:rsidRPr="00861E1F">
        <w:t>9.</w:t>
      </w:r>
      <w:r w:rsidRPr="00861E1F">
        <w:tab/>
        <w:t>pověřuje svou předsedkyni, aby předala toto usnesení Radě, Komisi, vysoké představitelce, místopředsedkyni Komise, vládě a parlamentu Středoafrické republiky, Africké unii a Organizaci spojených národů.</w:t>
      </w:r>
    </w:p>
    <w:p w14:paraId="1D71F0EE" w14:textId="4BF21EC0" w:rsidR="00E365E1" w:rsidRPr="00861E1F" w:rsidRDefault="00E365E1" w:rsidP="00A03AFD"/>
    <w:sectPr w:rsidR="00E365E1" w:rsidRPr="00861E1F" w:rsidSect="00CB3D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E095C" w14:textId="77777777" w:rsidR="00A03AFD" w:rsidRPr="00CB3DFA" w:rsidRDefault="00A03AFD">
      <w:r w:rsidRPr="00CB3DFA">
        <w:separator/>
      </w:r>
    </w:p>
  </w:endnote>
  <w:endnote w:type="continuationSeparator" w:id="0">
    <w:p w14:paraId="0A621FEF" w14:textId="77777777" w:rsidR="00A03AFD" w:rsidRPr="00CB3DFA" w:rsidRDefault="00A03AFD">
      <w:r w:rsidRPr="00CB3D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E6018" w14:textId="77777777" w:rsidR="00064002" w:rsidRPr="00CB3D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AB5D" w14:textId="77777777" w:rsidR="00064002" w:rsidRPr="00CB3D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98F80" w14:textId="77777777" w:rsidR="00064002" w:rsidRPr="00CB3D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4B72A" w14:textId="77777777" w:rsidR="00A03AFD" w:rsidRPr="00CB3DFA" w:rsidRDefault="00A03AFD">
      <w:r w:rsidRPr="00CB3DFA">
        <w:separator/>
      </w:r>
    </w:p>
  </w:footnote>
  <w:footnote w:type="continuationSeparator" w:id="0">
    <w:p w14:paraId="006C6D65" w14:textId="77777777" w:rsidR="00A03AFD" w:rsidRPr="00CB3DFA" w:rsidRDefault="00A03AFD">
      <w:r w:rsidRPr="00CB3DFA">
        <w:continuationSeparator/>
      </w:r>
    </w:p>
  </w:footnote>
  <w:footnote w:id="1">
    <w:p w14:paraId="2DE26208" w14:textId="0F83E46B" w:rsidR="0006322D" w:rsidRPr="00CB3DFA" w:rsidRDefault="0006322D" w:rsidP="00CB3DFA">
      <w:pPr>
        <w:pStyle w:val="FootnoteText"/>
        <w:ind w:left="567" w:hanging="567"/>
        <w:rPr>
          <w:sz w:val="24"/>
          <w:lang w:val="cs-CZ"/>
        </w:rPr>
      </w:pPr>
      <w:r w:rsidRPr="00CB3DFA">
        <w:rPr>
          <w:rStyle w:val="FootnoteReference"/>
          <w:sz w:val="24"/>
          <w:lang w:val="cs-CZ"/>
        </w:rPr>
        <w:footnoteRef/>
      </w:r>
      <w:r w:rsidR="00CB3DFA" w:rsidRPr="00CB3DFA">
        <w:rPr>
          <w:sz w:val="24"/>
          <w:lang w:val="cs-CZ"/>
        </w:rPr>
        <w:t xml:space="preserve"> </w:t>
      </w:r>
      <w:r w:rsidR="00CB3DFA" w:rsidRPr="00CB3DFA">
        <w:rPr>
          <w:sz w:val="24"/>
          <w:lang w:val="cs-CZ"/>
        </w:rPr>
        <w:tab/>
      </w:r>
      <w:r w:rsidRPr="00CB3DFA">
        <w:rPr>
          <w:sz w:val="24"/>
          <w:lang w:val="cs-CZ"/>
        </w:rPr>
        <w:t>Přijaté texty, P10_</w:t>
      </w:r>
      <w:proofErr w:type="gramStart"/>
      <w:r w:rsidRPr="00CB3DFA">
        <w:rPr>
          <w:sz w:val="24"/>
          <w:lang w:val="cs-CZ"/>
        </w:rPr>
        <w:t>TA(</w:t>
      </w:r>
      <w:proofErr w:type="gramEnd"/>
      <w:r w:rsidRPr="00CB3DFA">
        <w:rPr>
          <w:sz w:val="24"/>
          <w:lang w:val="cs-CZ"/>
        </w:rPr>
        <w:t>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6559" w14:textId="77777777" w:rsidR="00064002" w:rsidRPr="00CB3D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A21" w14:textId="77777777" w:rsidR="00064002" w:rsidRPr="00CB3D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DFD8" w14:textId="77777777" w:rsidR="00064002" w:rsidRPr="00CB3D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6303823">
    <w:abstractNumId w:val="9"/>
  </w:num>
  <w:num w:numId="2" w16cid:durableId="1659116738">
    <w:abstractNumId w:val="9"/>
  </w:num>
  <w:num w:numId="3" w16cid:durableId="1120687489">
    <w:abstractNumId w:val="7"/>
  </w:num>
  <w:num w:numId="4" w16cid:durableId="1801991734">
    <w:abstractNumId w:val="7"/>
  </w:num>
  <w:num w:numId="5" w16cid:durableId="1984116437">
    <w:abstractNumId w:val="6"/>
  </w:num>
  <w:num w:numId="6" w16cid:durableId="531722228">
    <w:abstractNumId w:val="6"/>
  </w:num>
  <w:num w:numId="7" w16cid:durableId="353769132">
    <w:abstractNumId w:val="5"/>
  </w:num>
  <w:num w:numId="8" w16cid:durableId="1051730823">
    <w:abstractNumId w:val="5"/>
  </w:num>
  <w:num w:numId="9" w16cid:durableId="1714574800">
    <w:abstractNumId w:val="4"/>
  </w:num>
  <w:num w:numId="10" w16cid:durableId="1373656385">
    <w:abstractNumId w:val="4"/>
  </w:num>
  <w:num w:numId="11" w16cid:durableId="585656117">
    <w:abstractNumId w:val="8"/>
  </w:num>
  <w:num w:numId="12" w16cid:durableId="408894562">
    <w:abstractNumId w:val="8"/>
  </w:num>
  <w:num w:numId="13" w16cid:durableId="1763649043">
    <w:abstractNumId w:val="3"/>
  </w:num>
  <w:num w:numId="14" w16cid:durableId="609320510">
    <w:abstractNumId w:val="3"/>
  </w:num>
  <w:num w:numId="15" w16cid:durableId="1628855393">
    <w:abstractNumId w:val="2"/>
  </w:num>
  <w:num w:numId="16" w16cid:durableId="1527062008">
    <w:abstractNumId w:val="2"/>
  </w:num>
  <w:num w:numId="17" w16cid:durableId="732041293">
    <w:abstractNumId w:val="1"/>
  </w:num>
  <w:num w:numId="18" w16cid:durableId="1047992279">
    <w:abstractNumId w:val="1"/>
  </w:num>
  <w:num w:numId="19" w16cid:durableId="817694809">
    <w:abstractNumId w:val="0"/>
  </w:num>
  <w:num w:numId="20" w16cid:durableId="590700659">
    <w:abstractNumId w:val="0"/>
  </w:num>
  <w:num w:numId="21" w16cid:durableId="1137340734">
    <w:abstractNumId w:val="9"/>
  </w:num>
  <w:num w:numId="22" w16cid:durableId="1217158635">
    <w:abstractNumId w:val="7"/>
  </w:num>
  <w:num w:numId="23" w16cid:durableId="467095572">
    <w:abstractNumId w:val="6"/>
  </w:num>
  <w:num w:numId="24" w16cid:durableId="1948997048">
    <w:abstractNumId w:val="5"/>
  </w:num>
  <w:num w:numId="25" w16cid:durableId="892817476">
    <w:abstractNumId w:val="4"/>
  </w:num>
  <w:num w:numId="26" w16cid:durableId="1031149500">
    <w:abstractNumId w:val="8"/>
  </w:num>
  <w:num w:numId="27" w16cid:durableId="1731421524">
    <w:abstractNumId w:val="3"/>
  </w:num>
  <w:num w:numId="28" w16cid:durableId="489637694">
    <w:abstractNumId w:val="2"/>
  </w:num>
  <w:num w:numId="29" w16cid:durableId="1245645861">
    <w:abstractNumId w:val="1"/>
  </w:num>
  <w:num w:numId="30" w16cid:durableId="2025205880">
    <w:abstractNumId w:val="0"/>
  </w:num>
  <w:num w:numId="31" w16cid:durableId="1411349133">
    <w:abstractNumId w:val="9"/>
  </w:num>
  <w:num w:numId="32" w16cid:durableId="1496074251">
    <w:abstractNumId w:val="7"/>
  </w:num>
  <w:num w:numId="33" w16cid:durableId="574554810">
    <w:abstractNumId w:val="6"/>
  </w:num>
  <w:num w:numId="34" w16cid:durableId="215355543">
    <w:abstractNumId w:val="5"/>
  </w:num>
  <w:num w:numId="35" w16cid:durableId="886768541">
    <w:abstractNumId w:val="4"/>
  </w:num>
  <w:num w:numId="36" w16cid:durableId="81225392">
    <w:abstractNumId w:val="8"/>
  </w:num>
  <w:num w:numId="37" w16cid:durableId="401611130">
    <w:abstractNumId w:val="3"/>
  </w:num>
  <w:num w:numId="38" w16cid:durableId="1864248630">
    <w:abstractNumId w:val="2"/>
  </w:num>
  <w:num w:numId="39" w16cid:durableId="1882128547">
    <w:abstractNumId w:val="1"/>
  </w:num>
  <w:num w:numId="40" w16cid:durableId="1203135146">
    <w:abstractNumId w:val="0"/>
  </w:num>
  <w:num w:numId="41" w16cid:durableId="1937329177">
    <w:abstractNumId w:val="10"/>
  </w:num>
  <w:num w:numId="42" w16cid:durableId="820733938">
    <w:abstractNumId w:val="10"/>
  </w:num>
  <w:num w:numId="43" w16cid:durableId="1760983202">
    <w:abstractNumId w:val="10"/>
  </w:num>
  <w:num w:numId="44" w16cid:durableId="1438793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/2026"/>
    <w:docVar w:name="dvlangue" w:val="CS"/>
    <w:docVar w:name="dvnumam" w:val="0"/>
    <w:docVar w:name="dvpe" w:val="782.022"/>
    <w:docVar w:name="dvtitre" w:val="Usnesení Evropského parlamentu ze dne 22. ledna 2026 o případu Josepha Figueiry Martina ve Středoafrické republice(2026/2572(RSP))"/>
  </w:docVars>
  <w:rsids>
    <w:rsidRoot w:val="00A03AFD"/>
    <w:rsid w:val="00002272"/>
    <w:rsid w:val="0006322D"/>
    <w:rsid w:val="00064002"/>
    <w:rsid w:val="000677B9"/>
    <w:rsid w:val="000831BA"/>
    <w:rsid w:val="000A42CC"/>
    <w:rsid w:val="000E7DD9"/>
    <w:rsid w:val="0010095E"/>
    <w:rsid w:val="00125B37"/>
    <w:rsid w:val="001613B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85"/>
    <w:rsid w:val="004C0004"/>
    <w:rsid w:val="004C5D52"/>
    <w:rsid w:val="0050519A"/>
    <w:rsid w:val="005072A1"/>
    <w:rsid w:val="00514517"/>
    <w:rsid w:val="00545827"/>
    <w:rsid w:val="00560270"/>
    <w:rsid w:val="005923E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E1F"/>
    <w:rsid w:val="00865F67"/>
    <w:rsid w:val="00881A7B"/>
    <w:rsid w:val="008840E5"/>
    <w:rsid w:val="00887B3E"/>
    <w:rsid w:val="008C2AC6"/>
    <w:rsid w:val="008E7A1C"/>
    <w:rsid w:val="00930C23"/>
    <w:rsid w:val="0093193B"/>
    <w:rsid w:val="009509D8"/>
    <w:rsid w:val="00950B64"/>
    <w:rsid w:val="00981893"/>
    <w:rsid w:val="00A03AFD"/>
    <w:rsid w:val="00A1687D"/>
    <w:rsid w:val="00A43E52"/>
    <w:rsid w:val="00A4678D"/>
    <w:rsid w:val="00A5618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DF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6E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E1FCD"/>
  <w15:chartTrackingRefBased/>
  <w15:docId w15:val="{65D637E8-A775-48D6-B6C0-BBD04FD2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6322D"/>
    <w:pPr>
      <w:spacing w:after="240"/>
      <w:ind w:left="567" w:hanging="567"/>
    </w:pPr>
  </w:style>
  <w:style w:type="paragraph" w:customStyle="1" w:styleId="EPComma">
    <w:name w:val="EPComma"/>
    <w:basedOn w:val="Normal"/>
    <w:rsid w:val="0006322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6322D"/>
    <w:rPr>
      <w:sz w:val="24"/>
      <w:lang w:val="cs-CZ"/>
    </w:rPr>
  </w:style>
  <w:style w:type="paragraph" w:styleId="Revision">
    <w:name w:val="Revision"/>
    <w:hidden/>
    <w:uiPriority w:val="99"/>
    <w:semiHidden/>
    <w:rsid w:val="001613B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2026-01-22T11:47:00Z</dcterms:created>
  <dcterms:modified xsi:type="dcterms:W3CDTF">2026-01-22T11:47:00Z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B10-0066/2026</vt:lpwstr>
  </property>
  <property fmtid="{D5CDD505-2E9C-101B-9397-08002B2CF9AE}" pid="4" name="&lt;Type&gt;">
    <vt:lpwstr>RR</vt:lpwstr>
  </property>
</Properties>
</file>