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617C" w14:paraId="079EDA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06D8F6" w14:textId="77777777" w:rsidR="00751A4A" w:rsidRPr="00CB617C" w:rsidRDefault="00B63322" w:rsidP="0010095E">
            <w:pPr>
              <w:pStyle w:val="EPName"/>
            </w:pPr>
            <w:r w:rsidRPr="00CB617C">
              <w:t>Parlamento europeo</w:t>
            </w:r>
          </w:p>
          <w:p w14:paraId="5BBE058B" w14:textId="77777777" w:rsidR="00751A4A" w:rsidRPr="00CB61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617C">
              <w:t>2024</w:t>
            </w:r>
            <w:r w:rsidR="00817416" w:rsidRPr="00CB617C">
              <w:t>-202</w:t>
            </w:r>
            <w:r w:rsidRPr="00CB617C">
              <w:t>9</w:t>
            </w:r>
          </w:p>
        </w:tc>
        <w:tc>
          <w:tcPr>
            <w:tcW w:w="2268" w:type="dxa"/>
            <w:shd w:val="clear" w:color="auto" w:fill="auto"/>
          </w:tcPr>
          <w:p w14:paraId="23E79DD6" w14:textId="77777777" w:rsidR="00751A4A" w:rsidRPr="00CB617C" w:rsidRDefault="00187494" w:rsidP="0010095E">
            <w:pPr>
              <w:pStyle w:val="EPLogo"/>
            </w:pPr>
            <w:r w:rsidRPr="00CB617C">
              <w:rPr>
                <w:noProof/>
                <w:lang w:eastAsia="ja-JP"/>
              </w:rPr>
              <w:drawing>
                <wp:inline distT="0" distB="0" distL="0" distR="0" wp14:anchorId="7AC2A6E5" wp14:editId="188987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28D731" w14:textId="77777777" w:rsidR="00D058B8" w:rsidRPr="00CB617C" w:rsidRDefault="00D058B8" w:rsidP="004C5D52">
      <w:pPr>
        <w:pStyle w:val="LineTop"/>
      </w:pPr>
    </w:p>
    <w:p w14:paraId="5DD4673D" w14:textId="77777777" w:rsidR="00680577" w:rsidRPr="00CB617C" w:rsidRDefault="00B63322" w:rsidP="00680577">
      <w:pPr>
        <w:pStyle w:val="EPBodyTA1"/>
      </w:pPr>
      <w:r w:rsidRPr="00CB617C">
        <w:t>TESTI APPROVATI</w:t>
      </w:r>
    </w:p>
    <w:p w14:paraId="3889737D" w14:textId="77777777" w:rsidR="00D058B8" w:rsidRPr="00CB617C" w:rsidRDefault="00D058B8" w:rsidP="00D058B8">
      <w:pPr>
        <w:pStyle w:val="LineBottom"/>
      </w:pPr>
    </w:p>
    <w:p w14:paraId="0C206492" w14:textId="4280E79B" w:rsidR="00B63322" w:rsidRPr="00CB617C" w:rsidRDefault="00B63322" w:rsidP="00B63322">
      <w:pPr>
        <w:pStyle w:val="ATHeading1"/>
      </w:pPr>
      <w:bookmarkStart w:id="0" w:name="TANumber"/>
      <w:r w:rsidRPr="00CB617C">
        <w:t>P10_TA(2026)00</w:t>
      </w:r>
      <w:bookmarkEnd w:id="0"/>
      <w:r w:rsidR="0005340D">
        <w:t>17</w:t>
      </w:r>
    </w:p>
    <w:p w14:paraId="51BEE691" w14:textId="77777777" w:rsidR="00B63322" w:rsidRPr="00CB617C" w:rsidRDefault="00B63322" w:rsidP="00B63322">
      <w:pPr>
        <w:pStyle w:val="ATHeading2"/>
      </w:pPr>
      <w:bookmarkStart w:id="1" w:name="title"/>
      <w:r w:rsidRPr="00CB617C">
        <w:t>Il caso di Joseph Figueira Martin nella Repubblica centrafricana</w:t>
      </w:r>
      <w:bookmarkEnd w:id="1"/>
    </w:p>
    <w:p w14:paraId="23A024FD" w14:textId="0BB9AE2D" w:rsidR="00B63322" w:rsidRPr="00CB617C" w:rsidRDefault="00B63322" w:rsidP="00B63322">
      <w:pPr>
        <w:rPr>
          <w:i/>
          <w:vanish/>
        </w:rPr>
      </w:pPr>
      <w:r w:rsidRPr="00CB617C">
        <w:rPr>
          <w:i/>
        </w:rPr>
        <w:fldChar w:fldCharType="begin"/>
      </w:r>
      <w:r w:rsidRPr="00CB617C">
        <w:rPr>
          <w:i/>
        </w:rPr>
        <w:instrText xml:space="preserve"> TC"(</w:instrText>
      </w:r>
      <w:bookmarkStart w:id="2" w:name="DocNumber"/>
      <w:r w:rsidRPr="00CB617C">
        <w:rPr>
          <w:i/>
        </w:rPr>
        <w:instrText>B10-0066</w:instrText>
      </w:r>
      <w:r w:rsidR="00427575" w:rsidRPr="00CB617C">
        <w:rPr>
          <w:i/>
        </w:rPr>
        <w:instrText>, 0088, 0091, 0093, 0094 e 0096</w:instrText>
      </w:r>
      <w:r w:rsidRPr="00CB617C">
        <w:rPr>
          <w:i/>
        </w:rPr>
        <w:instrText>/2026</w:instrText>
      </w:r>
      <w:bookmarkEnd w:id="2"/>
      <w:r w:rsidRPr="00CB617C">
        <w:rPr>
          <w:i/>
        </w:rPr>
        <w:instrText xml:space="preserve">)"\l3 \n&gt; \* MERGEFORMAT </w:instrText>
      </w:r>
      <w:r w:rsidRPr="00CB617C">
        <w:rPr>
          <w:i/>
        </w:rPr>
        <w:fldChar w:fldCharType="end"/>
      </w:r>
    </w:p>
    <w:p w14:paraId="51B7CF5B" w14:textId="77777777" w:rsidR="00B63322" w:rsidRPr="00CB617C" w:rsidRDefault="00B63322" w:rsidP="00B63322">
      <w:pPr>
        <w:rPr>
          <w:vanish/>
        </w:rPr>
      </w:pPr>
      <w:bookmarkStart w:id="3" w:name="PE"/>
      <w:r w:rsidRPr="00CB617C">
        <w:rPr>
          <w:vanish/>
        </w:rPr>
        <w:t>PE782.022</w:t>
      </w:r>
      <w:bookmarkEnd w:id="3"/>
    </w:p>
    <w:p w14:paraId="32E75EDF" w14:textId="39243A76" w:rsidR="00B63322" w:rsidRPr="00CB617C" w:rsidRDefault="00B63322" w:rsidP="00C71A90">
      <w:pPr>
        <w:pStyle w:val="ATHeading3"/>
      </w:pPr>
      <w:bookmarkStart w:id="4" w:name="Sujet"/>
      <w:r w:rsidRPr="00CB617C">
        <w:t>Risoluzione del Parlamento europeo del 22 gennaio 2026 sul caso di Joseph Figueira Martin nella Repubblica centrafricana</w:t>
      </w:r>
      <w:bookmarkEnd w:id="4"/>
      <w:r w:rsidRPr="00CB617C">
        <w:t xml:space="preserve"> </w:t>
      </w:r>
      <w:bookmarkStart w:id="5" w:name="References"/>
      <w:r w:rsidRPr="00CB617C">
        <w:t>(2026/2572(RSP))</w:t>
      </w:r>
      <w:bookmarkEnd w:id="5"/>
    </w:p>
    <w:p w14:paraId="6A871D2B" w14:textId="77777777" w:rsidR="006C6D06" w:rsidRPr="00CB617C" w:rsidRDefault="006C6D06" w:rsidP="006C6D06">
      <w:pPr>
        <w:pStyle w:val="EPComma"/>
      </w:pPr>
      <w:bookmarkStart w:id="6" w:name="TextBodyBegin"/>
      <w:bookmarkEnd w:id="6"/>
      <w:r w:rsidRPr="00CB617C">
        <w:rPr>
          <w:i/>
        </w:rPr>
        <w:t>Il Parlamento europeo</w:t>
      </w:r>
      <w:r w:rsidRPr="00CB617C">
        <w:t>,</w:t>
      </w:r>
    </w:p>
    <w:p w14:paraId="5C76F654" w14:textId="77777777" w:rsidR="006C6D06" w:rsidRPr="00CB617C" w:rsidRDefault="006C6D06" w:rsidP="006C6D06">
      <w:pPr>
        <w:pStyle w:val="NormalHanging12a"/>
      </w:pPr>
      <w:r w:rsidRPr="00CB617C">
        <w:t>–</w:t>
      </w:r>
      <w:r w:rsidRPr="00CB617C">
        <w:tab/>
        <w:t>visti l'articolo 150, paragrafo 5, e l'articolo 136, paragrafo 4, del suo regolamento,</w:t>
      </w:r>
    </w:p>
    <w:p w14:paraId="5AD4CA15" w14:textId="77777777" w:rsidR="006C6D06" w:rsidRPr="00CB617C" w:rsidRDefault="006C6D06" w:rsidP="006C6D06">
      <w:pPr>
        <w:pStyle w:val="NormalHanging12a"/>
      </w:pPr>
      <w:r w:rsidRPr="00CB617C">
        <w:t>A.</w:t>
      </w:r>
      <w:r w:rsidRPr="00CB617C">
        <w:tab/>
        <w:t>considerando che Joseph Figueira Martin, un ricercatore umanitario dalla doppia cittadinanza belga e portoghese alle dipendenze dell'organizzazione non governativa FHI 360, il 26 maggio 2024 è stato rapito dal gruppo Wagner mentre lavorava a un progetto di sviluppo nella Repubblica centrafricana ed è stato successivamente consegnato alle autorità della Repubblica centrafricana;</w:t>
      </w:r>
    </w:p>
    <w:p w14:paraId="3059721A" w14:textId="758D06E6" w:rsidR="006C6D06" w:rsidRPr="00CB617C" w:rsidRDefault="006C6D06" w:rsidP="006C6D06">
      <w:pPr>
        <w:pStyle w:val="NormalHanging12a"/>
      </w:pPr>
      <w:r w:rsidRPr="00CB617C">
        <w:t>B.</w:t>
      </w:r>
      <w:r w:rsidRPr="00CB617C">
        <w:tab/>
        <w:t>considerando che è stato detenuto in isolamento presso l'Ufficio centrale per la repressione del banditismo (OCRB) a Bangui, in una struttura gestita dal gruppo Wagner, ed è stato sottoposto a tortura; che è rimasto in stato di detenzione per più di un anno in condizioni disumane, senza accesso a cure mediche e senza processo;</w:t>
      </w:r>
    </w:p>
    <w:p w14:paraId="727B2D8D" w14:textId="3E4EA0F6" w:rsidR="006C6D06" w:rsidRPr="00CB617C" w:rsidRDefault="006C6D06" w:rsidP="006C6D06">
      <w:pPr>
        <w:pStyle w:val="NormalHanging12a"/>
      </w:pPr>
      <w:r w:rsidRPr="00CB617C">
        <w:t>C.</w:t>
      </w:r>
      <w:r w:rsidRPr="00CB617C">
        <w:tab/>
        <w:t xml:space="preserve">considerando che il 4 novembre 2025 un tribunale penale di Bangui ha dichiarato il </w:t>
      </w:r>
      <w:r w:rsidR="00C71A90" w:rsidRPr="00CB617C">
        <w:t xml:space="preserve">Joseph Figueira Martin </w:t>
      </w:r>
      <w:r w:rsidRPr="00CB617C">
        <w:t>colpevole di vari reati, tra cui la complicità in associazione a delinquere e la minaccia alla sicurezza dello Stato, e lo ha condannato a dieci anni di lavori forzati e a pagare 50 milioni di franchi CFA di danni e risarcimento civile sulla base di accuse infondate;</w:t>
      </w:r>
    </w:p>
    <w:p w14:paraId="7A8F7FD1" w14:textId="77777777" w:rsidR="006C6D06" w:rsidRPr="00CB617C" w:rsidRDefault="006C6D06" w:rsidP="006C6D06">
      <w:pPr>
        <w:pStyle w:val="NormalHanging12a"/>
      </w:pPr>
      <w:r w:rsidRPr="00CB617C">
        <w:t>1.</w:t>
      </w:r>
      <w:r w:rsidRPr="00CB617C">
        <w:tab/>
        <w:t>ricorda che, nella sua risoluzione del 10 luglio 2025</w:t>
      </w:r>
      <w:r w:rsidRPr="00CB617C">
        <w:rPr>
          <w:rStyle w:val="FootnoteReference"/>
        </w:rPr>
        <w:footnoteReference w:id="1"/>
      </w:r>
      <w:r w:rsidRPr="00CB617C">
        <w:t>, il Parlamento ha chiesto il rilascio immediato e incondizionato di Joseph Figueira Martin; deplora la persistente inosservanza da parte delle autorità della Repubblica centrafricana, cosa che sta aggravando ulteriormente la sua situazione;</w:t>
      </w:r>
      <w:r w:rsidRPr="00CB617C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6E277008" w14:textId="77777777" w:rsidR="006C6D06" w:rsidRPr="00CB617C" w:rsidRDefault="006C6D06" w:rsidP="006C6D06">
      <w:pPr>
        <w:pStyle w:val="NormalHanging12a"/>
      </w:pPr>
      <w:r w:rsidRPr="00CB617C">
        <w:t>2.</w:t>
      </w:r>
      <w:r w:rsidRPr="00CB617C">
        <w:tab/>
        <w:t>chiede che le autorità della Repubblica centrafricana rilascino immediatamente e incondizionatamente Joseph Figueira Martin; sottolinea che la continua privazione della libertà di un cittadino dell'UE in simili circostanze rimane inaccettabile, alla luce delle gravi preoccupazioni in materia di giusto processo ed equità del procedimento;</w:t>
      </w:r>
    </w:p>
    <w:p w14:paraId="7A01CD87" w14:textId="77777777" w:rsidR="006C6D06" w:rsidRPr="00CB617C" w:rsidRDefault="006C6D06" w:rsidP="006C6D06">
      <w:pPr>
        <w:pStyle w:val="NormalHanging12a"/>
      </w:pPr>
      <w:r w:rsidRPr="00CB617C">
        <w:lastRenderedPageBreak/>
        <w:t>3.</w:t>
      </w:r>
      <w:r w:rsidRPr="00CB617C">
        <w:tab/>
        <w:t>esorta le autorità della Repubblica centrafricana ad autorizzare immediatamente l'evacuazione medica di Joseph Figueira Martin, in considerazione del grave deterioramento delle sue condizioni di salute e dell'insorgenza di disabilità visive, e, nel frattempo, a garantirgli un accesso immediato e senza restrizioni a cure mediche specializzate, anche da parte di medici indipendenti, nonché all'assistenza legale, all'assistenza consolare e alle visite dei suoi familiari, nel pieno rispetto delle norme internazionali in materia di diritti umani;</w:t>
      </w:r>
    </w:p>
    <w:p w14:paraId="3236A02A" w14:textId="77777777" w:rsidR="006C6D06" w:rsidRPr="00CB617C" w:rsidRDefault="006C6D06" w:rsidP="006C6D06">
      <w:pPr>
        <w:pStyle w:val="NormalHanging12a"/>
      </w:pPr>
      <w:r w:rsidRPr="00CB617C">
        <w:t>4.</w:t>
      </w:r>
      <w:r w:rsidRPr="00CB617C">
        <w:tab/>
        <w:t>invita la Commissione, la VP/AR e il Consiglio, in coordinamento con le autorità del Belgio e del Portogallo, a imporre sanzioni mirate, tra cui il divieto di viaggio e il congelamento dei beni, a tutte le persone responsabili della detenzione arbitraria, del maltrattamento e della condanna di Joseph Figueira Martin, qualora le autorità della Repubblica centrafricana continuino a violare i suoi diritti;</w:t>
      </w:r>
    </w:p>
    <w:p w14:paraId="74AB494A" w14:textId="77777777" w:rsidR="006C6D06" w:rsidRPr="00CB617C" w:rsidRDefault="006C6D06" w:rsidP="006C6D06">
      <w:pPr>
        <w:pStyle w:val="NormalHanging12a"/>
      </w:pPr>
      <w:r w:rsidRPr="00CB617C">
        <w:t>5.</w:t>
      </w:r>
      <w:r w:rsidRPr="00CB617C">
        <w:tab/>
        <w:t>chiede una missione ad hoc del Parlamento nella Repubblica centrafricana per valutare la situazione di Joseph Figueira Martin e aumentare la pressione a favore del suo rilascio;</w:t>
      </w:r>
    </w:p>
    <w:p w14:paraId="6A279A82" w14:textId="77777777" w:rsidR="006C6D06" w:rsidRPr="00CB617C" w:rsidRDefault="006C6D06" w:rsidP="006C6D06">
      <w:pPr>
        <w:pStyle w:val="NormalHanging12a"/>
      </w:pPr>
      <w:r w:rsidRPr="00CB617C">
        <w:t>6.</w:t>
      </w:r>
      <w:r w:rsidRPr="00CB617C">
        <w:tab/>
        <w:t>insiste affinché qualsiasi procedimento giudiziario, compresi eventuali procedimenti di ricorso, rispetti rigorosamente le garanzie del giusto processo sancite dal Patto internazionale relativo ai diritti civili e politici e dal quadro giuridico nazionale della Repubblica centrafricana, poiché la loro violazione costituisce una violazione dei diritti fondamentali;</w:t>
      </w:r>
    </w:p>
    <w:p w14:paraId="0C5F6C89" w14:textId="77777777" w:rsidR="006C6D06" w:rsidRPr="00CB617C" w:rsidRDefault="006C6D06" w:rsidP="006C6D06">
      <w:pPr>
        <w:pStyle w:val="NormalHanging12a"/>
      </w:pPr>
      <w:r w:rsidRPr="00CB617C">
        <w:t>7.</w:t>
      </w:r>
      <w:r w:rsidRPr="00CB617C">
        <w:tab/>
        <w:t>rinnova il suo invito al Consiglio a inserire il gruppo Wagner nell'elenco delle organizzazioni terroristiche;</w:t>
      </w:r>
    </w:p>
    <w:p w14:paraId="43D3682F" w14:textId="77777777" w:rsidR="006C6D06" w:rsidRPr="00CB617C" w:rsidRDefault="006C6D06" w:rsidP="006C6D06">
      <w:pPr>
        <w:pStyle w:val="NormalHanging12a"/>
      </w:pPr>
      <w:bookmarkStart w:id="7" w:name="_Hlk219889039"/>
      <w:bookmarkStart w:id="8" w:name="_Hlk219888648"/>
      <w:r w:rsidRPr="00CB617C">
        <w:t>8.</w:t>
      </w:r>
      <w:r w:rsidRPr="00CB617C">
        <w:tab/>
        <w:t>sottolinea il dovere dell'UE e dei suoi Stati membri di proteggere in ogni circostanza gli operatori umanitari e nel campo dello sviluppo e condanna il loro arresto, la loro detenzione o il loro perseguimento arbitrari; sottolinea che simili atti violano il diritto internazionale umanitario e i diritti degli operatori umanitari;</w:t>
      </w:r>
      <w:bookmarkEnd w:id="7"/>
    </w:p>
    <w:bookmarkEnd w:id="8"/>
    <w:p w14:paraId="40DB791F" w14:textId="1E6111FC" w:rsidR="00E365E1" w:rsidRPr="00CB617C" w:rsidRDefault="006C6D06" w:rsidP="00C71A90">
      <w:pPr>
        <w:pStyle w:val="NormalHanging12a"/>
      </w:pPr>
      <w:r w:rsidRPr="00CB617C">
        <w:t>9.</w:t>
      </w:r>
      <w:r w:rsidRPr="00CB617C">
        <w:tab/>
        <w:t>incarica la sua Presidente di trasmettere la presente risoluzione al Consiglio, alla Commissione e alla VP</w:t>
      </w:r>
      <w:r w:rsidR="00C71A90" w:rsidRPr="00CB617C">
        <w:t> </w:t>
      </w:r>
      <w:r w:rsidRPr="00CB617C">
        <w:t>/</w:t>
      </w:r>
      <w:r w:rsidR="00C71A90" w:rsidRPr="00CB617C">
        <w:t> </w:t>
      </w:r>
      <w:r w:rsidRPr="00CB617C">
        <w:t>AR, nonché al governo e al parlamento della Repubblica centrafricana, all'Unione africana e alle Nazioni Unite.</w:t>
      </w:r>
    </w:p>
    <w:sectPr w:rsidR="00E365E1" w:rsidRPr="00CB617C" w:rsidSect="00F132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A5A61" w14:textId="77777777" w:rsidR="00B63322" w:rsidRPr="00F132EA" w:rsidRDefault="00B63322">
      <w:r w:rsidRPr="00F132EA">
        <w:separator/>
      </w:r>
    </w:p>
  </w:endnote>
  <w:endnote w:type="continuationSeparator" w:id="0">
    <w:p w14:paraId="267B972F" w14:textId="77777777" w:rsidR="00B63322" w:rsidRPr="00F132EA" w:rsidRDefault="00B63322">
      <w:r w:rsidRPr="00F132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28A31" w14:textId="77777777" w:rsidR="00064002" w:rsidRPr="00F132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7698" w14:textId="77777777" w:rsidR="00064002" w:rsidRPr="00F132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64722" w14:textId="77777777" w:rsidR="00064002" w:rsidRPr="00F132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01F79" w14:textId="77777777" w:rsidR="00B63322" w:rsidRPr="00F132EA" w:rsidRDefault="00B63322">
      <w:r w:rsidRPr="00F132EA">
        <w:separator/>
      </w:r>
    </w:p>
  </w:footnote>
  <w:footnote w:type="continuationSeparator" w:id="0">
    <w:p w14:paraId="3EB28F8B" w14:textId="77777777" w:rsidR="00B63322" w:rsidRPr="00F132EA" w:rsidRDefault="00B63322">
      <w:r w:rsidRPr="00F132EA">
        <w:continuationSeparator/>
      </w:r>
    </w:p>
  </w:footnote>
  <w:footnote w:id="1">
    <w:p w14:paraId="0479CF14" w14:textId="36C61B3C" w:rsidR="006C6D06" w:rsidRPr="00F132EA" w:rsidRDefault="006C6D06" w:rsidP="00F132EA">
      <w:pPr>
        <w:pStyle w:val="FootnoteText"/>
        <w:ind w:left="567" w:hanging="567"/>
        <w:rPr>
          <w:sz w:val="24"/>
          <w:lang w:val="it-IT"/>
        </w:rPr>
      </w:pPr>
      <w:r w:rsidRPr="00F132EA">
        <w:rPr>
          <w:rStyle w:val="FootnoteReference"/>
          <w:sz w:val="24"/>
          <w:lang w:val="it-IT"/>
        </w:rPr>
        <w:footnoteRef/>
      </w:r>
      <w:r w:rsidR="00F132EA" w:rsidRPr="00F132EA">
        <w:rPr>
          <w:sz w:val="24"/>
          <w:lang w:val="it-IT"/>
        </w:rPr>
        <w:t xml:space="preserve"> </w:t>
      </w:r>
      <w:r w:rsidR="00F132EA" w:rsidRPr="00F132EA">
        <w:rPr>
          <w:sz w:val="24"/>
          <w:lang w:val="it-IT"/>
        </w:rPr>
        <w:tab/>
      </w:r>
      <w:r w:rsidRPr="00F132EA">
        <w:rPr>
          <w:sz w:val="24"/>
          <w:lang w:val="it-IT"/>
        </w:rPr>
        <w:t>Testi approvati, P10_TA(2025)0162.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0A99" w14:textId="77777777" w:rsidR="00064002" w:rsidRPr="00F132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8E378" w14:textId="77777777" w:rsidR="00064002" w:rsidRPr="00F132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A09E9" w14:textId="77777777" w:rsidR="00064002" w:rsidRPr="00F132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8340772">
    <w:abstractNumId w:val="9"/>
  </w:num>
  <w:num w:numId="2" w16cid:durableId="932785615">
    <w:abstractNumId w:val="9"/>
  </w:num>
  <w:num w:numId="3" w16cid:durableId="2035842444">
    <w:abstractNumId w:val="7"/>
  </w:num>
  <w:num w:numId="4" w16cid:durableId="162594866">
    <w:abstractNumId w:val="7"/>
  </w:num>
  <w:num w:numId="5" w16cid:durableId="765002147">
    <w:abstractNumId w:val="6"/>
  </w:num>
  <w:num w:numId="6" w16cid:durableId="1054811013">
    <w:abstractNumId w:val="6"/>
  </w:num>
  <w:num w:numId="7" w16cid:durableId="408842809">
    <w:abstractNumId w:val="5"/>
  </w:num>
  <w:num w:numId="8" w16cid:durableId="956330813">
    <w:abstractNumId w:val="5"/>
  </w:num>
  <w:num w:numId="9" w16cid:durableId="130709174">
    <w:abstractNumId w:val="4"/>
  </w:num>
  <w:num w:numId="10" w16cid:durableId="2145003947">
    <w:abstractNumId w:val="4"/>
  </w:num>
  <w:num w:numId="11" w16cid:durableId="1746758770">
    <w:abstractNumId w:val="8"/>
  </w:num>
  <w:num w:numId="12" w16cid:durableId="867335482">
    <w:abstractNumId w:val="8"/>
  </w:num>
  <w:num w:numId="13" w16cid:durableId="1821925587">
    <w:abstractNumId w:val="3"/>
  </w:num>
  <w:num w:numId="14" w16cid:durableId="729498298">
    <w:abstractNumId w:val="3"/>
  </w:num>
  <w:num w:numId="15" w16cid:durableId="1078093300">
    <w:abstractNumId w:val="2"/>
  </w:num>
  <w:num w:numId="16" w16cid:durableId="1495493465">
    <w:abstractNumId w:val="2"/>
  </w:num>
  <w:num w:numId="17" w16cid:durableId="1324507220">
    <w:abstractNumId w:val="1"/>
  </w:num>
  <w:num w:numId="18" w16cid:durableId="203636953">
    <w:abstractNumId w:val="1"/>
  </w:num>
  <w:num w:numId="19" w16cid:durableId="530848361">
    <w:abstractNumId w:val="0"/>
  </w:num>
  <w:num w:numId="20" w16cid:durableId="1894777646">
    <w:abstractNumId w:val="0"/>
  </w:num>
  <w:num w:numId="21" w16cid:durableId="471868976">
    <w:abstractNumId w:val="9"/>
  </w:num>
  <w:num w:numId="22" w16cid:durableId="1757629014">
    <w:abstractNumId w:val="7"/>
  </w:num>
  <w:num w:numId="23" w16cid:durableId="123162106">
    <w:abstractNumId w:val="6"/>
  </w:num>
  <w:num w:numId="24" w16cid:durableId="155345233">
    <w:abstractNumId w:val="5"/>
  </w:num>
  <w:num w:numId="25" w16cid:durableId="1980182139">
    <w:abstractNumId w:val="4"/>
  </w:num>
  <w:num w:numId="26" w16cid:durableId="260334238">
    <w:abstractNumId w:val="8"/>
  </w:num>
  <w:num w:numId="27" w16cid:durableId="1680352302">
    <w:abstractNumId w:val="3"/>
  </w:num>
  <w:num w:numId="28" w16cid:durableId="1205290089">
    <w:abstractNumId w:val="2"/>
  </w:num>
  <w:num w:numId="29" w16cid:durableId="1196045498">
    <w:abstractNumId w:val="1"/>
  </w:num>
  <w:num w:numId="30" w16cid:durableId="1777014809">
    <w:abstractNumId w:val="0"/>
  </w:num>
  <w:num w:numId="31" w16cid:durableId="340938324">
    <w:abstractNumId w:val="9"/>
  </w:num>
  <w:num w:numId="32" w16cid:durableId="1846168072">
    <w:abstractNumId w:val="7"/>
  </w:num>
  <w:num w:numId="33" w16cid:durableId="115569747">
    <w:abstractNumId w:val="6"/>
  </w:num>
  <w:num w:numId="34" w16cid:durableId="1427268180">
    <w:abstractNumId w:val="5"/>
  </w:num>
  <w:num w:numId="35" w16cid:durableId="7105989">
    <w:abstractNumId w:val="4"/>
  </w:num>
  <w:num w:numId="36" w16cid:durableId="1672634367">
    <w:abstractNumId w:val="8"/>
  </w:num>
  <w:num w:numId="37" w16cid:durableId="2064793185">
    <w:abstractNumId w:val="3"/>
  </w:num>
  <w:num w:numId="38" w16cid:durableId="1966621025">
    <w:abstractNumId w:val="2"/>
  </w:num>
  <w:num w:numId="39" w16cid:durableId="1974677912">
    <w:abstractNumId w:val="1"/>
  </w:num>
  <w:num w:numId="40" w16cid:durableId="1871995191">
    <w:abstractNumId w:val="0"/>
  </w:num>
  <w:num w:numId="41" w16cid:durableId="771439952">
    <w:abstractNumId w:val="10"/>
  </w:num>
  <w:num w:numId="42" w16cid:durableId="977757527">
    <w:abstractNumId w:val="10"/>
  </w:num>
  <w:num w:numId="43" w16cid:durableId="491916779">
    <w:abstractNumId w:val="10"/>
  </w:num>
  <w:num w:numId="44" w16cid:durableId="1841507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/2026"/>
    <w:docVar w:name="dvlangue" w:val="IT"/>
    <w:docVar w:name="dvnumam" w:val="0"/>
    <w:docVar w:name="dvpe" w:val="782.022"/>
    <w:docVar w:name="dvtitre" w:val="Risoluzione del Parlamento europeo del 22 gennaio 2026 sul caso di Joseph Figueira Martin nella Repubblica centrafricana(2026/2572(RSP))"/>
  </w:docVars>
  <w:rsids>
    <w:rsidRoot w:val="00B63322"/>
    <w:rsid w:val="00002272"/>
    <w:rsid w:val="0005340D"/>
    <w:rsid w:val="00064002"/>
    <w:rsid w:val="000677B9"/>
    <w:rsid w:val="000831BA"/>
    <w:rsid w:val="000A42CC"/>
    <w:rsid w:val="000E7DD9"/>
    <w:rsid w:val="0010095E"/>
    <w:rsid w:val="00125B37"/>
    <w:rsid w:val="00187494"/>
    <w:rsid w:val="001F057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57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D0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322"/>
    <w:rsid w:val="00BD48FE"/>
    <w:rsid w:val="00BD7BD8"/>
    <w:rsid w:val="00BE6ADC"/>
    <w:rsid w:val="00C05BFE"/>
    <w:rsid w:val="00C23CD4"/>
    <w:rsid w:val="00C61C0C"/>
    <w:rsid w:val="00C71A90"/>
    <w:rsid w:val="00C941CB"/>
    <w:rsid w:val="00CB617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2EA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8949B"/>
  <w15:chartTrackingRefBased/>
  <w15:docId w15:val="{79A8BFA3-E3FF-4274-94AF-5617D341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C6D06"/>
    <w:pPr>
      <w:spacing w:after="240"/>
      <w:ind w:left="567" w:hanging="567"/>
    </w:pPr>
  </w:style>
  <w:style w:type="paragraph" w:customStyle="1" w:styleId="EPComma">
    <w:name w:val="EPComma"/>
    <w:basedOn w:val="Normal"/>
    <w:rsid w:val="006C6D0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C6D06"/>
    <w:rPr>
      <w:sz w:val="24"/>
      <w:lang w:val="it-IT"/>
    </w:rPr>
  </w:style>
  <w:style w:type="paragraph" w:styleId="Revision">
    <w:name w:val="Revision"/>
    <w:hidden/>
    <w:uiPriority w:val="99"/>
    <w:semiHidden/>
    <w:rsid w:val="00C71A90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2026-01-22T11:36:00Z</dcterms:created>
  <dcterms:modified xsi:type="dcterms:W3CDTF">2026-01-22T11:36:00Z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B10-0066/2026</vt:lpwstr>
  </property>
  <property fmtid="{D5CDD505-2E9C-101B-9397-08002B2CF9AE}" pid="4" name="&lt;Type&gt;">
    <vt:lpwstr>RR</vt:lpwstr>
  </property>
</Properties>
</file>