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36FF" w14:paraId="26AE45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4A71F0" w14:textId="77777777" w:rsidR="00751A4A" w:rsidRPr="008536FF" w:rsidRDefault="00067F96" w:rsidP="0010095E">
            <w:pPr>
              <w:pStyle w:val="EPName"/>
            </w:pPr>
            <w:r w:rsidRPr="008536FF">
              <w:t>Parlament Europejski</w:t>
            </w:r>
          </w:p>
          <w:p w14:paraId="0401D44A" w14:textId="77777777" w:rsidR="00751A4A" w:rsidRPr="008536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36FF">
              <w:t>2024</w:t>
            </w:r>
            <w:r w:rsidR="00817416" w:rsidRPr="008536FF">
              <w:t>-202</w:t>
            </w:r>
            <w:r w:rsidRPr="008536FF">
              <w:t>9</w:t>
            </w:r>
          </w:p>
        </w:tc>
        <w:tc>
          <w:tcPr>
            <w:tcW w:w="2268" w:type="dxa"/>
            <w:shd w:val="clear" w:color="auto" w:fill="auto"/>
          </w:tcPr>
          <w:p w14:paraId="5539D507" w14:textId="77777777" w:rsidR="00751A4A" w:rsidRPr="008536FF" w:rsidRDefault="00187494" w:rsidP="0010095E">
            <w:pPr>
              <w:pStyle w:val="EPLogo"/>
            </w:pPr>
            <w:r w:rsidRPr="008536FF">
              <w:rPr>
                <w:noProof/>
                <w:lang w:eastAsia="ja-JP"/>
              </w:rPr>
              <w:drawing>
                <wp:inline distT="0" distB="0" distL="0" distR="0" wp14:anchorId="2F0EAD0F" wp14:editId="6111E7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B04F62" w14:textId="77777777" w:rsidR="00D058B8" w:rsidRPr="008536FF" w:rsidRDefault="00D058B8" w:rsidP="004C5D52">
      <w:pPr>
        <w:pStyle w:val="LineTop"/>
      </w:pPr>
    </w:p>
    <w:p w14:paraId="34E20572" w14:textId="77777777" w:rsidR="00680577" w:rsidRPr="008536FF" w:rsidRDefault="00067F96" w:rsidP="00680577">
      <w:pPr>
        <w:pStyle w:val="EPBodyTA1"/>
      </w:pPr>
      <w:r w:rsidRPr="008536FF">
        <w:t>TEKSTY PRZYJĘTE</w:t>
      </w:r>
    </w:p>
    <w:p w14:paraId="5DF7ABA5" w14:textId="77777777" w:rsidR="00D058B8" w:rsidRPr="008536FF" w:rsidRDefault="00D058B8" w:rsidP="00D058B8">
      <w:pPr>
        <w:pStyle w:val="LineBottom"/>
      </w:pPr>
    </w:p>
    <w:p w14:paraId="0180D2DB" w14:textId="033A5BAB" w:rsidR="00067F96" w:rsidRPr="008536FF" w:rsidRDefault="00067F96" w:rsidP="00067F96">
      <w:pPr>
        <w:pStyle w:val="ATHeading1"/>
      </w:pPr>
      <w:bookmarkStart w:id="0" w:name="TANumber"/>
      <w:r w:rsidRPr="008536FF">
        <w:t>P10_TA(2026)00</w:t>
      </w:r>
      <w:r w:rsidR="00DF2F7D">
        <w:t>17</w:t>
      </w:r>
      <w:bookmarkEnd w:id="0"/>
    </w:p>
    <w:p w14:paraId="4625BCFA" w14:textId="77777777" w:rsidR="00067F96" w:rsidRPr="008536FF" w:rsidRDefault="00067F96" w:rsidP="00067F96">
      <w:pPr>
        <w:pStyle w:val="ATHeading2"/>
      </w:pPr>
      <w:bookmarkStart w:id="1" w:name="title"/>
      <w:r w:rsidRPr="008536FF">
        <w:t>Przypadek Josepha Figueiry Martina w Republice Środkowej Afryki</w:t>
      </w:r>
      <w:bookmarkEnd w:id="1"/>
    </w:p>
    <w:p w14:paraId="30CF9D1C" w14:textId="3DC69EB2" w:rsidR="00067F96" w:rsidRPr="008536FF" w:rsidRDefault="00067F96" w:rsidP="00067F96">
      <w:pPr>
        <w:rPr>
          <w:i/>
          <w:vanish/>
        </w:rPr>
      </w:pPr>
      <w:r w:rsidRPr="008536FF">
        <w:rPr>
          <w:i/>
        </w:rPr>
        <w:fldChar w:fldCharType="begin"/>
      </w:r>
      <w:r w:rsidRPr="008536FF">
        <w:rPr>
          <w:i/>
        </w:rPr>
        <w:instrText xml:space="preserve"> TC"(</w:instrText>
      </w:r>
      <w:bookmarkStart w:id="2" w:name="DocNumber"/>
      <w:r w:rsidRPr="008536FF">
        <w:rPr>
          <w:i/>
        </w:rPr>
        <w:instrText xml:space="preserve">B10-0066, 0088, 0091, 0093, 0094 </w:instrText>
      </w:r>
      <w:r w:rsidR="002F6A1E">
        <w:rPr>
          <w:i/>
        </w:rPr>
        <w:instrText>oraz</w:instrText>
      </w:r>
      <w:r w:rsidR="002F6A1E" w:rsidRPr="00C259FB">
        <w:rPr>
          <w:i/>
        </w:rPr>
        <w:instrText xml:space="preserve"> </w:instrText>
      </w:r>
      <w:r w:rsidRPr="008536FF">
        <w:rPr>
          <w:i/>
        </w:rPr>
        <w:instrText>0096/2026</w:instrText>
      </w:r>
      <w:bookmarkEnd w:id="2"/>
      <w:r w:rsidRPr="008536FF">
        <w:rPr>
          <w:i/>
        </w:rPr>
        <w:instrText xml:space="preserve">)"\l3 \n&gt; \* MERGEFORMAT </w:instrText>
      </w:r>
      <w:r w:rsidRPr="008536FF">
        <w:rPr>
          <w:i/>
        </w:rPr>
        <w:fldChar w:fldCharType="end"/>
      </w:r>
    </w:p>
    <w:p w14:paraId="27CB1BC2" w14:textId="77777777" w:rsidR="00067F96" w:rsidRPr="008536FF" w:rsidRDefault="00067F96" w:rsidP="00067F96">
      <w:pPr>
        <w:rPr>
          <w:vanish/>
        </w:rPr>
      </w:pPr>
      <w:bookmarkStart w:id="3" w:name="PE"/>
      <w:r w:rsidRPr="008536FF">
        <w:rPr>
          <w:vanish/>
        </w:rPr>
        <w:t>PE782.022</w:t>
      </w:r>
      <w:bookmarkEnd w:id="3"/>
    </w:p>
    <w:p w14:paraId="03C97D65" w14:textId="287A0087" w:rsidR="00067F96" w:rsidRPr="008536FF" w:rsidRDefault="00067F96" w:rsidP="00503154">
      <w:pPr>
        <w:pStyle w:val="ATHeading3"/>
      </w:pPr>
      <w:bookmarkStart w:id="4" w:name="Sujet"/>
      <w:r w:rsidRPr="008536FF">
        <w:t xml:space="preserve">Rezolucja Parlamentu Europejskiego z dnia </w:t>
      </w:r>
      <w:r w:rsidR="00503154">
        <w:t>22 stycznia</w:t>
      </w:r>
      <w:r w:rsidRPr="008536FF">
        <w:t xml:space="preserve"> 2026 r. w sprawie przypadku Josepha Figueiry Martina w Republice Środkowoafrykańskiej</w:t>
      </w:r>
      <w:bookmarkEnd w:id="4"/>
      <w:r w:rsidRPr="008536FF">
        <w:t xml:space="preserve"> </w:t>
      </w:r>
      <w:bookmarkStart w:id="5" w:name="References"/>
      <w:r w:rsidRPr="008536FF">
        <w:t>(2026/2572(RSP))</w:t>
      </w:r>
      <w:bookmarkEnd w:id="5"/>
    </w:p>
    <w:p w14:paraId="5C522A71" w14:textId="77777777" w:rsidR="00E046B6" w:rsidRPr="008536FF" w:rsidRDefault="00E046B6" w:rsidP="00E046B6">
      <w:pPr>
        <w:pStyle w:val="EPComma"/>
      </w:pPr>
      <w:bookmarkStart w:id="6" w:name="TextBodyBegin"/>
      <w:bookmarkEnd w:id="6"/>
      <w:r w:rsidRPr="008536FF">
        <w:rPr>
          <w:i/>
        </w:rPr>
        <w:t>Parlament Europejski</w:t>
      </w:r>
      <w:r w:rsidRPr="008536FF">
        <w:t>,</w:t>
      </w:r>
    </w:p>
    <w:p w14:paraId="57332710" w14:textId="77777777" w:rsidR="00E046B6" w:rsidRPr="008536FF" w:rsidRDefault="00E046B6" w:rsidP="00E046B6">
      <w:pPr>
        <w:pStyle w:val="NormalHanging12a"/>
      </w:pPr>
      <w:r w:rsidRPr="008536FF">
        <w:t>–</w:t>
      </w:r>
      <w:r w:rsidRPr="008536FF">
        <w:tab/>
        <w:t>uwzględniając art. 150 ust. 5 i art. 136 ust. 4 Regulaminu,</w:t>
      </w:r>
    </w:p>
    <w:p w14:paraId="606E6DDF" w14:textId="77777777" w:rsidR="00E046B6" w:rsidRPr="008536FF" w:rsidRDefault="00E046B6" w:rsidP="00E046B6">
      <w:pPr>
        <w:pStyle w:val="NormalHanging12a"/>
      </w:pPr>
      <w:r w:rsidRPr="008536FF">
        <w:t>A.</w:t>
      </w:r>
      <w:r w:rsidRPr="008536FF">
        <w:tab/>
        <w:t>mając na uwadze, że Joseph Figueira Martin, obywatel Belgii i Portugalii i badacz w dziedzinie pomocy humanitarnej pracujący dla organizacji pozarządowej FHI 360, został porwany 26 maja 2024 r. w Republice Środkowoafrykańskiej przez grupę Wagnera, gdy pracował nad projektem rozwojowym, a następnie został przekazany władzom Republiki Środkowoafrykańskiej;</w:t>
      </w:r>
    </w:p>
    <w:p w14:paraId="0779F4C8" w14:textId="77777777" w:rsidR="00E046B6" w:rsidRPr="008536FF" w:rsidRDefault="00E046B6" w:rsidP="00E046B6">
      <w:pPr>
        <w:pStyle w:val="NormalHanging12a"/>
      </w:pPr>
      <w:r w:rsidRPr="008536FF">
        <w:t>B.</w:t>
      </w:r>
      <w:r w:rsidRPr="008536FF">
        <w:tab/>
        <w:t>mając na uwadze, że umieszczono go w celi izolacyjnej Centralnego Biura ds. Walki z Przestępczością (OCRB) w Bangi w ośrodku prowadzonym przez Wagnera i torturowano go; mając na uwadze, że przez ponad rok przebywał w areszcie w nieludzkich warunkach bez dostępu do opieki medycznej i bez procesu sądowego;</w:t>
      </w:r>
    </w:p>
    <w:p w14:paraId="6CB05E4B" w14:textId="77777777" w:rsidR="00E046B6" w:rsidRPr="008536FF" w:rsidRDefault="00E046B6" w:rsidP="00E046B6">
      <w:pPr>
        <w:pStyle w:val="NormalHanging12a"/>
      </w:pPr>
      <w:r w:rsidRPr="008536FF">
        <w:t>C.</w:t>
      </w:r>
      <w:r w:rsidRPr="008536FF">
        <w:tab/>
        <w:t>mając na uwadze, że 4 listopada 2025 r. sąd karny w Bangi uznał J. Martina – na podstawie bezpodstawnych oskarżeń – za winnego przestępstw, w tym współudziału w zmowie przestępczej i szkodzenia bezpieczeństwu państwa, skazał go na 10 lat pracy przymusowej i nakazał mu wpłacenie 50 mln franków CFA tytułem odszkodowania i zadośćuczynienia cywilnego;</w:t>
      </w:r>
    </w:p>
    <w:p w14:paraId="451E4195" w14:textId="77777777" w:rsidR="00E046B6" w:rsidRPr="008536FF" w:rsidRDefault="00E046B6" w:rsidP="00E046B6">
      <w:pPr>
        <w:pStyle w:val="NormalHanging12a"/>
      </w:pPr>
      <w:r w:rsidRPr="008536FF">
        <w:t>1.</w:t>
      </w:r>
      <w:r w:rsidRPr="008536FF">
        <w:tab/>
        <w:t>przypomina, że w rezolucji z 10 lipca 2025 r.</w:t>
      </w:r>
      <w:r w:rsidRPr="008536FF">
        <w:rPr>
          <w:rStyle w:val="FootnoteReference"/>
        </w:rPr>
        <w:footnoteReference w:id="1"/>
      </w:r>
      <w:r w:rsidRPr="008536FF">
        <w:t xml:space="preserve"> Parlament wezwał do niezwłocznego i bezwarunkowego uwolnienia J. Martina; ubolewa nad ciągłymi uchybieniami ze strony władz Republiki Środkowoafrykańskiej, co dodatkowo pogarsza sytuację J. Martina;</w:t>
      </w:r>
      <w:r w:rsidRPr="008536FF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34C6BEFB" w14:textId="77777777" w:rsidR="00E046B6" w:rsidRPr="008536FF" w:rsidRDefault="00E046B6" w:rsidP="00E046B6">
      <w:pPr>
        <w:pStyle w:val="NormalHanging12a"/>
      </w:pPr>
      <w:r w:rsidRPr="008536FF">
        <w:t>2.</w:t>
      </w:r>
      <w:r w:rsidRPr="008536FF">
        <w:tab/>
        <w:t>domaga się od władz Republiki Środkowoafrykańskiej niezwłocznego i bezwarunkowego uwolnienia J. Martina; podkreśla, że w tych okolicznościach trwające pozbawienie wolności obywatela UE pozostaje niedopuszczalne w świetle poważnych obaw co do sprawiedliwości proceduralnej i rzetelności postępowania;</w:t>
      </w:r>
    </w:p>
    <w:p w14:paraId="47997275" w14:textId="77777777" w:rsidR="00E046B6" w:rsidRPr="008536FF" w:rsidRDefault="00E046B6" w:rsidP="00E046B6">
      <w:pPr>
        <w:pStyle w:val="NormalHanging12a"/>
      </w:pPr>
      <w:r w:rsidRPr="008536FF">
        <w:t>3.</w:t>
      </w:r>
      <w:r w:rsidRPr="008536FF">
        <w:tab/>
        <w:t xml:space="preserve">wzywa władze Republiki Środkowoafrykańskiej do niezwłocznego zezwolenia na </w:t>
      </w:r>
      <w:r w:rsidRPr="008536FF">
        <w:lastRenderedPageBreak/>
        <w:t>ewakuację medyczną J. Martina w związku z poważnym pogorszeniem jego stanu zdrowia i pojawieniem się zaburzeń widzenia, a w międzyczasie do zagwarantowania niezwłocznego i nieograniczonego dostępu do specjalistycznej opieki medycznej, w tym świadczonej przez niezależnych lekarzy, a także do pomocy prawnej, pomocy konsularnej i wizyt rodzinnych, w pełnej zgodności z międzynarodowymi standardami praw człowieka;</w:t>
      </w:r>
    </w:p>
    <w:p w14:paraId="64C8D316" w14:textId="77777777" w:rsidR="00E046B6" w:rsidRPr="008536FF" w:rsidRDefault="00E046B6" w:rsidP="00E046B6">
      <w:pPr>
        <w:pStyle w:val="NormalHanging12a"/>
      </w:pPr>
      <w:r w:rsidRPr="008536FF">
        <w:t>4.</w:t>
      </w:r>
      <w:r w:rsidRPr="008536FF">
        <w:tab/>
        <w:t>wzywa Komisję, wiceprzewodniczącą/wysoką przedstawicielkę i Radę, aby w koordynacji z Belgią i Portugalią nałożyły ukierunkowane sankcje, w tym zakazy podróżowania i zamrożenie aktywów, na wszystkie osoby odpowiedzialne za arbitralne zatrzymanie, złe traktowanie i skazanie J. Martina, gdyby władze Republiki Środkowoafrykańskiej nadal naruszały jego prawa;</w:t>
      </w:r>
    </w:p>
    <w:p w14:paraId="0756D201" w14:textId="77777777" w:rsidR="00E046B6" w:rsidRPr="008536FF" w:rsidRDefault="00E046B6" w:rsidP="00E046B6">
      <w:pPr>
        <w:pStyle w:val="NormalHanging12a"/>
      </w:pPr>
      <w:r w:rsidRPr="008536FF">
        <w:t>5.</w:t>
      </w:r>
      <w:r w:rsidRPr="008536FF">
        <w:tab/>
        <w:t>apeluje o wysłanie delegacji ad hoc Parlamentu do Republiki Środkowoafrykańskiej, aby ocenić sytuację J. Martina i wzmóc naciski na jego uwolnienie;</w:t>
      </w:r>
    </w:p>
    <w:p w14:paraId="28C33021" w14:textId="77777777" w:rsidR="00E046B6" w:rsidRPr="008536FF" w:rsidRDefault="00E046B6" w:rsidP="00E046B6">
      <w:pPr>
        <w:pStyle w:val="NormalHanging12a"/>
      </w:pPr>
      <w:r w:rsidRPr="008536FF">
        <w:t>6.</w:t>
      </w:r>
      <w:r w:rsidRPr="008536FF">
        <w:tab/>
        <w:t>podkreśla, że postępowania sądowe, w tym postępowania odwoławcze, powinny ściśle spełniać gwarancje sprawiedliwości proceduralnej ustanowione w Międzynarodowym pakcie praw obywatelskich i politycznych oraz w krajowym systemie prawnym Republiki Środkowoafrykańskiej, ponieważ ich naruszenie stanowi pogwałcenie praw podstawowych;</w:t>
      </w:r>
    </w:p>
    <w:p w14:paraId="631A2B91" w14:textId="77777777" w:rsidR="00E046B6" w:rsidRPr="008536FF" w:rsidRDefault="00E046B6" w:rsidP="00E046B6">
      <w:pPr>
        <w:pStyle w:val="NormalHanging12a"/>
      </w:pPr>
      <w:r w:rsidRPr="008536FF">
        <w:t>7.</w:t>
      </w:r>
      <w:r w:rsidRPr="008536FF">
        <w:tab/>
        <w:t>ponawia swój apel do Rady, aby uznała grupę Wagnera za organizację terrorystyczną;</w:t>
      </w:r>
    </w:p>
    <w:p w14:paraId="7E0641BF" w14:textId="77777777" w:rsidR="00E046B6" w:rsidRPr="008536FF" w:rsidRDefault="00E046B6" w:rsidP="00E046B6">
      <w:pPr>
        <w:pStyle w:val="NormalHanging12a"/>
      </w:pPr>
      <w:bookmarkStart w:id="7" w:name="_Hlk219889039"/>
      <w:bookmarkStart w:id="8" w:name="_Hlk219888648"/>
      <w:r w:rsidRPr="008536FF">
        <w:t>8.</w:t>
      </w:r>
      <w:r w:rsidRPr="008536FF">
        <w:tab/>
        <w:t>podkreśla spoczywający na UE i jej państwach członkowskich obowiązek ochrony pracowników organizacji humanitarnych i rozwojowych w każdych okolicznościach oraz potępia arbitralne aresztowania, zatrzymania lub ściganie takich pracowników; zaznacza, że takie akty naruszają międzynarodowe prawo humanitarne i prawa pracowników organizacji humanitarnych;</w:t>
      </w:r>
      <w:bookmarkEnd w:id="7"/>
    </w:p>
    <w:bookmarkEnd w:id="8"/>
    <w:p w14:paraId="1100625C" w14:textId="6B730D3D" w:rsidR="00E365E1" w:rsidRPr="008536FF" w:rsidRDefault="00E046B6" w:rsidP="00503154">
      <w:pPr>
        <w:pStyle w:val="NormalHanging12a"/>
      </w:pPr>
      <w:r w:rsidRPr="008536FF">
        <w:t>9.</w:t>
      </w:r>
      <w:r w:rsidRPr="008536FF">
        <w:tab/>
        <w:t>zobowiązuje swoją przewodniczącą do przekazania niniejszej rezolucji Radzie, Komisji, wiceprzewodniczącej/wysokiej przedstawicielce, rządowi i parlamentowi Republiki Środkowoafrykańskiej, Unii Afrykańskiej i ONZ.</w:t>
      </w:r>
    </w:p>
    <w:sectPr w:rsidR="00E365E1" w:rsidRPr="008536FF" w:rsidSect="008536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E08D7" w14:textId="77777777" w:rsidR="00067F96" w:rsidRPr="008536FF" w:rsidRDefault="00067F96">
      <w:r w:rsidRPr="008536FF">
        <w:separator/>
      </w:r>
    </w:p>
  </w:endnote>
  <w:endnote w:type="continuationSeparator" w:id="0">
    <w:p w14:paraId="573A402B" w14:textId="77777777" w:rsidR="00067F96" w:rsidRPr="008536FF" w:rsidRDefault="00067F96">
      <w:r w:rsidRPr="008536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8053" w14:textId="77777777" w:rsidR="00064002" w:rsidRPr="008536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4A61" w14:textId="77777777" w:rsidR="00064002" w:rsidRPr="008536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C4AD4" w14:textId="77777777" w:rsidR="00064002" w:rsidRPr="008536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6C944" w14:textId="77777777" w:rsidR="00067F96" w:rsidRPr="008536FF" w:rsidRDefault="00067F96">
      <w:r w:rsidRPr="008536FF">
        <w:separator/>
      </w:r>
    </w:p>
  </w:footnote>
  <w:footnote w:type="continuationSeparator" w:id="0">
    <w:p w14:paraId="1B198922" w14:textId="77777777" w:rsidR="00067F96" w:rsidRPr="008536FF" w:rsidRDefault="00067F96">
      <w:r w:rsidRPr="008536FF">
        <w:continuationSeparator/>
      </w:r>
    </w:p>
  </w:footnote>
  <w:footnote w:id="1">
    <w:p w14:paraId="3CFAE3B4" w14:textId="629BD943" w:rsidR="00E046B6" w:rsidRPr="008536FF" w:rsidRDefault="00E046B6" w:rsidP="008536FF">
      <w:pPr>
        <w:pStyle w:val="FootnoteText"/>
        <w:ind w:left="567" w:hanging="567"/>
        <w:rPr>
          <w:sz w:val="24"/>
          <w:lang w:val="pl-PL"/>
        </w:rPr>
      </w:pPr>
      <w:r w:rsidRPr="008536FF">
        <w:rPr>
          <w:rStyle w:val="FootnoteReference"/>
          <w:sz w:val="24"/>
          <w:lang w:val="pl-PL"/>
        </w:rPr>
        <w:footnoteRef/>
      </w:r>
      <w:r w:rsidR="008536FF" w:rsidRPr="008536FF">
        <w:rPr>
          <w:sz w:val="24"/>
          <w:lang w:val="pl-PL"/>
        </w:rPr>
        <w:t xml:space="preserve"> </w:t>
      </w:r>
      <w:r w:rsidR="008536FF" w:rsidRPr="008536FF">
        <w:rPr>
          <w:sz w:val="24"/>
          <w:lang w:val="pl-PL"/>
        </w:rPr>
        <w:tab/>
      </w:r>
      <w:r w:rsidRPr="008536FF">
        <w:rPr>
          <w:sz w:val="24"/>
          <w:lang w:val="pl-PL"/>
        </w:rPr>
        <w:t>Teksty przyjęte,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10C04" w14:textId="77777777" w:rsidR="00064002" w:rsidRPr="008536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85365" w14:textId="77777777" w:rsidR="00064002" w:rsidRPr="008536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C613" w14:textId="77777777" w:rsidR="00064002" w:rsidRPr="008536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2343981">
    <w:abstractNumId w:val="9"/>
  </w:num>
  <w:num w:numId="2" w16cid:durableId="738021649">
    <w:abstractNumId w:val="9"/>
  </w:num>
  <w:num w:numId="3" w16cid:durableId="1392190697">
    <w:abstractNumId w:val="7"/>
  </w:num>
  <w:num w:numId="4" w16cid:durableId="913658679">
    <w:abstractNumId w:val="7"/>
  </w:num>
  <w:num w:numId="5" w16cid:durableId="1003630870">
    <w:abstractNumId w:val="6"/>
  </w:num>
  <w:num w:numId="6" w16cid:durableId="1083529726">
    <w:abstractNumId w:val="6"/>
  </w:num>
  <w:num w:numId="7" w16cid:durableId="2077973071">
    <w:abstractNumId w:val="5"/>
  </w:num>
  <w:num w:numId="8" w16cid:durableId="626857771">
    <w:abstractNumId w:val="5"/>
  </w:num>
  <w:num w:numId="9" w16cid:durableId="2087072924">
    <w:abstractNumId w:val="4"/>
  </w:num>
  <w:num w:numId="10" w16cid:durableId="1528637194">
    <w:abstractNumId w:val="4"/>
  </w:num>
  <w:num w:numId="11" w16cid:durableId="1196194221">
    <w:abstractNumId w:val="8"/>
  </w:num>
  <w:num w:numId="12" w16cid:durableId="1096171692">
    <w:abstractNumId w:val="8"/>
  </w:num>
  <w:num w:numId="13" w16cid:durableId="1504904219">
    <w:abstractNumId w:val="3"/>
  </w:num>
  <w:num w:numId="14" w16cid:durableId="453982447">
    <w:abstractNumId w:val="3"/>
  </w:num>
  <w:num w:numId="15" w16cid:durableId="286815433">
    <w:abstractNumId w:val="2"/>
  </w:num>
  <w:num w:numId="16" w16cid:durableId="1908683255">
    <w:abstractNumId w:val="2"/>
  </w:num>
  <w:num w:numId="17" w16cid:durableId="2025400447">
    <w:abstractNumId w:val="1"/>
  </w:num>
  <w:num w:numId="18" w16cid:durableId="1989093780">
    <w:abstractNumId w:val="1"/>
  </w:num>
  <w:num w:numId="19" w16cid:durableId="504593873">
    <w:abstractNumId w:val="0"/>
  </w:num>
  <w:num w:numId="20" w16cid:durableId="1851024685">
    <w:abstractNumId w:val="0"/>
  </w:num>
  <w:num w:numId="21" w16cid:durableId="1589269863">
    <w:abstractNumId w:val="9"/>
  </w:num>
  <w:num w:numId="22" w16cid:durableId="907424682">
    <w:abstractNumId w:val="7"/>
  </w:num>
  <w:num w:numId="23" w16cid:durableId="1380397173">
    <w:abstractNumId w:val="6"/>
  </w:num>
  <w:num w:numId="24" w16cid:durableId="248927602">
    <w:abstractNumId w:val="5"/>
  </w:num>
  <w:num w:numId="25" w16cid:durableId="761684269">
    <w:abstractNumId w:val="4"/>
  </w:num>
  <w:num w:numId="26" w16cid:durableId="1441224510">
    <w:abstractNumId w:val="8"/>
  </w:num>
  <w:num w:numId="27" w16cid:durableId="1941791969">
    <w:abstractNumId w:val="3"/>
  </w:num>
  <w:num w:numId="28" w16cid:durableId="1482190202">
    <w:abstractNumId w:val="2"/>
  </w:num>
  <w:num w:numId="29" w16cid:durableId="2067872129">
    <w:abstractNumId w:val="1"/>
  </w:num>
  <w:num w:numId="30" w16cid:durableId="1939750582">
    <w:abstractNumId w:val="0"/>
  </w:num>
  <w:num w:numId="31" w16cid:durableId="1661425124">
    <w:abstractNumId w:val="9"/>
  </w:num>
  <w:num w:numId="32" w16cid:durableId="1093546990">
    <w:abstractNumId w:val="7"/>
  </w:num>
  <w:num w:numId="33" w16cid:durableId="658072442">
    <w:abstractNumId w:val="6"/>
  </w:num>
  <w:num w:numId="34" w16cid:durableId="1983383294">
    <w:abstractNumId w:val="5"/>
  </w:num>
  <w:num w:numId="35" w16cid:durableId="1653214881">
    <w:abstractNumId w:val="4"/>
  </w:num>
  <w:num w:numId="36" w16cid:durableId="1910536235">
    <w:abstractNumId w:val="8"/>
  </w:num>
  <w:num w:numId="37" w16cid:durableId="407969617">
    <w:abstractNumId w:val="3"/>
  </w:num>
  <w:num w:numId="38" w16cid:durableId="699624123">
    <w:abstractNumId w:val="2"/>
  </w:num>
  <w:num w:numId="39" w16cid:durableId="379473912">
    <w:abstractNumId w:val="1"/>
  </w:num>
  <w:num w:numId="40" w16cid:durableId="596256541">
    <w:abstractNumId w:val="0"/>
  </w:num>
  <w:num w:numId="41" w16cid:durableId="1899853750">
    <w:abstractNumId w:val="10"/>
  </w:num>
  <w:num w:numId="42" w16cid:durableId="702630350">
    <w:abstractNumId w:val="10"/>
  </w:num>
  <w:num w:numId="43" w16cid:durableId="1358461073">
    <w:abstractNumId w:val="10"/>
  </w:num>
  <w:num w:numId="44" w16cid:durableId="1907108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, 0088, 0091, 0093, 0094 ir 0096/2026"/>
    <w:docVar w:name="dvlangue" w:val="PL"/>
    <w:docVar w:name="dvnumam" w:val="0"/>
    <w:docVar w:name="dvpe" w:val="782.022"/>
    <w:docVar w:name="dvtitre" w:val="Rezolucja Parlamentu Europejskiego z dnia  2026 r. w sprawie przypadku Josepha Figueiry Martina w Republice Środkowoafrykańskiej(2026/2572(RSP))"/>
  </w:docVars>
  <w:rsids>
    <w:rsidRoot w:val="00067F96"/>
    <w:rsid w:val="00002272"/>
    <w:rsid w:val="00064002"/>
    <w:rsid w:val="000677B9"/>
    <w:rsid w:val="00067F9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A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15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6F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B2"/>
    <w:rsid w:val="00D56C11"/>
    <w:rsid w:val="00D81519"/>
    <w:rsid w:val="00D834A0"/>
    <w:rsid w:val="00D872DF"/>
    <w:rsid w:val="00D91E21"/>
    <w:rsid w:val="00DA7FCD"/>
    <w:rsid w:val="00DF2F7D"/>
    <w:rsid w:val="00E046B6"/>
    <w:rsid w:val="00E256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20470"/>
  <w15:chartTrackingRefBased/>
  <w15:docId w15:val="{DD9BF8A9-F9EA-4433-834B-941A1D74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046B6"/>
    <w:pPr>
      <w:spacing w:after="240"/>
      <w:ind w:left="567" w:hanging="567"/>
    </w:pPr>
  </w:style>
  <w:style w:type="paragraph" w:customStyle="1" w:styleId="EPComma">
    <w:name w:val="EPComma"/>
    <w:basedOn w:val="Normal"/>
    <w:rsid w:val="00E046B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046B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2026-01-21T21:12:00Z</dcterms:created>
  <dcterms:modified xsi:type="dcterms:W3CDTF">2026-01-22T12:20:00Z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B10-0066, 0088, 0091, 0093, 0094 ir 0096/2026</vt:lpwstr>
  </property>
  <property fmtid="{D5CDD505-2E9C-101B-9397-08002B2CF9AE}" pid="4" name="&lt;Type&gt;">
    <vt:lpwstr>RR</vt:lpwstr>
  </property>
</Properties>
</file>