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1213" w14:paraId="165C87B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E090BB" w14:textId="2A55B030" w:rsidR="00751A4A" w:rsidRPr="00B41213" w:rsidRDefault="00027DC9" w:rsidP="0010095E">
            <w:pPr>
              <w:pStyle w:val="EPName"/>
            </w:pPr>
            <w:r w:rsidRPr="00B41213">
              <w:t>Parlament Europejski</w:t>
            </w:r>
          </w:p>
          <w:p w14:paraId="0C1D498D" w14:textId="77777777" w:rsidR="00751A4A" w:rsidRPr="00B4121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1213">
              <w:t>2024</w:t>
            </w:r>
            <w:r w:rsidR="00817416" w:rsidRPr="00B41213">
              <w:t>-202</w:t>
            </w:r>
            <w:r w:rsidRPr="00B41213">
              <w:t>9</w:t>
            </w:r>
          </w:p>
        </w:tc>
        <w:tc>
          <w:tcPr>
            <w:tcW w:w="2268" w:type="dxa"/>
            <w:shd w:val="clear" w:color="auto" w:fill="auto"/>
          </w:tcPr>
          <w:p w14:paraId="5A9B641D" w14:textId="77777777" w:rsidR="00751A4A" w:rsidRPr="00B41213" w:rsidRDefault="00187494" w:rsidP="0010095E">
            <w:pPr>
              <w:pStyle w:val="EPLogo"/>
            </w:pPr>
            <w:r w:rsidRPr="00B41213">
              <w:rPr>
                <w:noProof/>
                <w:lang w:eastAsia="ja-JP"/>
              </w:rPr>
              <w:drawing>
                <wp:inline distT="0" distB="0" distL="0" distR="0" wp14:anchorId="45BF33E4" wp14:editId="53367E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CFA037" w14:textId="77777777" w:rsidR="00D058B8" w:rsidRPr="00B41213" w:rsidRDefault="00D058B8" w:rsidP="004C5D52">
      <w:pPr>
        <w:pStyle w:val="LineTop"/>
      </w:pPr>
    </w:p>
    <w:p w14:paraId="16426049" w14:textId="37BAC3B0" w:rsidR="00680577" w:rsidRPr="00B41213" w:rsidRDefault="00027DC9" w:rsidP="00680577">
      <w:pPr>
        <w:pStyle w:val="EPBodyTA1"/>
      </w:pPr>
      <w:r w:rsidRPr="00B41213">
        <w:t>TEKSTY PRZYJĘTE</w:t>
      </w:r>
    </w:p>
    <w:p w14:paraId="0B747F34" w14:textId="77777777" w:rsidR="00D058B8" w:rsidRPr="00B41213" w:rsidRDefault="00D058B8" w:rsidP="00D058B8">
      <w:pPr>
        <w:pStyle w:val="LineBottom"/>
      </w:pPr>
    </w:p>
    <w:p w14:paraId="299970FB" w14:textId="45CAE528" w:rsidR="00027DC9" w:rsidRPr="00B41213" w:rsidRDefault="00027DC9" w:rsidP="00027DC9">
      <w:pPr>
        <w:pStyle w:val="ATHeading1"/>
      </w:pPr>
      <w:bookmarkStart w:id="0" w:name="TANumber"/>
      <w:r w:rsidRPr="00B41213">
        <w:t>P10_TA(2026)00</w:t>
      </w:r>
      <w:r w:rsidR="00204ABF">
        <w:t>18</w:t>
      </w:r>
      <w:bookmarkEnd w:id="0"/>
    </w:p>
    <w:p w14:paraId="69134E5D" w14:textId="77777777" w:rsidR="00027DC9" w:rsidRPr="00B41213" w:rsidRDefault="00027DC9" w:rsidP="00027DC9">
      <w:pPr>
        <w:pStyle w:val="ATHeading2"/>
      </w:pPr>
      <w:bookmarkStart w:id="1" w:name="title"/>
      <w:r w:rsidRPr="00B41213">
        <w:t>Oskarżenie i szybkie skazanie Jimmy’ego Laia w Hongkongu</w:t>
      </w:r>
      <w:bookmarkEnd w:id="1"/>
    </w:p>
    <w:p w14:paraId="35D03C04" w14:textId="1A837DFD" w:rsidR="00027DC9" w:rsidRPr="00B41213" w:rsidRDefault="00027DC9" w:rsidP="00027DC9">
      <w:pPr>
        <w:rPr>
          <w:i/>
          <w:vanish/>
        </w:rPr>
      </w:pPr>
      <w:r w:rsidRPr="00B41213">
        <w:rPr>
          <w:i/>
        </w:rPr>
        <w:fldChar w:fldCharType="begin"/>
      </w:r>
      <w:r w:rsidRPr="00B41213">
        <w:rPr>
          <w:i/>
        </w:rPr>
        <w:instrText xml:space="preserve"> TC"(</w:instrText>
      </w:r>
      <w:bookmarkStart w:id="2" w:name="DocNumber"/>
      <w:r w:rsidRPr="00B41213">
        <w:rPr>
          <w:i/>
        </w:rPr>
        <w:instrText xml:space="preserve">B10-0068, 0082, 0084, 0085 </w:instrText>
      </w:r>
      <w:r w:rsidR="00673950">
        <w:rPr>
          <w:i/>
        </w:rPr>
        <w:instrText>oraz</w:instrText>
      </w:r>
      <w:r w:rsidR="00673950" w:rsidRPr="00C259FB">
        <w:rPr>
          <w:i/>
        </w:rPr>
        <w:instrText xml:space="preserve"> </w:instrText>
      </w:r>
      <w:r w:rsidRPr="00B41213">
        <w:rPr>
          <w:i/>
        </w:rPr>
        <w:instrText xml:space="preserve"> 0086/2026</w:instrText>
      </w:r>
      <w:bookmarkEnd w:id="2"/>
      <w:r w:rsidRPr="00B41213">
        <w:rPr>
          <w:i/>
        </w:rPr>
        <w:instrText xml:space="preserve">)"\l3 \n&gt; \* MERGEFORMAT </w:instrText>
      </w:r>
      <w:r w:rsidRPr="00B41213">
        <w:rPr>
          <w:i/>
        </w:rPr>
        <w:fldChar w:fldCharType="end"/>
      </w:r>
    </w:p>
    <w:p w14:paraId="5B572727" w14:textId="77777777" w:rsidR="00027DC9" w:rsidRPr="00B41213" w:rsidRDefault="00027DC9" w:rsidP="00027DC9">
      <w:pPr>
        <w:rPr>
          <w:vanish/>
        </w:rPr>
      </w:pPr>
      <w:bookmarkStart w:id="3" w:name="PE"/>
      <w:r w:rsidRPr="00B41213">
        <w:rPr>
          <w:vanish/>
        </w:rPr>
        <w:t>PE782.020</w:t>
      </w:r>
      <w:bookmarkEnd w:id="3"/>
    </w:p>
    <w:p w14:paraId="735699B4" w14:textId="21FCC648" w:rsidR="00027DC9" w:rsidRPr="00B41213" w:rsidRDefault="00027DC9" w:rsidP="00442985">
      <w:pPr>
        <w:pStyle w:val="ATHeading3"/>
      </w:pPr>
      <w:bookmarkStart w:id="4" w:name="Sujet"/>
      <w:r w:rsidRPr="00B41213">
        <w:t xml:space="preserve">Rezolucja Parlamentu Europejskiego z dnia </w:t>
      </w:r>
      <w:r w:rsidR="00442985">
        <w:t>22 stycznia</w:t>
      </w:r>
      <w:r w:rsidRPr="00B41213">
        <w:t xml:space="preserve"> 2026 r. w sprawie oskarżenia i szybkiego skazania Jimmy’ego Laia w Hongkongu</w:t>
      </w:r>
      <w:bookmarkEnd w:id="4"/>
      <w:r w:rsidRPr="00B41213">
        <w:t xml:space="preserve"> </w:t>
      </w:r>
      <w:bookmarkStart w:id="5" w:name="References"/>
      <w:r w:rsidRPr="00B41213">
        <w:t>(2026/2573(RSP))</w:t>
      </w:r>
      <w:bookmarkEnd w:id="5"/>
    </w:p>
    <w:p w14:paraId="788FE14F" w14:textId="77777777" w:rsidR="00B514F9" w:rsidRPr="00B41213" w:rsidRDefault="00B514F9" w:rsidP="00B514F9">
      <w:pPr>
        <w:pStyle w:val="EPComma"/>
      </w:pPr>
      <w:bookmarkStart w:id="6" w:name="TextBodyBegin"/>
      <w:bookmarkEnd w:id="6"/>
      <w:r w:rsidRPr="00B41213">
        <w:rPr>
          <w:i/>
        </w:rPr>
        <w:t>Parlament Europejski</w:t>
      </w:r>
      <w:r w:rsidRPr="00B41213">
        <w:t>,</w:t>
      </w:r>
    </w:p>
    <w:p w14:paraId="42C395C6" w14:textId="77777777" w:rsidR="00B514F9" w:rsidRPr="00B41213" w:rsidRDefault="00B514F9" w:rsidP="00B514F9">
      <w:pPr>
        <w:pStyle w:val="NormalHanging12a"/>
      </w:pPr>
      <w:r w:rsidRPr="00B41213">
        <w:t>–</w:t>
      </w:r>
      <w:r w:rsidRPr="00B41213">
        <w:tab/>
        <w:t>uwzględniając swoje poprzednie rezolucje w sprawie Hongkongu i Chin,</w:t>
      </w:r>
    </w:p>
    <w:p w14:paraId="6455B35B" w14:textId="77777777" w:rsidR="00B514F9" w:rsidRPr="00B41213" w:rsidRDefault="00B514F9" w:rsidP="00B514F9">
      <w:pPr>
        <w:pStyle w:val="NormalHanging12a"/>
      </w:pPr>
      <w:r w:rsidRPr="00B41213">
        <w:t>–</w:t>
      </w:r>
      <w:r w:rsidRPr="00B41213">
        <w:tab/>
        <w:t>uwzględniając art. 150 ust. 5 i art. 136 ust. 4 Regulaminu</w:t>
      </w:r>
    </w:p>
    <w:p w14:paraId="46CE8F83" w14:textId="77777777" w:rsidR="00B514F9" w:rsidRPr="00B41213" w:rsidRDefault="00B514F9" w:rsidP="00B514F9">
      <w:pPr>
        <w:pStyle w:val="NormalHanging12a"/>
        <w:rPr>
          <w:rFonts w:eastAsiaTheme="minorHAnsi"/>
        </w:rPr>
      </w:pPr>
      <w:r w:rsidRPr="00B41213">
        <w:t>A.</w:t>
      </w:r>
      <w:r w:rsidRPr="00B41213">
        <w:tab/>
        <w:t>mając na uwadze, że 15 grudnia 2025 r. sąd w Hongkongu skazał obywatela brytyjskiego i działacza prodemokratycznego Jimmy’ego Laia za zmowę z siłami zagranicznymi na podstawie ustawy o bezpieczeństwie narodowym i za podburzanie na podstawie datującego się z czasów kolonialnych rozporządzenia w sprawie przestępstw; mając na uwadze, że grozi mu obecnie rychłe skazanie, które może skutkować karą dożywotniego pozbawienia wolności;</w:t>
      </w:r>
    </w:p>
    <w:p w14:paraId="7D646C2D" w14:textId="77777777" w:rsidR="00B514F9" w:rsidRPr="00B41213" w:rsidRDefault="00B514F9" w:rsidP="00B514F9">
      <w:pPr>
        <w:pStyle w:val="NormalHanging12a"/>
        <w:rPr>
          <w:rFonts w:eastAsiaTheme="minorHAnsi"/>
          <w:bCs/>
        </w:rPr>
      </w:pPr>
      <w:r w:rsidRPr="00B41213">
        <w:t>B.</w:t>
      </w:r>
      <w:r w:rsidRPr="00B41213">
        <w:tab/>
        <w:t>mając na uwadze, że pod szeregiem zarzutów motywowanych politycznie J. Lai jest przetrzymywany od grudnia 2020 r.; mając na uwadze, że spędził w celi izolacyjnej ponad 1800 dni;</w:t>
      </w:r>
    </w:p>
    <w:p w14:paraId="10970784" w14:textId="77777777" w:rsidR="00B514F9" w:rsidRPr="00B41213" w:rsidRDefault="00B514F9" w:rsidP="00B514F9">
      <w:pPr>
        <w:pStyle w:val="NormalHanging12a"/>
        <w:rPr>
          <w:rFonts w:eastAsiaTheme="minorHAnsi"/>
        </w:rPr>
      </w:pPr>
      <w:r w:rsidRPr="00B41213">
        <w:t>C.</w:t>
      </w:r>
      <w:r w:rsidRPr="00B41213">
        <w:tab/>
        <w:t>mając na uwadze, że wyrok skazujący J. Laia stanowi dalszą eskalację ograniczania wolności wypowiedzi, wolności mediów i niezależności sądów w Hongkongu po wprowadzeniu w 2020 r. ustawy o bezpieczeństwie narodowym, a w 2024 r. rozporządzenia w sprawie ochrony bezpieczeństwa narodowego;</w:t>
      </w:r>
    </w:p>
    <w:p w14:paraId="0D080E86" w14:textId="77777777" w:rsidR="00B514F9" w:rsidRPr="00B41213" w:rsidRDefault="00B514F9" w:rsidP="00B514F9">
      <w:pPr>
        <w:pStyle w:val="NormalHanging12a"/>
        <w:rPr>
          <w:rFonts w:eastAsiaTheme="minorHAnsi"/>
        </w:rPr>
      </w:pPr>
      <w:r w:rsidRPr="00B41213">
        <w:t>D.</w:t>
      </w:r>
      <w:r w:rsidRPr="00B41213">
        <w:tab/>
        <w:t>mając na uwadze, że wprowadzając ustawę o bezpieczeństwie narodowym i rozporządzenie w sprawie ochrony bezpieczeństwa narodowego, Chiny naruszyły swoje międzynarodowe zobowiązania prawne, które na podstawie wspólnej deklaracji chińsko-brytyjskiej oraz Międzynarodowego paktu praw obywatelskich i politycznych, który nadal ma zastosowanie do Hongkongu, do 2047 r. gwarantowały Hongkongowi specjalny status;</w:t>
      </w:r>
    </w:p>
    <w:p w14:paraId="0921EDAB" w14:textId="77777777" w:rsidR="00B514F9" w:rsidRPr="00B41213" w:rsidRDefault="00B514F9" w:rsidP="00B514F9">
      <w:pPr>
        <w:pStyle w:val="NormalHanging12a"/>
        <w:rPr>
          <w:rFonts w:eastAsiaTheme="minorHAnsi"/>
        </w:rPr>
      </w:pPr>
      <w:r w:rsidRPr="00B41213">
        <w:t>E.</w:t>
      </w:r>
      <w:r w:rsidRPr="00B41213">
        <w:tab/>
        <w:t>mając na uwadze, że J. Lai w wieku 78 lat grozi długotrwała kara pozbawienia wolności lub dożywotnie więzienie, mimo że cierpi na cukrzycę i jest obecnie przetrzymywany w warunkach zagrażających życiu;</w:t>
      </w:r>
    </w:p>
    <w:p w14:paraId="75A77B6E" w14:textId="77777777" w:rsidR="00B514F9" w:rsidRPr="00B41213" w:rsidRDefault="00B514F9" w:rsidP="00B514F9">
      <w:pPr>
        <w:pStyle w:val="NormalHanging12a"/>
        <w:rPr>
          <w:rFonts w:eastAsiaTheme="minorHAnsi"/>
        </w:rPr>
      </w:pPr>
      <w:r w:rsidRPr="00B41213">
        <w:lastRenderedPageBreak/>
        <w:t>1.</w:t>
      </w:r>
      <w:r w:rsidRPr="00B41213">
        <w:tab/>
        <w:t>w najostrzejszych słowach potępia oskarżenie Jimmy’ego Laia i wyraża głębokie zaniepokojenie jego rychłym skazaniem; wzywa władze Hongkongu do natychmiastowego i bezwarunkowego uwolnienia J. Laia i wszystkich innych osób zatrzymanych za korzystanie z przysługujących im wolności, w tym praw religijnych i demokratycznych, do wycofania wszystkich stawianych im zarzutów oraz do zagwarantowania im praw podstawowych; wzywa władze Hongkongu do zapewnienia J. Laiowi i innym potrzebującym więźniom politycznym natychmiastowego dostępu do specjalistycznej opieki medycznej;</w:t>
      </w:r>
    </w:p>
    <w:p w14:paraId="353721A6" w14:textId="77777777" w:rsidR="00B514F9" w:rsidRPr="00B41213" w:rsidRDefault="00B514F9" w:rsidP="00B514F9">
      <w:pPr>
        <w:pStyle w:val="NormalHanging12a"/>
        <w:rPr>
          <w:rFonts w:eastAsiaTheme="minorHAnsi"/>
        </w:rPr>
      </w:pPr>
      <w:r w:rsidRPr="00B41213">
        <w:t>2.</w:t>
      </w:r>
      <w:r w:rsidRPr="00B41213">
        <w:tab/>
        <w:t>podkreśla, że arbitralne ściganie J. Laia jest przykładem systematycznego stosowania przepisów dotyczących bezpieczeństwa państwa w celu wyeliminowania w Hongkongu niezależnych mediów, wolności słowa i opozycji politycznej;</w:t>
      </w:r>
    </w:p>
    <w:p w14:paraId="1F12AC5B" w14:textId="77777777" w:rsidR="00B514F9" w:rsidRPr="00B41213" w:rsidRDefault="00B514F9" w:rsidP="00B514F9">
      <w:pPr>
        <w:pStyle w:val="NormalHanging12a"/>
        <w:rPr>
          <w:rFonts w:eastAsiaTheme="minorHAnsi"/>
        </w:rPr>
      </w:pPr>
      <w:bookmarkStart w:id="7" w:name="_Hlk219303975"/>
      <w:r w:rsidRPr="00B41213">
        <w:t>3.</w:t>
      </w:r>
      <w:r w:rsidRPr="00B41213">
        <w:tab/>
        <w:t>ponownie zdecydowanie potępia ustawę o bezpieczeństwie narodowym i rozporządzenie w sprawie ochrony bezpieczeństwa narodowego w Hongkongu oraz ich konsekwencje transgraniczne; apeluje o uchylenie ustawy o bezpieczeństwie narodowym i rozporządzenia w sprawie ochrony bezpieczeństwa narodowego</w:t>
      </w:r>
      <w:bookmarkEnd w:id="7"/>
      <w:r w:rsidRPr="00B41213">
        <w:t>;</w:t>
      </w:r>
    </w:p>
    <w:p w14:paraId="2A6AEABD" w14:textId="77777777" w:rsidR="00B514F9" w:rsidRPr="00B41213" w:rsidRDefault="00B514F9" w:rsidP="00B514F9">
      <w:pPr>
        <w:pStyle w:val="NormalHanging12a"/>
        <w:rPr>
          <w:rFonts w:eastAsiaTheme="minorHAnsi"/>
        </w:rPr>
      </w:pPr>
      <w:r w:rsidRPr="00B41213">
        <w:t>4.</w:t>
      </w:r>
      <w:r w:rsidRPr="00B41213">
        <w:tab/>
        <w:t>potępia nasilające się transgraniczne represje władz Chin i Hongkongu wobec dziennikarzy, działaczy i diaspory, w tym w UE; ponawia swój apel do państw członkowskich o zawieszenie umów o ekstradycji z Chinami i Hongkongiem oraz o zapewnienie skutecznej ochrony osobom zagrożonym prześladowaniami politycznymi; wzywa Komisję do zainicjowania zawieszenia statusu Hongkongu w ramach Światowej Organizacji Handlu;</w:t>
      </w:r>
    </w:p>
    <w:p w14:paraId="62BC19AB" w14:textId="77777777" w:rsidR="00B514F9" w:rsidRPr="00B41213" w:rsidRDefault="00B514F9" w:rsidP="00B514F9">
      <w:pPr>
        <w:pStyle w:val="NormalHanging12a"/>
        <w:rPr>
          <w:rFonts w:eastAsiaTheme="minorHAnsi"/>
        </w:rPr>
      </w:pPr>
      <w:r w:rsidRPr="00B41213">
        <w:t>5.</w:t>
      </w:r>
      <w:r w:rsidRPr="00B41213">
        <w:tab/>
        <w:t>uważa, że dożywotnie uwięzienie J. Laia jest niedopuszczalne i miałoby poważne konsekwencje dla stosunków UE–Chiny;</w:t>
      </w:r>
    </w:p>
    <w:p w14:paraId="65319A1F" w14:textId="77777777" w:rsidR="00B514F9" w:rsidRPr="00B41213" w:rsidRDefault="00B514F9" w:rsidP="00B514F9">
      <w:pPr>
        <w:pStyle w:val="NormalHanging12a"/>
        <w:rPr>
          <w:rFonts w:eastAsiaTheme="minorHAnsi"/>
        </w:rPr>
      </w:pPr>
      <w:r w:rsidRPr="00B41213">
        <w:t>6.</w:t>
      </w:r>
      <w:r w:rsidRPr="00B41213">
        <w:tab/>
        <w:t>wzywa Radę do przeglądu jej konkluzji z 2020 r. w sprawie Hongkongu i do przyjęcia sankcji w ramach globalnego systemu sankcji UE za naruszenia praw człowieka wobec szefa administracji Johna Lee oraz wszystkich urzędników odpowiedzialnych za tłumienie wolności;</w:t>
      </w:r>
    </w:p>
    <w:p w14:paraId="3AF291C5" w14:textId="77777777" w:rsidR="00B514F9" w:rsidRPr="00B41213" w:rsidRDefault="00B514F9" w:rsidP="00B514F9">
      <w:pPr>
        <w:pStyle w:val="NormalHanging12a"/>
        <w:rPr>
          <w:rFonts w:eastAsiaTheme="minorHAnsi"/>
        </w:rPr>
      </w:pPr>
      <w:r w:rsidRPr="00B41213">
        <w:t>7.</w:t>
      </w:r>
      <w:r w:rsidRPr="00B41213">
        <w:tab/>
        <w:t>wzywa delegaturę UE do zwiększenia zaangażowania dyplomatycznego i monitorowania sytuacji J. Laia i spraw powiązanych;</w:t>
      </w:r>
    </w:p>
    <w:p w14:paraId="0D8683E7" w14:textId="794F7884" w:rsidR="00E365E1" w:rsidRPr="00B41213" w:rsidRDefault="00B514F9" w:rsidP="00442985">
      <w:pPr>
        <w:pStyle w:val="NormalHanging12a"/>
      </w:pPr>
      <w:r w:rsidRPr="00B41213">
        <w:t>8.</w:t>
      </w:r>
      <w:r w:rsidRPr="00B41213">
        <w:tab/>
        <w:t>zobowiązuje swoją przewodniczącą do przekazania niniejszej rezolucji Komisji i Radzie, Chińskiej Republice Ludowej i Specjalnemu Regionowi Administracyjnemu Hongkong.</w:t>
      </w:r>
    </w:p>
    <w:sectPr w:rsidR="00E365E1" w:rsidRPr="00B41213" w:rsidSect="00B412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D51F7" w14:textId="77777777" w:rsidR="00027DC9" w:rsidRPr="00B41213" w:rsidRDefault="00027DC9">
      <w:r w:rsidRPr="00B41213">
        <w:separator/>
      </w:r>
    </w:p>
  </w:endnote>
  <w:endnote w:type="continuationSeparator" w:id="0">
    <w:p w14:paraId="159FF623" w14:textId="77777777" w:rsidR="00027DC9" w:rsidRPr="00B41213" w:rsidRDefault="00027DC9">
      <w:r w:rsidRPr="00B412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2EB3B" w14:textId="77777777" w:rsidR="00064002" w:rsidRPr="00B412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3A4BD" w14:textId="77777777" w:rsidR="00064002" w:rsidRPr="00B412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F600A" w14:textId="77777777" w:rsidR="00064002" w:rsidRPr="00B412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823B9" w14:textId="77777777" w:rsidR="00027DC9" w:rsidRPr="00B41213" w:rsidRDefault="00027DC9">
      <w:r w:rsidRPr="00B41213">
        <w:separator/>
      </w:r>
    </w:p>
  </w:footnote>
  <w:footnote w:type="continuationSeparator" w:id="0">
    <w:p w14:paraId="6E21FD71" w14:textId="77777777" w:rsidR="00027DC9" w:rsidRPr="00B41213" w:rsidRDefault="00027DC9">
      <w:r w:rsidRPr="00B412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54E39" w14:textId="77777777" w:rsidR="00064002" w:rsidRPr="00B412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15633" w14:textId="77777777" w:rsidR="00064002" w:rsidRPr="00B412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A11F6" w14:textId="77777777" w:rsidR="00064002" w:rsidRPr="00B412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1628875">
    <w:abstractNumId w:val="9"/>
  </w:num>
  <w:num w:numId="2" w16cid:durableId="2095664145">
    <w:abstractNumId w:val="9"/>
  </w:num>
  <w:num w:numId="3" w16cid:durableId="130367862">
    <w:abstractNumId w:val="7"/>
  </w:num>
  <w:num w:numId="4" w16cid:durableId="263416009">
    <w:abstractNumId w:val="7"/>
  </w:num>
  <w:num w:numId="5" w16cid:durableId="717438997">
    <w:abstractNumId w:val="6"/>
  </w:num>
  <w:num w:numId="6" w16cid:durableId="294676657">
    <w:abstractNumId w:val="6"/>
  </w:num>
  <w:num w:numId="7" w16cid:durableId="522674670">
    <w:abstractNumId w:val="5"/>
  </w:num>
  <w:num w:numId="8" w16cid:durableId="971251315">
    <w:abstractNumId w:val="5"/>
  </w:num>
  <w:num w:numId="9" w16cid:durableId="1117676574">
    <w:abstractNumId w:val="4"/>
  </w:num>
  <w:num w:numId="10" w16cid:durableId="785079605">
    <w:abstractNumId w:val="4"/>
  </w:num>
  <w:num w:numId="11" w16cid:durableId="769665901">
    <w:abstractNumId w:val="8"/>
  </w:num>
  <w:num w:numId="12" w16cid:durableId="627322958">
    <w:abstractNumId w:val="8"/>
  </w:num>
  <w:num w:numId="13" w16cid:durableId="342240929">
    <w:abstractNumId w:val="3"/>
  </w:num>
  <w:num w:numId="14" w16cid:durableId="2068141274">
    <w:abstractNumId w:val="3"/>
  </w:num>
  <w:num w:numId="15" w16cid:durableId="1757821912">
    <w:abstractNumId w:val="2"/>
  </w:num>
  <w:num w:numId="16" w16cid:durableId="1944024463">
    <w:abstractNumId w:val="2"/>
  </w:num>
  <w:num w:numId="17" w16cid:durableId="992221940">
    <w:abstractNumId w:val="1"/>
  </w:num>
  <w:num w:numId="18" w16cid:durableId="45035396">
    <w:abstractNumId w:val="1"/>
  </w:num>
  <w:num w:numId="19" w16cid:durableId="1764639837">
    <w:abstractNumId w:val="0"/>
  </w:num>
  <w:num w:numId="20" w16cid:durableId="578950042">
    <w:abstractNumId w:val="0"/>
  </w:num>
  <w:num w:numId="21" w16cid:durableId="623123046">
    <w:abstractNumId w:val="9"/>
  </w:num>
  <w:num w:numId="22" w16cid:durableId="318114942">
    <w:abstractNumId w:val="7"/>
  </w:num>
  <w:num w:numId="23" w16cid:durableId="87384952">
    <w:abstractNumId w:val="6"/>
  </w:num>
  <w:num w:numId="24" w16cid:durableId="746196452">
    <w:abstractNumId w:val="5"/>
  </w:num>
  <w:num w:numId="25" w16cid:durableId="90439695">
    <w:abstractNumId w:val="4"/>
  </w:num>
  <w:num w:numId="26" w16cid:durableId="1167474729">
    <w:abstractNumId w:val="8"/>
  </w:num>
  <w:num w:numId="27" w16cid:durableId="745810908">
    <w:abstractNumId w:val="3"/>
  </w:num>
  <w:num w:numId="28" w16cid:durableId="1773352924">
    <w:abstractNumId w:val="2"/>
  </w:num>
  <w:num w:numId="29" w16cid:durableId="161052004">
    <w:abstractNumId w:val="1"/>
  </w:num>
  <w:num w:numId="30" w16cid:durableId="2056198529">
    <w:abstractNumId w:val="0"/>
  </w:num>
  <w:num w:numId="31" w16cid:durableId="1335955733">
    <w:abstractNumId w:val="9"/>
  </w:num>
  <w:num w:numId="32" w16cid:durableId="1491021898">
    <w:abstractNumId w:val="7"/>
  </w:num>
  <w:num w:numId="33" w16cid:durableId="1619487161">
    <w:abstractNumId w:val="6"/>
  </w:num>
  <w:num w:numId="34" w16cid:durableId="160045202">
    <w:abstractNumId w:val="5"/>
  </w:num>
  <w:num w:numId="35" w16cid:durableId="522092480">
    <w:abstractNumId w:val="4"/>
  </w:num>
  <w:num w:numId="36" w16cid:durableId="364673854">
    <w:abstractNumId w:val="8"/>
  </w:num>
  <w:num w:numId="37" w16cid:durableId="882323442">
    <w:abstractNumId w:val="3"/>
  </w:num>
  <w:num w:numId="38" w16cid:durableId="224993841">
    <w:abstractNumId w:val="2"/>
  </w:num>
  <w:num w:numId="39" w16cid:durableId="1341201207">
    <w:abstractNumId w:val="1"/>
  </w:num>
  <w:num w:numId="40" w16cid:durableId="1087271831">
    <w:abstractNumId w:val="0"/>
  </w:num>
  <w:num w:numId="41" w16cid:durableId="1147088195">
    <w:abstractNumId w:val="10"/>
  </w:num>
  <w:num w:numId="42" w16cid:durableId="1191336518">
    <w:abstractNumId w:val="10"/>
  </w:num>
  <w:num w:numId="43" w16cid:durableId="1839153391">
    <w:abstractNumId w:val="10"/>
  </w:num>
  <w:num w:numId="44" w16cid:durableId="3588970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8, 0082, 0084, 0085 ir 0086/2026"/>
    <w:docVar w:name="dvlangue" w:val="PL"/>
    <w:docVar w:name="dvnumam" w:val="0"/>
    <w:docVar w:name="dvpe" w:val="782.020"/>
    <w:docVar w:name="dvtitre" w:val="Rezolucja Parlamentu Europejskiego z dnia  2026 r. w sprawie oskarżenia i szybkiego skazania Jimmy’ego Laia w Hongkongu(2026/2573(RSP))"/>
  </w:docVars>
  <w:rsids>
    <w:rsidRoot w:val="00027DC9"/>
    <w:rsid w:val="00002272"/>
    <w:rsid w:val="00027DC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4ABF"/>
    <w:rsid w:val="002509D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98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29C"/>
    <w:rsid w:val="005C2568"/>
    <w:rsid w:val="005F1B17"/>
    <w:rsid w:val="006037C0"/>
    <w:rsid w:val="006631B6"/>
    <w:rsid w:val="0067395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213"/>
    <w:rsid w:val="00B514F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1B2"/>
    <w:rsid w:val="00D56C11"/>
    <w:rsid w:val="00D834A0"/>
    <w:rsid w:val="00D872DF"/>
    <w:rsid w:val="00D91E21"/>
    <w:rsid w:val="00DA7FCD"/>
    <w:rsid w:val="00E256B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D3CC2"/>
  <w15:chartTrackingRefBased/>
  <w15:docId w15:val="{C7C0E1F1-7F39-442A-A650-36956F6B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514F9"/>
    <w:pPr>
      <w:spacing w:after="240"/>
      <w:ind w:left="567" w:hanging="567"/>
    </w:pPr>
  </w:style>
  <w:style w:type="paragraph" w:customStyle="1" w:styleId="EPComma">
    <w:name w:val="EPComma"/>
    <w:basedOn w:val="Normal"/>
    <w:rsid w:val="00B514F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514F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2026-01-21T21:12:00Z</dcterms:created>
  <dcterms:modified xsi:type="dcterms:W3CDTF">2026-01-22T12:22:00Z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B10-0068, 0082, 0084, 0085 ir 0086/2026</vt:lpwstr>
  </property>
  <property fmtid="{D5CDD505-2E9C-101B-9397-08002B2CF9AE}" pid="4" name="&lt;Type&gt;">
    <vt:lpwstr>RR</vt:lpwstr>
  </property>
</Properties>
</file>