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29D" w14:paraId="43C7017C" w14:textId="77777777" w:rsidTr="0010095E">
        <w:trPr>
          <w:trHeight w:hRule="exact" w:val="1418"/>
        </w:trPr>
        <w:tc>
          <w:tcPr>
            <w:tcW w:w="6804" w:type="dxa"/>
            <w:shd w:val="clear" w:color="auto" w:fill="auto"/>
            <w:vAlign w:val="center"/>
          </w:tcPr>
          <w:p w14:paraId="750A6278" w14:textId="77777777" w:rsidR="00751A4A" w:rsidRPr="0063529D" w:rsidRDefault="00591125" w:rsidP="0010095E">
            <w:pPr>
              <w:pStyle w:val="EPName"/>
            </w:pPr>
            <w:r w:rsidRPr="0063529D">
              <w:t>Ευρωπαϊκό Κοινοβούλιο</w:t>
            </w:r>
          </w:p>
          <w:p w14:paraId="2A707966" w14:textId="77777777" w:rsidR="00751A4A" w:rsidRPr="0063529D" w:rsidRDefault="005F1B17" w:rsidP="005F1B17">
            <w:pPr>
              <w:pStyle w:val="EPTerm"/>
              <w:rPr>
                <w:rStyle w:val="HideTWBExt"/>
                <w:noProof w:val="0"/>
                <w:vanish w:val="0"/>
                <w:color w:val="auto"/>
              </w:rPr>
            </w:pPr>
            <w:r w:rsidRPr="0063529D">
              <w:t>2024</w:t>
            </w:r>
            <w:r w:rsidR="00817416" w:rsidRPr="0063529D">
              <w:t>-202</w:t>
            </w:r>
            <w:r w:rsidRPr="0063529D">
              <w:t>9</w:t>
            </w:r>
          </w:p>
        </w:tc>
        <w:tc>
          <w:tcPr>
            <w:tcW w:w="2268" w:type="dxa"/>
            <w:shd w:val="clear" w:color="auto" w:fill="auto"/>
          </w:tcPr>
          <w:p w14:paraId="37EE15CC" w14:textId="77777777" w:rsidR="00751A4A" w:rsidRPr="0063529D" w:rsidRDefault="00187494" w:rsidP="0010095E">
            <w:pPr>
              <w:pStyle w:val="EPLogo"/>
            </w:pPr>
            <w:r w:rsidRPr="0063529D">
              <w:rPr>
                <w:noProof/>
                <w:lang w:eastAsia="ja-JP"/>
              </w:rPr>
              <w:drawing>
                <wp:inline distT="0" distB="0" distL="0" distR="0" wp14:anchorId="63FDAA71" wp14:editId="158095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0CBBC" w14:textId="77777777" w:rsidR="00D058B8" w:rsidRPr="0063529D" w:rsidRDefault="00D058B8" w:rsidP="004C5D52">
      <w:pPr>
        <w:pStyle w:val="LineTop"/>
      </w:pPr>
    </w:p>
    <w:p w14:paraId="01E4D566" w14:textId="77777777" w:rsidR="00680577" w:rsidRPr="0063529D" w:rsidRDefault="00591125" w:rsidP="00680577">
      <w:pPr>
        <w:pStyle w:val="EPBodyTA1"/>
      </w:pPr>
      <w:r w:rsidRPr="0063529D">
        <w:t>ΚΕΙΜΕΝΑ ΠΟΥ ΕΓΚΡΙΘΗΚΑΝ</w:t>
      </w:r>
    </w:p>
    <w:p w14:paraId="42DB6553" w14:textId="77777777" w:rsidR="00D058B8" w:rsidRPr="0063529D" w:rsidRDefault="00D058B8" w:rsidP="00D058B8">
      <w:pPr>
        <w:pStyle w:val="LineBottom"/>
      </w:pPr>
    </w:p>
    <w:p w14:paraId="75CAEEA1" w14:textId="387F560B" w:rsidR="00591125" w:rsidRPr="0063529D" w:rsidRDefault="00591125" w:rsidP="00591125">
      <w:pPr>
        <w:pStyle w:val="ATHeading1"/>
      </w:pPr>
      <w:bookmarkStart w:id="0" w:name="TANumber"/>
      <w:r w:rsidRPr="0063529D">
        <w:t>P10_TA(2026)00</w:t>
      </w:r>
      <w:r w:rsidR="003B5A5B" w:rsidRPr="0063529D">
        <w:t>21</w:t>
      </w:r>
      <w:bookmarkEnd w:id="0"/>
    </w:p>
    <w:p w14:paraId="0531804A" w14:textId="6BD18964" w:rsidR="00591125" w:rsidRPr="0063529D" w:rsidRDefault="00AD6794" w:rsidP="00591125">
      <w:pPr>
        <w:pStyle w:val="ATHeading2"/>
      </w:pPr>
      <w:bookmarkStart w:id="1" w:name="title"/>
      <w:r w:rsidRPr="0063529D">
        <w:t>Επιλογή δεικτών επιδόσεων για τον λογιστικό και τον δημοσιονομικό έλεγχο στο πλαίσιο χρηματοδοτικών μέτρων για τη στήριξη της μελλοντικής ανταγωνιστικότητας της Ευρώπης</w:t>
      </w:r>
      <w:bookmarkEnd w:id="1"/>
    </w:p>
    <w:p w14:paraId="57135CA4" w14:textId="77777777" w:rsidR="00591125" w:rsidRPr="0063529D" w:rsidRDefault="00591125" w:rsidP="00591125">
      <w:pPr>
        <w:rPr>
          <w:i/>
          <w:vanish/>
        </w:rPr>
      </w:pPr>
      <w:r w:rsidRPr="0063529D">
        <w:rPr>
          <w:i/>
        </w:rPr>
        <w:fldChar w:fldCharType="begin"/>
      </w:r>
      <w:r w:rsidRPr="0063529D">
        <w:rPr>
          <w:i/>
        </w:rPr>
        <w:instrText xml:space="preserve"> TC"(</w:instrText>
      </w:r>
      <w:bookmarkStart w:id="2" w:name="DocNumber"/>
      <w:r w:rsidRPr="0063529D">
        <w:rPr>
          <w:i/>
        </w:rPr>
        <w:instrText>A10-0268/2025</w:instrText>
      </w:r>
      <w:bookmarkEnd w:id="2"/>
      <w:r w:rsidRPr="0063529D">
        <w:rPr>
          <w:i/>
        </w:rPr>
        <w:instrText xml:space="preserve"> - Εισηγητής: Olivier Chastel)"\l3 \n&gt; \* MERGEFORMAT </w:instrText>
      </w:r>
      <w:r w:rsidRPr="0063529D">
        <w:rPr>
          <w:i/>
        </w:rPr>
        <w:fldChar w:fldCharType="end"/>
      </w:r>
    </w:p>
    <w:p w14:paraId="1CD5DD8A" w14:textId="77777777" w:rsidR="00591125" w:rsidRPr="0063529D" w:rsidRDefault="00591125" w:rsidP="00591125">
      <w:pPr>
        <w:rPr>
          <w:vanish/>
        </w:rPr>
      </w:pPr>
      <w:bookmarkStart w:id="3" w:name="Commission"/>
      <w:r w:rsidRPr="0063529D">
        <w:rPr>
          <w:vanish/>
        </w:rPr>
        <w:t>Επιτροπή Ελέγχου του Προϋπολογισμού</w:t>
      </w:r>
      <w:bookmarkEnd w:id="3"/>
    </w:p>
    <w:p w14:paraId="53A0C86E" w14:textId="77777777" w:rsidR="00591125" w:rsidRPr="0063529D" w:rsidRDefault="00591125" w:rsidP="00591125">
      <w:pPr>
        <w:rPr>
          <w:vanish/>
        </w:rPr>
      </w:pPr>
      <w:bookmarkStart w:id="4" w:name="PE"/>
      <w:r w:rsidRPr="0063529D">
        <w:rPr>
          <w:vanish/>
        </w:rPr>
        <w:t>PE778.327</w:t>
      </w:r>
      <w:bookmarkEnd w:id="4"/>
    </w:p>
    <w:p w14:paraId="5A3600DF" w14:textId="3DE910BB" w:rsidR="00591125" w:rsidRPr="0063529D" w:rsidRDefault="00591125" w:rsidP="00591125">
      <w:pPr>
        <w:pStyle w:val="ATHeading3"/>
      </w:pPr>
      <w:bookmarkStart w:id="5" w:name="Sujet"/>
      <w:r w:rsidRPr="0063529D">
        <w:t>Ψήφισμα του Ευρωπαϊκού Κοινοβουλίου</w:t>
      </w:r>
      <w:r w:rsidR="008B491F" w:rsidRPr="0063529D">
        <w:t xml:space="preserve"> της </w:t>
      </w:r>
      <w:r w:rsidR="00AD6794" w:rsidRPr="0063529D">
        <w:t>22α</w:t>
      </w:r>
      <w:r w:rsidR="008B491F" w:rsidRPr="0063529D">
        <w:t xml:space="preserve">ς Ιανουαρίου 2026 </w:t>
      </w:r>
      <w:r w:rsidRPr="0063529D">
        <w:t xml:space="preserve"> σχετικά με την επιλογή δεικτών επιδόσεων για τον λογιστικό και τον δημοσιονομικό έλεγχο στο πλαίσιο χρηματοδοτικών μέτρων για τη στήριξη της μελλοντικής ανταγωνιστικότητας της Ευρώπης</w:t>
      </w:r>
      <w:bookmarkEnd w:id="5"/>
      <w:r w:rsidRPr="0063529D">
        <w:t xml:space="preserve"> </w:t>
      </w:r>
      <w:bookmarkStart w:id="6" w:name="References"/>
      <w:r w:rsidRPr="0063529D">
        <w:t>(2025/2034(INI))</w:t>
      </w:r>
      <w:bookmarkEnd w:id="6"/>
    </w:p>
    <w:p w14:paraId="53DED88E" w14:textId="77777777" w:rsidR="00C86E08" w:rsidRPr="0063529D" w:rsidRDefault="00C86E08" w:rsidP="00C86E08">
      <w:pPr>
        <w:pStyle w:val="NormalBold12a"/>
      </w:pPr>
    </w:p>
    <w:p w14:paraId="272690BC" w14:textId="77777777" w:rsidR="00C86E08" w:rsidRPr="0063529D" w:rsidRDefault="00C86E08" w:rsidP="00C86E08">
      <w:pPr>
        <w:pStyle w:val="Normal12"/>
      </w:pPr>
      <w:r w:rsidRPr="0063529D">
        <w:rPr>
          <w:i/>
        </w:rPr>
        <w:t>Το Ευρωπαϊκό Κοινοβούλιο</w:t>
      </w:r>
      <w:r w:rsidRPr="0063529D">
        <w:t>,</w:t>
      </w:r>
    </w:p>
    <w:p w14:paraId="0D8B4B46" w14:textId="77777777" w:rsidR="00C86E08" w:rsidRPr="0063529D" w:rsidRDefault="00C86E08" w:rsidP="008B491F">
      <w:pPr>
        <w:pStyle w:val="NormalHanging"/>
        <w:ind w:left="567" w:hanging="567"/>
      </w:pPr>
      <w:r w:rsidRPr="0063529D">
        <w:t>–</w:t>
      </w:r>
      <w:r w:rsidRPr="0063529D">
        <w:tab/>
        <w:t>έχοντας υπόψη τη Συνθήκη για την Ευρωπαϊκή Ένωση,</w:t>
      </w:r>
    </w:p>
    <w:p w14:paraId="33D38124" w14:textId="77777777" w:rsidR="00C86E08" w:rsidRPr="0063529D" w:rsidRDefault="00C86E08" w:rsidP="008B491F">
      <w:pPr>
        <w:pStyle w:val="NormalHanging12a"/>
        <w:ind w:left="567" w:hanging="567"/>
      </w:pPr>
      <w:r w:rsidRPr="0063529D">
        <w:t>–</w:t>
      </w:r>
      <w:r w:rsidRPr="0063529D">
        <w:tab/>
        <w:t>έχοντας υπόψη τη Συνθήκη για τη λειτουργία της Ευρωπαϊκής Ένωσης (ΣΛΕΕ), και ιδίως το άρθρο 318 και το άρθρο 322 παράγραφος 1 στοιχείο α),</w:t>
      </w:r>
    </w:p>
    <w:p w14:paraId="540E0B35" w14:textId="03610A7B" w:rsidR="00C86E08" w:rsidRPr="0063529D" w:rsidRDefault="00C86E08" w:rsidP="008B491F">
      <w:pPr>
        <w:pStyle w:val="NormalHanging"/>
        <w:ind w:left="567" w:hanging="567"/>
      </w:pPr>
      <w:r w:rsidRPr="0063529D">
        <w:t>–</w:t>
      </w:r>
      <w:r w:rsidRPr="0063529D">
        <w:tab/>
        <w:t>έχοντας υπόψη τον κανονισμό (ΕΕ, Ευρατόμ) 2020/2093 του Συμβουλίου, της 17ης</w:t>
      </w:r>
      <w:r w:rsidR="008D5999">
        <w:t xml:space="preserve"> </w:t>
      </w:r>
      <w:r w:rsidRPr="0063529D">
        <w:t xml:space="preserve">Δεκεμβρίου 2020, για τον καθορισμό του πολυετούς δημοσιονομικού πλαισίου για </w:t>
      </w:r>
      <w:r w:rsidR="008B491F" w:rsidRPr="0063529D">
        <w:t> </w:t>
      </w:r>
      <w:r w:rsidRPr="0063529D">
        <w:t>τα έτη 2021 έως 2027</w:t>
      </w:r>
      <w:r w:rsidRPr="0063529D">
        <w:rPr>
          <w:rStyle w:val="FootnoteReference"/>
        </w:rPr>
        <w:footnoteReference w:id="1"/>
      </w:r>
      <w:r w:rsidRPr="0063529D">
        <w:t>,</w:t>
      </w:r>
    </w:p>
    <w:p w14:paraId="39D0D4E2" w14:textId="77777777" w:rsidR="00C86E08" w:rsidRPr="0063529D" w:rsidRDefault="00C86E08" w:rsidP="008B491F">
      <w:pPr>
        <w:pStyle w:val="NormalHanging"/>
        <w:ind w:left="567" w:hanging="567"/>
      </w:pPr>
      <w:r w:rsidRPr="0063529D">
        <w:t>–</w:t>
      </w:r>
      <w:r w:rsidRPr="0063529D">
        <w:tab/>
        <w:t>έχοντας υπόψη τον κανονισμό (ΕΕ, Ευρατόμ) 2022/2496 του Συμβουλίου, της 15ης Δεκεμβρίου 2022, για την τροποποίηση του κανονισμού (ΕΕ, Ευρατόμ) 2020/2093 για τον καθορισμό του πολυετούς δημοσιονομικού πλαισίου για τα έτη 2021 έως 2027</w:t>
      </w:r>
      <w:r w:rsidRPr="0063529D">
        <w:rPr>
          <w:rStyle w:val="FootnoteReference"/>
        </w:rPr>
        <w:footnoteReference w:id="2"/>
      </w:r>
      <w:r w:rsidRPr="0063529D">
        <w:t>,</w:t>
      </w:r>
    </w:p>
    <w:p w14:paraId="1B83B9C5" w14:textId="5DE3E489" w:rsidR="00C86E08" w:rsidRPr="0063529D" w:rsidRDefault="00C86E08" w:rsidP="008B491F">
      <w:pPr>
        <w:pStyle w:val="NormalHanging"/>
        <w:ind w:left="567" w:hanging="567"/>
      </w:pPr>
      <w:r w:rsidRPr="0063529D">
        <w:t>–</w:t>
      </w:r>
      <w:r w:rsidRPr="0063529D">
        <w:tab/>
        <w:t>έχοντας υπόψη τον κανονισμό (ΕΕ, Ευρατόμ) 2024/765 του Συμβουλίου, της 29ης Φεβρουαρίου 2024, για την τροποποίηση του κανονισμού (ΕΕ,</w:t>
      </w:r>
      <w:r w:rsidR="008B491F" w:rsidRPr="0063529D">
        <w:t xml:space="preserve"> </w:t>
      </w:r>
      <w:r w:rsidRPr="0063529D">
        <w:t>Ευρατόμ)</w:t>
      </w:r>
      <w:r w:rsidR="008B491F" w:rsidRPr="0063529D">
        <w:t xml:space="preserve"> </w:t>
      </w:r>
      <w:r w:rsidRPr="0063529D">
        <w:t>2020/2093 για τον καθορισμό του πολυετούς δημοσιονομικού πλαισίου για τα έτη 2021 έως 2027</w:t>
      </w:r>
      <w:r w:rsidRPr="0063529D">
        <w:rPr>
          <w:rStyle w:val="FootnoteReference"/>
        </w:rPr>
        <w:footnoteReference w:id="3"/>
      </w:r>
      <w:r w:rsidRPr="0063529D">
        <w:t>,</w:t>
      </w:r>
    </w:p>
    <w:p w14:paraId="277A81FA" w14:textId="77777777" w:rsidR="00C86E08" w:rsidRPr="0063529D" w:rsidRDefault="00C86E08" w:rsidP="008B491F">
      <w:pPr>
        <w:pStyle w:val="NormalHanging"/>
        <w:ind w:left="567" w:hanging="567"/>
      </w:pPr>
      <w:r w:rsidRPr="0063529D">
        <w:t>–</w:t>
      </w:r>
      <w:r w:rsidRPr="0063529D">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63529D">
        <w:lastRenderedPageBreak/>
        <w:t>ιδίους πόρους, συμπεριλαμβανομένου ενός οδικού χάρτη για την εισαγωγή νέων ιδίων πόρων</w:t>
      </w:r>
      <w:r w:rsidRPr="0063529D">
        <w:rPr>
          <w:rStyle w:val="FootnoteReference"/>
        </w:rPr>
        <w:footnoteReference w:id="4"/>
      </w:r>
      <w:r w:rsidRPr="0063529D">
        <w:t>,</w:t>
      </w:r>
    </w:p>
    <w:p w14:paraId="21D90B45" w14:textId="280EAE3F" w:rsidR="00C86E08" w:rsidRPr="0063529D" w:rsidRDefault="00C86E08" w:rsidP="008B491F">
      <w:pPr>
        <w:pStyle w:val="NormalHanging"/>
        <w:ind w:left="567" w:hanging="567"/>
      </w:pPr>
      <w:r w:rsidRPr="0063529D">
        <w:t>–</w:t>
      </w:r>
      <w:r w:rsidRPr="0063529D">
        <w:tab/>
        <w:t>έχοντας υπόψη την ανακοίνωση της Επιτροπής, της 8ης Ιουνίου 202</w:t>
      </w:r>
      <w:r w:rsidR="008D5999">
        <w:t>1</w:t>
      </w:r>
      <w:r w:rsidRPr="0063529D">
        <w:t>, σχετικά με το πλαίσιο επιδόσεων για τον προϋπολογισμό της ΕΕ βάσει του ΠΔΠ 2021-2027 (COM(2021)0366) και το συνοδευτικό υπηρεσιακό έγγραφο εργασίας Επιτροπής (SWD(2021)0133),</w:t>
      </w:r>
    </w:p>
    <w:p w14:paraId="1E92196E" w14:textId="77777777" w:rsidR="00C86E08" w:rsidRPr="0063529D" w:rsidRDefault="00C86E08" w:rsidP="008B491F">
      <w:pPr>
        <w:pStyle w:val="NormalHanging"/>
        <w:ind w:left="567" w:hanging="567"/>
      </w:pPr>
      <w:r w:rsidRPr="0063529D">
        <w:t>–</w:t>
      </w:r>
      <w:r w:rsidRPr="0063529D">
        <w:tab/>
        <w:t>έχοντας υπόψη την πρόταση της Επιτροπής, της 16ης Ιουλίου 2025, σχετικά με κανονισμό του Συμβουλίου για τον καθορισμό του πολυετούς δημοσιονομικού πλαισίου για τα έτη 2028 έως 2034 (COM(2025)0571),</w:t>
      </w:r>
    </w:p>
    <w:p w14:paraId="65E64FC0" w14:textId="797CACBC" w:rsidR="00C86E08" w:rsidRPr="0063529D" w:rsidRDefault="00C86E08" w:rsidP="008B491F">
      <w:pPr>
        <w:pStyle w:val="NormalHanging"/>
        <w:ind w:left="567" w:hanging="567"/>
      </w:pPr>
      <w:r w:rsidRPr="0063529D">
        <w:t>–</w:t>
      </w:r>
      <w:r w:rsidRPr="0063529D">
        <w:tab/>
        <w:t>έχοντας υπόψη την πρόταση της Επιτροπής, της 16ης Ιουλίου 2025, για κανονισμό του Ευρωπαϊκού Κοινοβουλίου και του Συμβουλίου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(COM(2025)0545) και τη συνοδευτική έκθεση εκτίμησης επιπτώσεων (SWD</w:t>
      </w:r>
      <w:r w:rsidR="008B491F" w:rsidRPr="0063529D">
        <w:t>(</w:t>
      </w:r>
      <w:r w:rsidRPr="0063529D">
        <w:t>2025</w:t>
      </w:r>
      <w:r w:rsidR="008B491F" w:rsidRPr="0063529D">
        <w:t>)</w:t>
      </w:r>
      <w:r w:rsidRPr="0063529D">
        <w:t>0590),</w:t>
      </w:r>
    </w:p>
    <w:p w14:paraId="4F8E5AD5" w14:textId="2E971CB9" w:rsidR="00C86E08" w:rsidRPr="0063529D" w:rsidRDefault="00C86E08" w:rsidP="008B491F">
      <w:pPr>
        <w:pStyle w:val="NormalHanging"/>
        <w:ind w:left="567" w:hanging="567"/>
      </w:pPr>
      <w:r w:rsidRPr="0063529D">
        <w:t>–</w:t>
      </w:r>
      <w:r w:rsidRPr="0063529D">
        <w:tab/>
        <w:t>έχοντας υπόψη την πρόταση της Επιτροπής, της 16ης Ιουλίου 2025, για κανονισμό του Ευρωπαϊκού Κοινοβουλίου και του Συμβουλίου σχετικά με τη σύσταση του Ευρωπαϊκού Ταμείου Ανταγωνιστικότητας (ΕΤΑ), συμπεριλαμβανομένου του ειδικού προγράμματος για δραστηριότητες έρευνας και καινοτομίας στον τομέα της άμυνας, την κατάργηση των κανονισμών (ΕΕ) 2021/522, (ΕΕ) 2021/694, (ΕΕ) 2021/697, (ΕΕ)</w:t>
      </w:r>
      <w:r w:rsidR="00332D18" w:rsidRPr="0063529D">
        <w:t> </w:t>
      </w:r>
      <w:r w:rsidRPr="0063529D">
        <w:t>2021/783, την κατάργηση διατάξεων των κανονισμών (ΕΕ) 2021/696, (ΕΕ)</w:t>
      </w:r>
      <w:r w:rsidR="00332D18" w:rsidRPr="0063529D">
        <w:t> </w:t>
      </w:r>
      <w:r w:rsidRPr="0063529D">
        <w:t xml:space="preserve">2023/588 και την τροποποίηση του κανονισμού (ΕΕ) </w:t>
      </w:r>
      <w:r w:rsidR="008B491F" w:rsidRPr="0063529D">
        <w:t>(</w:t>
      </w:r>
      <w:r w:rsidRPr="0063529D">
        <w:t>πρόγραμμα για την ευρωπαϊκή αμυντική βιομηχανία</w:t>
      </w:r>
      <w:r w:rsidR="008B491F" w:rsidRPr="0063529D">
        <w:t>)</w:t>
      </w:r>
      <w:r w:rsidRPr="0063529D">
        <w:t xml:space="preserve"> </w:t>
      </w:r>
      <w:r w:rsidR="008B491F" w:rsidRPr="0063529D">
        <w:t>(</w:t>
      </w:r>
      <w:r w:rsidRPr="0063529D">
        <w:t>COM(2025)0555</w:t>
      </w:r>
      <w:r w:rsidR="008B491F" w:rsidRPr="0063529D">
        <w:t>)</w:t>
      </w:r>
      <w:r w:rsidRPr="0063529D">
        <w:t>,</w:t>
      </w:r>
    </w:p>
    <w:p w14:paraId="233F6E4E" w14:textId="77777777" w:rsidR="00C86E08" w:rsidRPr="0063529D" w:rsidRDefault="00C86E08" w:rsidP="008B491F">
      <w:pPr>
        <w:pStyle w:val="NormalHanging"/>
        <w:ind w:left="567" w:hanging="567"/>
      </w:pPr>
      <w:r w:rsidRPr="0063529D">
        <w:t>–</w:t>
      </w:r>
      <w:r w:rsidRPr="0063529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63529D">
        <w:rPr>
          <w:rStyle w:val="FootnoteReference"/>
        </w:rPr>
        <w:footnoteReference w:id="5"/>
      </w:r>
      <w:r w:rsidRPr="0063529D">
        <w:t xml:space="preserve"> (δημοσιονομικός κανονισμός), και ιδίως το άρθρο 33,</w:t>
      </w:r>
    </w:p>
    <w:p w14:paraId="53776068" w14:textId="77777777" w:rsidR="00C86E08" w:rsidRPr="0063529D" w:rsidRDefault="00C86E08" w:rsidP="008B491F">
      <w:pPr>
        <w:pStyle w:val="NormalHanging"/>
        <w:ind w:left="567" w:hanging="567"/>
      </w:pPr>
      <w:r w:rsidRPr="0063529D">
        <w:t>–</w:t>
      </w:r>
      <w:r w:rsidRPr="0063529D">
        <w:tab/>
        <w:t>έχοντας υπόψη τη δημοσίευση της Προέδρου της Επιτροπής, της 18ης Ιουλίου 2024, με τίτλο «Η επιλογή της Ευρώπης: πολιτικές κατευθύνσεις για την επόμενη Ευρωπαϊκή Επιτροπή 2024-2029»,</w:t>
      </w:r>
    </w:p>
    <w:p w14:paraId="25BA46DB" w14:textId="7635A8CA" w:rsidR="00C86E08" w:rsidRPr="0063529D" w:rsidRDefault="00C86E08" w:rsidP="008B491F">
      <w:pPr>
        <w:pStyle w:val="NormalHanging"/>
        <w:ind w:left="567" w:hanging="567"/>
      </w:pPr>
      <w:r w:rsidRPr="0063529D">
        <w:t>–</w:t>
      </w:r>
      <w:r w:rsidRPr="0063529D">
        <w:tab/>
        <w:t xml:space="preserve">έχοντας υπόψη την έκθεση του </w:t>
      </w:r>
      <w:proofErr w:type="spellStart"/>
      <w:r w:rsidRPr="0063529D">
        <w:t>Mario</w:t>
      </w:r>
      <w:proofErr w:type="spellEnd"/>
      <w:r w:rsidRPr="0063529D">
        <w:t xml:space="preserve"> </w:t>
      </w:r>
      <w:proofErr w:type="spellStart"/>
      <w:r w:rsidRPr="0063529D">
        <w:t>Draghi</w:t>
      </w:r>
      <w:proofErr w:type="spellEnd"/>
      <w:r w:rsidRPr="0063529D">
        <w:t xml:space="preserve">, της 9ης Σεπτεμβρίου 2024, με τίτλο «The </w:t>
      </w:r>
      <w:proofErr w:type="spellStart"/>
      <w:r w:rsidRPr="0063529D">
        <w:t>future</w:t>
      </w:r>
      <w:proofErr w:type="spellEnd"/>
      <w:r w:rsidRPr="0063529D">
        <w:t xml:space="preserve"> of European </w:t>
      </w:r>
      <w:proofErr w:type="spellStart"/>
      <w:r w:rsidRPr="0063529D">
        <w:t>competitiveness</w:t>
      </w:r>
      <w:proofErr w:type="spellEnd"/>
      <w:r w:rsidRPr="0063529D">
        <w:t xml:space="preserve">» (Το μέλλον της ευρωπαϊκής ανταγωνιστικότητας) (έκθεση </w:t>
      </w:r>
      <w:proofErr w:type="spellStart"/>
      <w:r w:rsidRPr="0063529D">
        <w:t>Draghi</w:t>
      </w:r>
      <w:proofErr w:type="spellEnd"/>
      <w:r w:rsidRPr="0063529D">
        <w:t>),</w:t>
      </w:r>
    </w:p>
    <w:p w14:paraId="763D0790" w14:textId="03994772" w:rsidR="00C86E08" w:rsidRPr="0063529D" w:rsidRDefault="00C86E08" w:rsidP="008B491F">
      <w:pPr>
        <w:pStyle w:val="NormalHanging"/>
        <w:ind w:left="567" w:hanging="567"/>
      </w:pPr>
      <w:r w:rsidRPr="0063529D">
        <w:t>–</w:t>
      </w:r>
      <w:r w:rsidRPr="0063529D">
        <w:tab/>
        <w:t xml:space="preserve">έχοντας υπόψη την έκθεση του </w:t>
      </w:r>
      <w:proofErr w:type="spellStart"/>
      <w:r w:rsidRPr="0063529D">
        <w:t>Enrico</w:t>
      </w:r>
      <w:proofErr w:type="spellEnd"/>
      <w:r w:rsidRPr="0063529D">
        <w:t xml:space="preserve"> </w:t>
      </w:r>
      <w:proofErr w:type="spellStart"/>
      <w:r w:rsidRPr="0063529D">
        <w:t>Letta</w:t>
      </w:r>
      <w:proofErr w:type="spellEnd"/>
      <w:r w:rsidRPr="0063529D">
        <w:t>, της 17ης Απριλίου 2024, με τίτλο «</w:t>
      </w:r>
      <w:proofErr w:type="spellStart"/>
      <w:r w:rsidRPr="0063529D">
        <w:t>Much</w:t>
      </w:r>
      <w:proofErr w:type="spellEnd"/>
      <w:r w:rsidRPr="0063529D">
        <w:t xml:space="preserve"> </w:t>
      </w:r>
      <w:proofErr w:type="spellStart"/>
      <w:r w:rsidRPr="0063529D">
        <w:t>more</w:t>
      </w:r>
      <w:proofErr w:type="spellEnd"/>
      <w:r w:rsidRPr="0063529D">
        <w:t xml:space="preserve"> </w:t>
      </w:r>
      <w:proofErr w:type="spellStart"/>
      <w:r w:rsidRPr="0063529D">
        <w:t>than</w:t>
      </w:r>
      <w:proofErr w:type="spellEnd"/>
      <w:r w:rsidRPr="0063529D">
        <w:t xml:space="preserve"> a </w:t>
      </w:r>
      <w:proofErr w:type="spellStart"/>
      <w:r w:rsidRPr="0063529D">
        <w:t>market</w:t>
      </w:r>
      <w:proofErr w:type="spellEnd"/>
      <w:r w:rsidRPr="0063529D">
        <w:t>» (Πολύ περισσότερο από μια απλή αγορά) (έκθεση Letta),</w:t>
      </w:r>
    </w:p>
    <w:p w14:paraId="1E580E82" w14:textId="77777777" w:rsidR="00C86E08" w:rsidRPr="0063529D" w:rsidRDefault="00C86E08" w:rsidP="008B491F">
      <w:pPr>
        <w:pStyle w:val="NormalHanging"/>
        <w:ind w:left="567" w:hanging="567"/>
      </w:pPr>
      <w:r w:rsidRPr="0063529D">
        <w:t>–</w:t>
      </w:r>
      <w:r w:rsidRPr="0063529D">
        <w:tab/>
        <w:t>έχοντας υπόψη την ανακοίνωση της Επιτροπής, της 29ης Ιανουαρίου 2025, με τίτλο «Πυξίδα Ανταγωνιστικότητας για την ΕΕ» (COM(2025)0030),</w:t>
      </w:r>
    </w:p>
    <w:p w14:paraId="333159FC" w14:textId="77777777" w:rsidR="00C86E08" w:rsidRPr="0063529D" w:rsidRDefault="00C86E08" w:rsidP="008B491F">
      <w:pPr>
        <w:pStyle w:val="NormalHanging"/>
        <w:ind w:left="567" w:hanging="567"/>
      </w:pPr>
      <w:r w:rsidRPr="0063529D">
        <w:lastRenderedPageBreak/>
        <w:t>–</w:t>
      </w:r>
      <w:r w:rsidRPr="0063529D">
        <w:tab/>
        <w:t>έχοντας υπόψη την ανακοίνωση της Επιτροπής, της 11ης Φεβρουαρίου 2025, με τίτλο «Η πορεία προς το προσεχές Πολυετές Δημοσιονομικό Πλαίσιο» (COM(2025)0046),</w:t>
      </w:r>
    </w:p>
    <w:p w14:paraId="0755DA56" w14:textId="77777777" w:rsidR="00C86E08" w:rsidRPr="0063529D" w:rsidRDefault="00C86E08" w:rsidP="008B491F">
      <w:pPr>
        <w:pStyle w:val="NormalHanging"/>
        <w:ind w:left="567" w:hanging="567"/>
      </w:pPr>
      <w:r w:rsidRPr="0063529D">
        <w:t>–</w:t>
      </w:r>
      <w:r w:rsidRPr="0063529D">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63529D">
        <w:rPr>
          <w:rStyle w:val="FootnoteReference"/>
        </w:rPr>
        <w:footnoteReference w:id="6"/>
      </w:r>
      <w:r w:rsidRPr="0063529D">
        <w:t>,</w:t>
      </w:r>
    </w:p>
    <w:p w14:paraId="03A5DB27" w14:textId="77777777" w:rsidR="00C86E08" w:rsidRPr="0063529D" w:rsidRDefault="00C86E08" w:rsidP="008B491F">
      <w:pPr>
        <w:pStyle w:val="NormalHanging"/>
        <w:ind w:left="567" w:hanging="567"/>
      </w:pPr>
      <w:r w:rsidRPr="0063529D">
        <w:t>–</w:t>
      </w:r>
      <w:r w:rsidRPr="0063529D">
        <w:tab/>
        <w:t>Έχοντας υπόψη τις δημοσιεύσεις του Ευρωπαϊκού Ελεγκτικού Συνεδρίου,</w:t>
      </w:r>
    </w:p>
    <w:p w14:paraId="0CD52CB4" w14:textId="77777777" w:rsidR="00C86E08" w:rsidRPr="0063529D" w:rsidRDefault="00C86E08" w:rsidP="008B491F">
      <w:pPr>
        <w:pStyle w:val="NormalHanging"/>
        <w:ind w:left="567" w:hanging="567"/>
      </w:pPr>
      <w:r w:rsidRPr="0063529D">
        <w:t>–</w:t>
      </w:r>
      <w:r w:rsidRPr="0063529D">
        <w:tab/>
        <w:t>έχοντας υπόψη τη μελέτη που ζήτησε η Επιτροπή Προϋπολογισμών με τίτλο «</w:t>
      </w:r>
      <w:proofErr w:type="spellStart"/>
      <w:r w:rsidRPr="0063529D">
        <w:t>Performance</w:t>
      </w:r>
      <w:proofErr w:type="spellEnd"/>
      <w:r w:rsidRPr="0063529D">
        <w:t xml:space="preserve"> </w:t>
      </w:r>
      <w:proofErr w:type="spellStart"/>
      <w:r w:rsidRPr="0063529D">
        <w:t>framework</w:t>
      </w:r>
      <w:proofErr w:type="spellEnd"/>
      <w:r w:rsidRPr="0063529D">
        <w:t xml:space="preserve"> for the EU </w:t>
      </w:r>
      <w:proofErr w:type="spellStart"/>
      <w:r w:rsidRPr="0063529D">
        <w:t>budget</w:t>
      </w:r>
      <w:proofErr w:type="spellEnd"/>
      <w:r w:rsidRPr="0063529D">
        <w:t xml:space="preserve"> – </w:t>
      </w:r>
      <w:proofErr w:type="spellStart"/>
      <w:r w:rsidRPr="0063529D">
        <w:t>Concepts</w:t>
      </w:r>
      <w:proofErr w:type="spellEnd"/>
      <w:r w:rsidRPr="0063529D">
        <w:t xml:space="preserve"> and </w:t>
      </w:r>
      <w:proofErr w:type="spellStart"/>
      <w:r w:rsidRPr="0063529D">
        <w:t>practices</w:t>
      </w:r>
      <w:proofErr w:type="spellEnd"/>
      <w:r w:rsidRPr="0063529D">
        <w:t>» (Πλαίσιο επιδόσεων για τον προϋπολογισμό της ΕΕ – Ιδέες και πρακτικές), η οποία δημοσιεύθηκε τον Μάρτιο του 2024</w:t>
      </w:r>
      <w:r w:rsidRPr="0063529D">
        <w:rPr>
          <w:rStyle w:val="FootnoteReference"/>
        </w:rPr>
        <w:footnoteReference w:id="7"/>
      </w:r>
      <w:r w:rsidRPr="0063529D">
        <w:t>,</w:t>
      </w:r>
    </w:p>
    <w:p w14:paraId="6920BE72" w14:textId="77777777" w:rsidR="00C86E08" w:rsidRPr="0063529D" w:rsidRDefault="00C86E08" w:rsidP="008B491F">
      <w:pPr>
        <w:pStyle w:val="NormalHanging"/>
        <w:ind w:left="567" w:hanging="567"/>
      </w:pPr>
      <w:r w:rsidRPr="0063529D">
        <w:t>–</w:t>
      </w:r>
      <w:r w:rsidRPr="0063529D">
        <w:tab/>
        <w:t>έχοντας υπόψη το άρθρο 55 του Κανονισμού του,</w:t>
      </w:r>
    </w:p>
    <w:p w14:paraId="2836F914" w14:textId="77777777" w:rsidR="00C86E08" w:rsidRPr="0063529D" w:rsidRDefault="00C86E08" w:rsidP="008B491F">
      <w:pPr>
        <w:pStyle w:val="NormalHanging"/>
        <w:ind w:left="567" w:hanging="567"/>
      </w:pPr>
      <w:r w:rsidRPr="0063529D">
        <w:t>–</w:t>
      </w:r>
      <w:r w:rsidRPr="0063529D">
        <w:tab/>
        <w:t>έχοντας υπόψη την έκθεση της Επιτροπής Ελέγχου του Προϋπολογισμού (A10-0268/2025),</w:t>
      </w:r>
    </w:p>
    <w:p w14:paraId="5FFE29B0" w14:textId="77777777" w:rsidR="00C86E08" w:rsidRPr="0063529D" w:rsidRDefault="00C86E08" w:rsidP="008B491F">
      <w:pPr>
        <w:pStyle w:val="NormalHanging"/>
        <w:ind w:left="567" w:hanging="567"/>
      </w:pPr>
      <w:r w:rsidRPr="0063529D">
        <w:t>Α.</w:t>
      </w:r>
      <w:r w:rsidRPr="0063529D">
        <w:tab/>
        <w:t>λαμβάνοντας υπόψη ότι η χρηστή δημοσιονομική διαχείριση, όπως ορίζεται στον δημοσιονομικό κανονισμό, απαιτεί να εκτελούνται οι πιστώσεις της ΕΕ σύμφωνα με τις αρχές της οικονομίας, της αποδοτικότητας και της αποτελεσματικότητας· λαμβάνοντας υπόψη ότι η έννοια των επιδόσεων όσον αφορά τον προϋπολογισμό θα πρέπει να συνδέεται με την άμεση εφαρμογή της αρχής της χρηστής δημοσιονομικής διαχείρισης·</w:t>
      </w:r>
    </w:p>
    <w:p w14:paraId="34923255" w14:textId="77777777" w:rsidR="00C86E08" w:rsidRPr="0063529D" w:rsidRDefault="00C86E08" w:rsidP="008B491F">
      <w:pPr>
        <w:pStyle w:val="NormalHanging12a"/>
        <w:ind w:left="567" w:hanging="567"/>
        <w:rPr>
          <w:bCs/>
          <w:iCs/>
        </w:rPr>
      </w:pPr>
      <w:r w:rsidRPr="0063529D">
        <w:t>Β.</w:t>
      </w:r>
      <w:r w:rsidRPr="0063529D">
        <w:tab/>
        <w:t>λαμβάνοντας υπόψη ότι το άρθρο 318 ΣΛΕΕ απαιτεί από την Επιτροπή να υποβάλλει ετησίως στο Κοινοβούλιο και στο Συμβούλιο τους λογαριασμούς του προηγούμενου οικονομικού έτους σχετικά με την εκτέλεση του προϋπολογισμού, καθώς και έκθεση αξιολόγησης των οικονομικών της Ένωσης βασιζόμενη στα αποτελέσματα που έχουν επιτευχθεί· λαμβάνοντας υπόψη ότι, επιπλέον, βάσει του άρθρου 322 ΣΛΕΕ, θα πρέπει να εφαρμόζονται δημοσιονομικοί κανόνες για τη διαδικασία καθορισμού της εκτέλεσης του προϋπολογισμού, και για την παρουσίαση και τον έλεγχο των λογαριασμών· λαμβάνοντας υπόψη ότι η χρήση κατάλληλων, αξιόπιστων και διαφανών δεικτών για την επίτευξη αποτελεσμάτων και για σκοπούς λογιστικού ελέγχου μπορεί να ενισχύσει την αξιολόγηση της εκτέλεσης του προϋπολογισμού και τη σύγκριση σε ετήσια βάση που διενεργείται από το Ευρωπαϊκό Κοινοβούλιο και το Συμβούλιο·</w:t>
      </w:r>
    </w:p>
    <w:p w14:paraId="67A1C835" w14:textId="77777777" w:rsidR="00C86E08" w:rsidRPr="0063529D" w:rsidRDefault="00C86E08" w:rsidP="008B491F">
      <w:pPr>
        <w:pStyle w:val="NormalHanging12a"/>
        <w:ind w:left="567" w:hanging="567"/>
      </w:pPr>
      <w:r w:rsidRPr="0063529D">
        <w:t>Γ.</w:t>
      </w:r>
      <w:r w:rsidRPr="0063529D">
        <w:tab/>
        <w:t xml:space="preserve">λαμβάνοντας υπόψη ότι, σύμφωνα με τον δημοσιονομικό κανονισμό, θα πρέπει να καθιερωθεί σύνδεση μεταξύ των στόχων που έχουν τεθεί και των δεικτών επιδόσεων, των αποτελεσμάτων και των αρχών της οικονομίας, της αποδοτικότητας και της αποτελεσματικότητας· λαμβάνοντας υπόψη ότι ο αναδιατυπωμένος δημοσιονομικός κανονισμός του 2024 ενίσχυσε τη νομική βάση του πλαισίου επιδόσεων και επιβεβαίωσε ότι η πρόοδος όσον αφορά την επίτευξη των στόχων θα πρέπει να παρακολουθείται με τη χρήση δεικτών επιδόσεων που να πληρούν τα κριτήρια RACER (να είναι συναφείς, αποδεκτοί, αξιόπιστοι, εύκολοι, σταθεροί), να βασίζονται σε ευρέως αναγνωρισμένα επιστημονικά στοιχεία, με σαφείς ορισμούς και να είναι διαθέσιμοι σε </w:t>
      </w:r>
      <w:r w:rsidRPr="0063529D">
        <w:lastRenderedPageBreak/>
        <w:t>ανοικτό, μηχαναγνώσιμο μορφότυπο· λαμβάνοντας υπόψη ότι, κατά περίπτωση, οι δείκτες αυτοί θα πρέπει να αναλύονται ανά φύλο και να είναι συγκεντρωτικοί· λαμβάνοντας υπόψη ότι, κατά περίπτωση, θα πρέπει να καθοριστεί μια αποτελεσματική, διαφανής και ολοκληρωμένη μεθοδολογία·</w:t>
      </w:r>
    </w:p>
    <w:p w14:paraId="448A9795" w14:textId="77777777" w:rsidR="00C86E08" w:rsidRPr="0063529D" w:rsidRDefault="00C86E08" w:rsidP="008B491F">
      <w:pPr>
        <w:pStyle w:val="NormalHanging12a"/>
        <w:ind w:left="567" w:hanging="567"/>
        <w:rPr>
          <w:bCs/>
          <w:iCs/>
        </w:rPr>
      </w:pPr>
      <w:r w:rsidRPr="0063529D">
        <w:t>Δ.</w:t>
      </w:r>
      <w:r w:rsidRPr="0063529D">
        <w:tab/>
        <w:t>λαμβάνοντας υπόψη ότι η πρόταση κανονισμού της Επιτροπής για τη θέσπιση πλαισίου παρακολούθησης των δαπανών του προϋπολογισμού και επιδόσεων θεσπίζει ενιαίο πλαίσιο για την κατάρτιση του προϋπολογισμού βάσει επιδόσεων· λαμβάνοντας υπόψη ότι η πρόταση ορίζει τον «δείκτη εκροών» ως ποσοτικό δείκτη επιδόσεων που παρακολουθεί τι παράγεται ή στηρίζεται άμεσα από την υλοποίηση μιας δραστηριότητας και τον «δείκτη αποτελεσμάτων» ως ποσοτικό δείκτη επιδόσεων που παρακολουθεί τις άμεσες επιπτώσεις των δραστηριοτήτων που λαμβάνουν στήριξη· λαμβάνοντας υπόψη ότι οι «δείκτες αντικτύπου» χρησιμοποιούνται ευρέως για τη μέτρηση των τάσεων στους μακροπρόθεσμους στόχους που καλύπτονται από μια παρέμβαση· λαμβάνοντας υπόψη ότι οι «δείκτες εισροών» χρησιμοποιούνται συνήθως για τη μέτρηση των οικονομικών, ανθρώπινων, υλικών, διοικητικών ή κανονιστικών πόρων που χρησιμοποιούνται για την υλοποίηση μιας παρέμβασης·</w:t>
      </w:r>
    </w:p>
    <w:p w14:paraId="13E61269" w14:textId="77777777" w:rsidR="00C86E08" w:rsidRPr="0063529D" w:rsidRDefault="00C86E08" w:rsidP="008B491F">
      <w:pPr>
        <w:pStyle w:val="NormalHanging12a"/>
        <w:ind w:left="567" w:hanging="567"/>
      </w:pPr>
      <w:r w:rsidRPr="0063529D">
        <w:t>Ε.</w:t>
      </w:r>
      <w:r w:rsidRPr="0063529D">
        <w:tab/>
        <w:t>λαμβάνοντας υπόψη ότι η διασφάλιση της βιώσιμης ευημερίας και ανταγωνιστικότητας της ΕΕ, η προώθηση της κοινωνικής δικαιοσύνης και η ενίσχυση της περιφερειακής συνοχής αποτελούν μέρος των πολιτικών προτεραιοτήτων της Επιτροπής για την περίοδο 2024-2029· λαμβάνοντας υπόψη ότι είναι αναγκαίο να προσελκυστούν και να κινητοποιηθούν ιδιωτικές επενδύσεις για την αποτελεσματική επίτευξη αυτών των στόχων, και ότι η ολοκλήρωση της τραπεζικής ένωσης και η ανάπτυξη της ένωσης αποταμιεύσεων και επενδύσεων θα είναι ουσιαστικής σημασίας για τον σκοπό αυτό·</w:t>
      </w:r>
    </w:p>
    <w:p w14:paraId="7C5D1378" w14:textId="77777777" w:rsidR="00C86E08" w:rsidRPr="0063529D" w:rsidRDefault="00C86E08" w:rsidP="008B491F">
      <w:pPr>
        <w:pStyle w:val="NormalHanging"/>
        <w:ind w:left="567" w:hanging="567"/>
      </w:pPr>
      <w:r w:rsidRPr="0063529D">
        <w:t>ΣΤ.</w:t>
      </w:r>
      <w:r w:rsidRPr="0063529D">
        <w:tab/>
        <w:t xml:space="preserve">λαμβάνοντας υπόψη ότι η έκθεση </w:t>
      </w:r>
      <w:proofErr w:type="spellStart"/>
      <w:r w:rsidRPr="0063529D">
        <w:t>Draghi</w:t>
      </w:r>
      <w:proofErr w:type="spellEnd"/>
      <w:r w:rsidRPr="0063529D">
        <w:t xml:space="preserve"> έχει προειδοποιήσει ότι η φθίνουσα ανταγωνιστικότητα της ΕΕ, η οποία επιδεινώνεται από το ολοένα και πιο ασταθές γεωπολιτικό περιβάλλον, σε συνδυασμό με τις διαδοχικές κρίσεις που έχει αντιμετωπίσει τα τελευταία χρόνια, συνιστά υπαρξιακή απειλή για την Ένωση· λαμβάνοντας υπόψη ότι η έκθεση εκτιμά ότι η ΕΕ πρέπει να κινητοποιήσει πρόσθετες δημόσιες και ιδιωτικές επενδύσεις που ισοδυναμούν με το 4,4-4,7 % του ΑΕΠ της ΕΕ —περίπου 750-800 δισεκατομμύρια EUR ετησίως μεταξύ 2025 και 2030— για να γεφυρωθεί το επενδυτικό χάσμα·</w:t>
      </w:r>
    </w:p>
    <w:p w14:paraId="19C0CDD2" w14:textId="77777777" w:rsidR="00C86E08" w:rsidRPr="0063529D" w:rsidRDefault="00C86E08" w:rsidP="008B491F">
      <w:pPr>
        <w:pStyle w:val="NormalHanging"/>
        <w:ind w:left="567" w:hanging="567"/>
      </w:pPr>
      <w:r w:rsidRPr="0063529D">
        <w:t>Ζ.</w:t>
      </w:r>
      <w:r w:rsidRPr="0063529D">
        <w:tab/>
        <w:t xml:space="preserve">λαμβάνοντας υπόψη ότι η Πυξίδα Ανταγωνιστικότητας, η οποία βασίζεται και στην έκθεση </w:t>
      </w:r>
      <w:proofErr w:type="spellStart"/>
      <w:r w:rsidRPr="0063529D">
        <w:t>Draghi</w:t>
      </w:r>
      <w:proofErr w:type="spellEnd"/>
      <w:r w:rsidRPr="0063529D">
        <w:t>, καθορίζει τη στρατηγική πορεία της ΕΕ για την αποκατάσταση της ανταγωνιστικότητάς της σε παγκόσμιο επίπεδο, εστιάζοντας σε τρεις κεντρικούς πυλώνες —την καινοτομία, την απαλλαγή από τις ανθρακούχες εκπομπές και την οικονομική ασφάλεια— που συμπληρώνονται από οριζόντιους παράγοντες διευκόλυνσης, όπως η απλούστευση, ο αυξημένος συντονισμός σε επίπεδο ΕΕ και κρατών μελών και μια ενισχυμένη ενιαία αγορά, κατ’ ευθυγράμμιση με την έκθεση Letta·</w:t>
      </w:r>
    </w:p>
    <w:p w14:paraId="14A4A212" w14:textId="77777777" w:rsidR="00C86E08" w:rsidRPr="0063529D" w:rsidRDefault="00C86E08" w:rsidP="008B491F">
      <w:pPr>
        <w:pStyle w:val="NormalHanging12a"/>
        <w:ind w:left="567" w:hanging="567"/>
      </w:pPr>
      <w:r w:rsidRPr="0063529D">
        <w:t>Η.</w:t>
      </w:r>
      <w:r w:rsidRPr="0063529D">
        <w:tab/>
        <w:t xml:space="preserve">λαμβάνοντας υπόψη ότι το Ελεγκτικό Συνέδριο έχει επανειλημμένα εντοπίσει αδυναμίες στον σχεδιασμό, την εφαρμογή και τη λογοδοσία των συστημάτων μέτρησης των επιδόσεων που χρησιμοποιούνται για τα χρηματοδοτικά προγράμματα της ΕΕ και έχει ζητήσει αυξημένη χρήση δεικτών επιδόσεων που μετρούν και παρακολουθούν διαρκέστερες επιπτώσεις των δαπανών της ΕΕ· λαμβάνοντας υπόψη ότι η διασφάλιση της αξιοπιστίας των πληροφοριών σχετικά με τις επιδόσεις είναι απαραίτητη για την </w:t>
      </w:r>
      <w:r w:rsidRPr="0063529D">
        <w:lastRenderedPageBreak/>
        <w:t>προστασία των οικονομικών συμφερόντων της ΕΕ και για την ενίσχυση της εμπιστοσύνης του κοινού στον προϋπολογισμό της ΕΕ·</w:t>
      </w:r>
    </w:p>
    <w:p w14:paraId="0AEA4989" w14:textId="77777777" w:rsidR="00C86E08" w:rsidRPr="0063529D" w:rsidRDefault="00C86E08" w:rsidP="008B491F">
      <w:pPr>
        <w:pStyle w:val="NormalHanging12a"/>
        <w:ind w:left="567" w:hanging="567"/>
        <w:rPr>
          <w:bCs/>
          <w:iCs/>
        </w:rPr>
      </w:pPr>
      <w:r w:rsidRPr="0063529D">
        <w:t>Θ.</w:t>
      </w:r>
      <w:r w:rsidRPr="0063529D">
        <w:tab/>
        <w:t>λαμβάνοντας υπόψη ότι απαιτούνται αποφασιστικά μέτρα για την αύξηση της ανταγωνιστικότητας της Ευρώπης, ώστε να υποστηριχθούν υψηλότερα επίπεδα παραγωγικότητας, απασχόλησης και ευημερίας· λαμβάνοντας υπόψη ότι η ολοκληρωμένη ενιαία αγορά παραμένει η ραχοκοκαλιά της οικονομικής ισχύος της ΕΕ και το θεμέλιο της μακροπρόθεσμης ευημερίας της· λαμβάνοντας υπόψη ότι η καινοτομία, η ανάπτυξη δεξιοτήτων και η ελεύθερη κυκλοφορία αγαθών, υπηρεσιών, κεφαλαίων και εργασίας αποτελούν βασικούς παράγοντες ανταγωνιστικότητας και ανάπτυξης·</w:t>
      </w:r>
    </w:p>
    <w:p w14:paraId="5913BAB3" w14:textId="77777777" w:rsidR="00C86E08" w:rsidRPr="0063529D" w:rsidRDefault="00C86E08" w:rsidP="003B5A5B">
      <w:pPr>
        <w:pStyle w:val="StyleBoldItalicAfter12pt"/>
        <w:widowControl/>
      </w:pPr>
      <w:r w:rsidRPr="0063529D">
        <w:t>Γενικές παρατηρήσεις σχετικά με το πλαίσιο επιδόσεων για τον προϋπολογισμό της ΕΕ και τη χρήση δεικτών επιδόσεων</w:t>
      </w:r>
    </w:p>
    <w:p w14:paraId="64EE4C20" w14:textId="1BB7B4B6" w:rsidR="00C86E08" w:rsidRPr="0063529D" w:rsidRDefault="0063529D" w:rsidP="0063529D">
      <w:pPr>
        <w:pStyle w:val="NormalHanging12a"/>
        <w:ind w:left="570" w:hanging="570"/>
      </w:pPr>
      <w:r w:rsidRPr="0063529D">
        <w:t>1.</w:t>
      </w:r>
      <w:r w:rsidRPr="0063529D">
        <w:tab/>
      </w:r>
      <w:r w:rsidR="00C86E08" w:rsidRPr="0063529D">
        <w:t>υπενθυμίζει την ανάγκη να διασφαλιστεί ότι ο προϋπολογισμός της ΕΕ υλοποιεί τις προτεραιότητες πολιτικής της ΕΕ, συμπεριλαμβανομένων της τόνωσης της ανταγωνιστικότητας, της προώθησης της βιώσιμης ευημερίας χωρίς αποκλεισμούς και της διασφάλισης της κυριαρχίας και της ανεξαρτησίας της ΕΕ ως γεωπολιτικού παράγοντα· τονίζει ότι οι κανονιστικές αλλαγές είναι εξίσου σημαντικές με τα μέτρα χρηματοδότησης για την επίτευξη αυτών των στόχων· υπογραμμίζει ότι οι δαπάνες της ΕΕ θα πρέπει να επιτυγχάνουν απτά αποτελέσματα σύμφωνα με τις αρχές της χρηστής δημοσιονομικής διαχείρισης και θα πρέπει να επενδύονται σε τομείς στους οποίους η κοινή δράση της ΕΕ έχει μεγαλύτερο αντίκτυπο και προστιθέμενη αξία από ό,τι η δράση πολιτικής σε εθνικό ή υποεθνικό επίπεδο·</w:t>
      </w:r>
    </w:p>
    <w:p w14:paraId="24EB656E" w14:textId="2D1863C1" w:rsidR="00C86E08" w:rsidRPr="0063529D" w:rsidRDefault="0063529D" w:rsidP="0063529D">
      <w:pPr>
        <w:pStyle w:val="NormalHanging12a"/>
        <w:ind w:left="570" w:hanging="570"/>
      </w:pPr>
      <w:r w:rsidRPr="0063529D">
        <w:t>2.</w:t>
      </w:r>
      <w:r w:rsidRPr="0063529D">
        <w:tab/>
      </w:r>
      <w:r w:rsidR="00C86E08" w:rsidRPr="0063529D">
        <w:t xml:space="preserve">τονίζει ότι τα μέτρα για την ενίσχυση της ανταγωνιστικότητας </w:t>
      </w:r>
      <w:r w:rsidR="003B5A5B" w:rsidRPr="0063529D">
        <w:t>μπορούν να συμβάλλουν σε ευρύτερα κοινωνικά οφέλη, υπό την προϋπόθεση ότι τα μέτρα αυτά θα εξακολουθήσουν να εστιάζονται στην παραγωγικότητα, την ανάπτυξη και τη δημιουργία θέσεων εργασίας</w:t>
      </w:r>
      <w:r w:rsidR="00C86E08" w:rsidRPr="0063529D">
        <w:t xml:space="preserve">· επιμένει ότι οποιοδήποτε γενικό πλαίσιο επιδόσεων για τον προϋπολογισμό της ΕΕ θα πρέπει </w:t>
      </w:r>
      <w:r w:rsidR="003B5A5B" w:rsidRPr="0063529D">
        <w:t>πρωτίστως να παρέχει οικονομικά αποτελέσματα και μετρήσιμα αποτελέσματα πολιτικής, λαμβάνοντας παράλληλα υπόψη, όπου είναι σκόπιμο, ευρύτερες κοινωνικές επιπτώσεις, χωρίς να υπονομεύονται οι αρχές της αποδοτικότητας και της αποτελεσματικότητας</w:t>
      </w:r>
      <w:r w:rsidR="00C86E08" w:rsidRPr="0063529D">
        <w:t>·</w:t>
      </w:r>
    </w:p>
    <w:p w14:paraId="759F05D3" w14:textId="2C9A0E03" w:rsidR="00C86E08" w:rsidRPr="0063529D" w:rsidRDefault="0063529D" w:rsidP="0063529D">
      <w:pPr>
        <w:pStyle w:val="NormalHanging12a"/>
        <w:ind w:left="570" w:hanging="570"/>
      </w:pPr>
      <w:r w:rsidRPr="0063529D">
        <w:t>3.</w:t>
      </w:r>
      <w:r w:rsidRPr="0063529D">
        <w:tab/>
      </w:r>
      <w:r w:rsidR="00C86E08" w:rsidRPr="0063529D">
        <w:t>θεωρεί επιτακτική την ανάγκη να επικεντρωθεί ο προϋπολογισμός της ΕΕ περισσότερο στα αποτελέσματα και κάθε ευρώ που δαπανάται να αποφέρει μετρήσιμη αξία για τους πολίτες και τις επιχειρήσεις· επιβεβαιώνει την ανάγκη καθορισμού και χρήσης δεικτών επιδόσεων που είναι συγκεκριμένοι, μετρήσιμοι, εφικτοί, συναφείς και χρονικά προσδιορισμένοι (SMART), διασφαλίζοντας ότι οι πόροι της ΕΕ δαπανώνται αποδοτικά και αποτελεσματικά και βιώσιμα, προκειμένου να παρακολουθείται και να αξιολογείται η πρόοδος προς την επίτευξη των στόχων πολιτικής της ΕΕ· θεωρεί ότι όλοι οι τύποι δεικτών είναι απαραίτητοι για την αξιολόγηση των επιδόσεων των προγραμμάτων και, ως εκ τούτου, θα πρέπει να επιδιωχθεί ισορροπία μεταξύ των δεικτών εισροών, εκροών, αποτελεσμάτων και αντικτύπου· υπογραμμίζει ότι οι δείκτες επιδόσεων πρέπει να προκύπτουν ρητά από τους στόχους κάθε προγράμματος· τονίζει ότι ο σχετικός διοικητικός φόρτος, το κόστος συλλογής δεδομένων, καθώς και η συγκρισιμότητα και η δυνατότητα συγκέντρωσης θα πρέπει επίσης να λαμβάνονται υπόψη κατά την επιλογή των κατάλληλων δεικτών·</w:t>
      </w:r>
    </w:p>
    <w:p w14:paraId="70AF59D3" w14:textId="4C81DA21" w:rsidR="00C86E08" w:rsidRPr="0063529D" w:rsidRDefault="0063529D" w:rsidP="0063529D">
      <w:pPr>
        <w:pStyle w:val="NormalHanging12a"/>
        <w:ind w:left="570" w:hanging="570"/>
      </w:pPr>
      <w:r w:rsidRPr="0063529D">
        <w:lastRenderedPageBreak/>
        <w:t>4.</w:t>
      </w:r>
      <w:r w:rsidRPr="0063529D">
        <w:tab/>
      </w:r>
      <w:r w:rsidR="00C86E08" w:rsidRPr="0063529D">
        <w:t>σημειώνει με ανησυχία ότι το Ελεγκτικό Συνέδριο, στους ελέγχους του, έχει επανειλημμένα διαπιστώσει ότι οι περισσότεροι δείκτες επιδόσεων που χρησιμοποιούνται για τα χρηματοδοτικά προγράμματα της ΕΕ είναι δείκτες εισροών και εκροών, οι οποίοι δεν προσφέρουν συναφείς πληροφορίες για την πρόοδο όσον αφορά την επίτευξη των στόχων των δράσεων που χρηματοδοτεί η ΕΕ· εκφράζει, επιπλέον, τη λύπη του για το γεγονός ότι σε πολλές περιπτώσεις διαπιστώθηκε ότι έλειπαν δεδομένα βάσης για τους δείκτες και ότι τα υποκείμενα δεδομένα που χρησιμοποιήθηκαν για τους δείκτες δεν ήταν ούτε ανιχνεύσιμα ούτε αξιόπιστα· εκφράζει την ανησυχία του για το γεγονός ότι οι ορισμοί των δεικτών επιδόσεων διαφέρουν μεταξύ των χρηματοδοτικών προγραμμάτων· καλεί την Επιτροπή και τα κράτη μέλη να διασφαλίσουν ότι οι δείκτες που χρησιμοποιούνται για έργα που χρηματοδοτεί η ΕΕ είναι μετρήσιμοι, επαληθεύσιμοι και βασίζονται σε αξιόπιστες πηγές δεδομένων που διασφαλίζουν την ιχνηλασιμότητα των υποκείμενων δεδομένων σε επίπεδο σύμβασης και δικαιούχου, με σαφείς τιμές βάσης και ορισμούς, ώστε να αποφεύγονται αποκλίνουσες ερμηνείες·</w:t>
      </w:r>
    </w:p>
    <w:p w14:paraId="1215DC55" w14:textId="39820836" w:rsidR="00C86E08" w:rsidRPr="0063529D" w:rsidRDefault="0063529D" w:rsidP="0063529D">
      <w:pPr>
        <w:pStyle w:val="NormalHanging12a"/>
        <w:ind w:left="570" w:hanging="570"/>
      </w:pPr>
      <w:r w:rsidRPr="0063529D">
        <w:t>5.</w:t>
      </w:r>
      <w:r w:rsidRPr="0063529D">
        <w:tab/>
      </w:r>
      <w:r w:rsidR="00C86E08" w:rsidRPr="0063529D">
        <w:t>εκφράζει τη λύπη του για το γεγονός ότι το πλαίσιο επιδόσεων για τον προϋπολογισμό της ΕΕ για την περίοδο 2021-2027 παραμένει υπερβολικά περίπλοκο και κατακερματισμένο· σημειώνει με λύπη την εκτίμηση της Επιτροπής</w:t>
      </w:r>
      <w:r w:rsidR="00C86E08" w:rsidRPr="0063529D">
        <w:rPr>
          <w:rStyle w:val="FootnoteReference"/>
        </w:rPr>
        <w:footnoteReference w:id="8"/>
      </w:r>
      <w:r w:rsidR="00C86E08" w:rsidRPr="0063529D">
        <w:t xml:space="preserve"> ότι πάνω από 5</w:t>
      </w:r>
      <w:r w:rsidR="00041629" w:rsidRPr="0063529D">
        <w:t> </w:t>
      </w:r>
      <w:r w:rsidR="00C86E08" w:rsidRPr="0063529D">
        <w:t>000 ετερογενείς, μη συγκεντρωτικοί δείκτες επιδόσεων χρησιμοποιούνται στο πλαίσιο του πολυετούς δημοσιονομικού πλαισίου (ΠΔΠ) 2021-2027, γεγονός που καθιστά πιο δύσκολη τη συνολική αξιολόγηση της αποτελεσματικότητας των δαπανών της ΕΕ σε όλα τα χρηματοδοτικά μέσα, και ότι έχουν καθοριστεί περίπου 7</w:t>
      </w:r>
      <w:r w:rsidR="00041629" w:rsidRPr="0063529D">
        <w:t> </w:t>
      </w:r>
      <w:r w:rsidR="00C86E08" w:rsidRPr="0063529D">
        <w:t>000 ορόσημα και στόχοι στο πλαίσιο του Μηχανισμού Ανάκαμψης και Ανθεκτικότητας (ΜΑΑ) που καλύπτουν διαφορετικές ανάγκες, όπως η αξιολόγηση των επιδόσεων στο πλαίσιο του σχεδίου προϋπολογισμού και η παρακολούθηση και αξιολόγηση των προγραμμάτων, των σχεδίων των κρατών μελών και των εκταμιεύσεων πληρωμών·</w:t>
      </w:r>
    </w:p>
    <w:p w14:paraId="6BB252E9" w14:textId="13017213" w:rsidR="00C86E08" w:rsidRPr="0063529D" w:rsidRDefault="0063529D" w:rsidP="0063529D">
      <w:pPr>
        <w:pStyle w:val="NormalHanging12a"/>
        <w:ind w:left="570" w:hanging="570"/>
      </w:pPr>
      <w:r w:rsidRPr="0063529D">
        <w:t>6.</w:t>
      </w:r>
      <w:r w:rsidRPr="0063529D">
        <w:tab/>
      </w:r>
      <w:r w:rsidR="00C86E08" w:rsidRPr="0063529D">
        <w:t>τονίζει, ειδικότερα, ότι ο σχεδιασμός του ΜΑΑ δεν διασφαλίζει επαρκή ιχνηλασιμότητα, διαφάνεια και ελεγξιμότητα της χρήσης των κονδυλίων της ΕΕ ή τη συγκρισιμότητα των αποτελεσμάτων με αυτά άλλων μέσων δαπανών της ΕΕ· καλεί την Επιτροπή να θεσπίσει ένα πιο ολοκληρωμένο, εναρμονισμένο, διαφανές και επαληθεύσιμο πλαίσιο δεικτών επιδόσεων για τα μελλοντικά μέσα, διασφαλίζοντας ότι το Κοινοβούλιο και το ΕΕΣ μπορούν να ασκούν πλήρως τις εποπτικές τους αρμοδιότητες· καλεί την Επιτροπή να αναλύσει την εφαρμογή μέσων που βασίζονται στις επιδόσεις σε άλλα εθνικά και περιφερειακά πλαίσια, προσδιορίζοντας τα διδάγματα που αντλήθηκαν·</w:t>
      </w:r>
    </w:p>
    <w:p w14:paraId="3323B107" w14:textId="0B353365" w:rsidR="00C86E08" w:rsidRPr="0063529D" w:rsidRDefault="0063529D" w:rsidP="0063529D">
      <w:pPr>
        <w:pStyle w:val="NormalHanging12a"/>
        <w:ind w:left="570" w:hanging="570"/>
      </w:pPr>
      <w:r w:rsidRPr="0063529D">
        <w:t>7.</w:t>
      </w:r>
      <w:r w:rsidRPr="0063529D">
        <w:tab/>
      </w:r>
      <w:r w:rsidR="00C86E08" w:rsidRPr="0063529D">
        <w:t>σημειώνει την πρόταση της Επιτροπής να παρακολουθείται το ΠΔΠ 2028-2034, συμπεριλαμβανομένου του Ευρωπαϊκού Ταμείου Ανταγωνιστικότητας (ΕΤΑ), μέσω ενός τυποποιημένου συνόλου δεικτών επιδόσεων που θα ισχύουν για όλα τα προγράμματα του προϋπολογισμού της ΕΕ, όπως ορίζεται στην πρότασή της για κανονισμό για τις επιδόσεις</w:t>
      </w:r>
      <w:r w:rsidR="00C86E08" w:rsidRPr="0063529D">
        <w:rPr>
          <w:rStyle w:val="FootnoteReference"/>
        </w:rPr>
        <w:footnoteReference w:id="9"/>
      </w:r>
      <w:r w:rsidR="00C86E08" w:rsidRPr="0063529D">
        <w:t>· σημειώνει ότι έχει προταθεί απλουστευμένη εφαρμογή του πλαισίου επιδόσεων για τις δημοσιονομικές εγγυήσεις και τα χρηματοδοτικά μέσα στο πλαίσιο του ΕΤΑ·</w:t>
      </w:r>
    </w:p>
    <w:p w14:paraId="7B4B2119" w14:textId="636A9724" w:rsidR="00C86E08" w:rsidRPr="0063529D" w:rsidRDefault="0063529D" w:rsidP="0063529D">
      <w:pPr>
        <w:pStyle w:val="NormalHanging12a"/>
        <w:ind w:left="570" w:hanging="570"/>
      </w:pPr>
      <w:r w:rsidRPr="0063529D">
        <w:lastRenderedPageBreak/>
        <w:t>8.</w:t>
      </w:r>
      <w:r w:rsidRPr="0063529D">
        <w:tab/>
      </w:r>
      <w:r w:rsidR="00C86E08" w:rsidRPr="0063529D">
        <w:t>θεωρεί ότι το πλαίσιο επιδόσεων για τον προϋπολογισμό της ΕΕ θα πρέπει να απλοποιηθεί ώστε να διασφαλίζει μια εναρμονισμένη και ανάλογη προσέγγιση για τη μέτρηση των επιπτώσεων των δαπανών της ΕΕ σε όλα τα κράτη μέλη με ακρίβεια, να εξορθολογίζει τον συνολικό διοικητικό φόρτο και τις υποχρεώσεις υποβολής εκθέσεων, ειδικά για τις μικρές και μεσαίες επιχειρήσεις (ΜΜΕ) και τις τοπικές αρχές, και να αυξάνει τη διαφάνεια μέσω της μείωσης του υπερβολικού φόρτου πληροφόρησης, ενώ παράλληλα θα πρέπει να καταστεί δυνατή η πλήρης αξιοποίηση των αποτελεσμάτων της ενωσιακής χρηματοδότησης, συμπεριλαμβανομένης της προστιθέμενης αξίας των παρεμβάσεων της ΕΕ που δεν θα μπορούσαν να επιτευχθούν από τα κράτη μέλη μεμονωμένα· καλεί την Επιτροπή να εξορθολογίσει τους δείκτες, να απλουστεύσει τα υποδείγματα, να αποφύγει τις διπλές αιτήσεις δεδομένων και να εφαρμόσει την αρχή «μόνον άπαξ»·</w:t>
      </w:r>
    </w:p>
    <w:p w14:paraId="0C41A7D5" w14:textId="325E36D7" w:rsidR="00C86E08" w:rsidRPr="0063529D" w:rsidRDefault="0063529D" w:rsidP="0063529D">
      <w:pPr>
        <w:pStyle w:val="NormalHanging12a"/>
        <w:ind w:left="570" w:hanging="570"/>
      </w:pPr>
      <w:r w:rsidRPr="0063529D">
        <w:t>9.</w:t>
      </w:r>
      <w:r w:rsidRPr="0063529D">
        <w:tab/>
      </w:r>
      <w:r w:rsidR="00C86E08" w:rsidRPr="0063529D">
        <w:t>θεωρεί ότι ο αντίκτυπος μπορεί να εκτιμηθεί καλύτερα μέσω αξιολογήσεων· τονίζει ότι το ΕΤΑ και όλα τα μελλοντικά μέσα πρέπει να περιλαμβάνουν ενδιάμεσες αξιολογήσεις από την Επιτροπή· καλεί την Επιτροπή να διασφαλίσει ότι τα διορθωτικά μέτρα, συμπεριλαμβανομένων εκείνων που συνιστά το ΕΕΣ μετά τους ελέγχους του, θεσπίζονται χωρίς καθυστέρηση εάν τα αποτελέσματα υπολείπονται των στόχων·</w:t>
      </w:r>
    </w:p>
    <w:p w14:paraId="4DD051A6" w14:textId="4CC811C3" w:rsidR="00C86E08" w:rsidRPr="0063529D" w:rsidRDefault="0063529D" w:rsidP="0063529D">
      <w:pPr>
        <w:pStyle w:val="NormalHanging12a"/>
        <w:ind w:left="570" w:hanging="570"/>
      </w:pPr>
      <w:r w:rsidRPr="0063529D">
        <w:t>10.</w:t>
      </w:r>
      <w:r w:rsidRPr="0063529D">
        <w:tab/>
      </w:r>
      <w:r w:rsidR="00C86E08" w:rsidRPr="0063529D">
        <w:t>υπογραμμίζει ότι η απλούστευση δεν θα πρέπει να αποβεί εις βάρος της διαφάνειας, της λογοδοσίας και της ελεγξιμότητας, αλλά θα πρέπει να συμβάλει στον εξορθολογισμό της υποβολής εκθέσεων και να καταστήσει τις πληροφορίες σχετικά με τις επιδόσεις της χρηματοδότησης της ΕΕ πιο προσβάσιμες και χρήσιμες· υπογραμμίζει, επιπλέον, ότι η μείωση του αριθμού των δεικτών θα πρέπει να συνοδεύεται από ανάλυση κόστους-οφέλους και κινδύνου· τονίζει την ανάγκη για σαφέστερη σύνδεση μεταξύ των δαπανών και των μετρήσιμων αποτελεσμάτων πολιτικής·</w:t>
      </w:r>
    </w:p>
    <w:p w14:paraId="4BD91AC8" w14:textId="2565C876" w:rsidR="00C86E08" w:rsidRPr="0063529D" w:rsidRDefault="0063529D" w:rsidP="0063529D">
      <w:pPr>
        <w:pStyle w:val="NormalHanging12a"/>
        <w:ind w:left="570" w:hanging="570"/>
      </w:pPr>
      <w:r w:rsidRPr="0063529D">
        <w:t>11.</w:t>
      </w:r>
      <w:r w:rsidRPr="0063529D">
        <w:tab/>
      </w:r>
      <w:r w:rsidR="00C86E08" w:rsidRPr="0063529D">
        <w:t>υπενθυμίζει ότι οι προσεγγίσεις όσον αφορά τη συλλογή δεδομένων διαφέρουν μεταξύ των κρατών μελών, αλλά και εντός των κρατών μελών, γεγονός που δυσχεραίνει τη συγκέντρωση και τη σύγκριση δεδομένων για τις επιδόσεις σε επίπεδο ΕΕ· επαναλαμβάνει την έκκλησή του προς την Επιτροπή να αναπτύξει ασφαλείς και διαλειτουργικές υποδομές ΤΠ, αξιοποιώντας παράλληλα τις ικανότητες τεχνητής νοημοσύνης, μηχανικής μάθησης και εξόρυξης δεδομένων, για να βελτιωθεί η υλοποίηση πολιτικής και να διευκολυνθούν η παρακολούθηση, η υποβολή εκθέσεων και η εποπτεία· τονίζει ότι η χρήση της τεχνητής νοημοσύνης στην παρακολούθηση και την επεξεργασία δεδομένων πρέπει να συνοδεύεται από ισχυρή ανθρώπινη εποπτεία και να διέπεται από δεοντολογικές αρχές για την πρόληψη της κατάχρησης και των αλγοριθμικών διακρίσεων ή προκαταλήψεων και τη διασφάλιση της διαφάνειας και της λογοδοσίας, διασφαλίζοντας παράλληλα την προστασία των δεδομένων και τον πλήρη σεβασμό των θεμελιωδών δικαιωμάτων·</w:t>
      </w:r>
    </w:p>
    <w:p w14:paraId="62E53D73" w14:textId="320C8562" w:rsidR="00C86E08" w:rsidRPr="0063529D" w:rsidRDefault="0063529D" w:rsidP="0063529D">
      <w:pPr>
        <w:pStyle w:val="NormalHanging12a"/>
        <w:ind w:left="570" w:hanging="570"/>
      </w:pPr>
      <w:r w:rsidRPr="0063529D">
        <w:t>12.</w:t>
      </w:r>
      <w:r w:rsidRPr="0063529D">
        <w:tab/>
      </w:r>
      <w:r w:rsidR="00C86E08" w:rsidRPr="0063529D">
        <w:t xml:space="preserve">επιμένει ότι τα δεδομένα και οι μεθοδολογίες που αφορούν τους δείκτες πρέπει να δημοσιοποιούνται σε πραγματικό χρόνο μέσω ενός διαλειτουργικού συστήματος παρακολούθησης, υποβολής εκθέσεων και ελέγχου, αυξάνοντας έτσι τη διαφάνεια και διασφαλίζοντας την ιχνηλασιμότητα έως το επίπεδο των έργων και των τελικών δικαιούχων· υπενθυμίζει ότι είναι σημαντικό να υπάρχει «διαφάνεια των τελικών δικαιούχων» για τα κονδύλια της ΕΕ· τονίζει ότι η χρηματοδότηση της ΕΕ, συμπεριλαμβανομένης εκείνης που τελεί υπό έμμεση διαχείριση, πρέπει να είναι διαφανής, και πρέπει να καθιστά δυνατό τον αποτελεσματικό έλεγχο και την πρόληψη της διπλής χρηματοδότησης· επιμένει επίσης ότι τα δεδομένα αυτά θα πρέπει να περιλαμβάνουν αναλυτικές πληροφορίες σχετικά με </w:t>
      </w:r>
      <w:r w:rsidR="003B5A5B" w:rsidRPr="0063529D">
        <w:t>τα χρηματοδοτούμενα έργα</w:t>
      </w:r>
      <w:r w:rsidR="00C86E08" w:rsidRPr="0063529D">
        <w:t>·</w:t>
      </w:r>
    </w:p>
    <w:p w14:paraId="0F7359F8" w14:textId="117AE0BE" w:rsidR="00C86E08" w:rsidRPr="0063529D" w:rsidRDefault="0063529D" w:rsidP="0063529D">
      <w:pPr>
        <w:pStyle w:val="NormalHanging12a"/>
        <w:ind w:left="570" w:hanging="570"/>
      </w:pPr>
      <w:r w:rsidRPr="0063529D">
        <w:lastRenderedPageBreak/>
        <w:t>13.</w:t>
      </w:r>
      <w:r w:rsidRPr="0063529D">
        <w:tab/>
      </w:r>
      <w:r w:rsidR="00C86E08" w:rsidRPr="0063529D">
        <w:t>καλεί την Επιτροπή να ενισχύσει την υποβολή εκθέσεων σχετικά με τις επιδόσεις ενσωματώνοντας τις χρηματοοικονομικές πληροφορίες και τις πληροφορίες σχετικά με τις επιδόσεις που σχετίζονται με τα κονδύλια της ΕΕ και να δημοσιεύει σαφείς, φιλικές προς τον χρήστη περιλήψεις επιδόσεων και δαπανών, συμπεριλαμβανομένων μονοσέλιδων επισκοπήσεων και διαδραστικών πινάκων με μηχαναγνώσιμα σύνολα δεδομένων, σύμφωνα με τις συστάσεις του ΟΟΣΑ</w:t>
      </w:r>
      <w:r w:rsidR="00C86E08" w:rsidRPr="0063529D">
        <w:rPr>
          <w:rStyle w:val="FootnoteReference"/>
        </w:rPr>
        <w:footnoteReference w:id="10"/>
      </w:r>
      <w:r w:rsidR="00C86E08" w:rsidRPr="0063529D">
        <w:t>·</w:t>
      </w:r>
    </w:p>
    <w:p w14:paraId="574F35DE" w14:textId="61B2552F" w:rsidR="00C86E08" w:rsidRPr="0063529D" w:rsidRDefault="0063529D" w:rsidP="0063529D">
      <w:pPr>
        <w:pStyle w:val="NormalHanging12a"/>
        <w:ind w:left="570" w:hanging="570"/>
      </w:pPr>
      <w:r w:rsidRPr="0063529D">
        <w:t>14.</w:t>
      </w:r>
      <w:r w:rsidRPr="0063529D">
        <w:tab/>
      </w:r>
      <w:r w:rsidR="00C86E08" w:rsidRPr="0063529D">
        <w:t>θεωρεί απαραίτητη την επαλήθευση και τη διασφάλιση της αξιοπιστίας των δεδομένων που χρησιμοποιούνται για τον καθορισμό των δεικτών επιδόσεων· σημειώνει με ανησυχία ότι, λόγω της εισαγωγής και της αυξανόμενης χρήσης μοντέλων υλοποίησης, όπως ο ΜΑΑ, τα οποία βασίζονται σε χρηματοδότηση που δεν συνδέεται με δαπάνες —όταν οι εκταμιεύσεις πραγματοποιούνται με βάση την επίτευξη οροσήμων και στόχων που έχουν καθοριστεί προηγουμένως— οι αδυναμίες στην αξιοπιστία των δεδομένων καθιστούν δυσκολότερη την προάσπιση των οικονομικών συμφερόντων της ΕΕ· επιμένει, ως εκ τούτου, στους υποχρεωτικούς εκ των προτέρων ελέγχους σκοπιμότητας και στην εκ των υστέρων επαλήθευση των οροσήμων και των στόχων, στη συστηματική παραπομπή εικαζόμενων περιπτώσεων απάτης ή σοβαρών παρατυπιών στην Ευρωπαϊκή Υπηρεσία Καταπολέμησης της Απάτης και την Ευρωπαϊκή Εισαγγελία και στη δυνατότητα αναστολής των πληρωμών·</w:t>
      </w:r>
    </w:p>
    <w:p w14:paraId="14D25706" w14:textId="0DB4872C" w:rsidR="00C86E08" w:rsidRPr="0063529D" w:rsidRDefault="0063529D" w:rsidP="0063529D">
      <w:pPr>
        <w:pStyle w:val="NormalHanging12a"/>
        <w:ind w:left="570" w:hanging="570"/>
      </w:pPr>
      <w:r w:rsidRPr="0063529D">
        <w:t>15.</w:t>
      </w:r>
      <w:r w:rsidRPr="0063529D">
        <w:tab/>
      </w:r>
      <w:r w:rsidR="00C86E08" w:rsidRPr="0063529D">
        <w:t>καλεί την Επιτροπή να συμπεριλάβει στις εκθέσεις επιδόσεων ουσιαστικές πληροφορίες σχετικά με τα μέτρα διασφάλισης της ποιότητας που χρησιμοποιείται για τους δείκτες επιδόσεων· υπογραμμίζει ότι η τακτική και διαφανής επανεξέταση της συνάφειας και της αξιοπιστίας των δεικτών είναι απαραίτητη για τη διασφάλιση της αξιοπιστίας και της εμπιστοσύνης του κοινού στις δαπάνες της ΕΕ· ζητεί να υπόκεινται σε ανεξάρτητη επαλήθευση τα δεδομένα επιδόσεων που διαβιβάζουν τα κράτη μέλη, μεταξύ άλλων από τα εθνικά ελεγκτικά όργανα και το Ελεγκτικό Συνέδριο, και να κοινοποιούνται τα αποτελέσματα στο Κοινοβούλιο· ζητεί επίσης οι εκθέσεις επαλήθευσης και τα σύνολα δεδομένων να τίθενται στη διάθεση των αρμόδιων εποπτικών αρχών σε προσβάσιμο, συγκρίσιμο και επαληθεύσιμο μορφότυπο, διασφαλίζοντας έτσι ότι οι πολίτες έχουν πρόσβαση στο αποτέλεσμα του ελέγχου της χρήσης των κονδυλίων της ΕΕ, διασφαλίζοντας παράλληλα την τήρηση των κανόνων προστασίας των δεδομένων και εμπιστευτικότητας·</w:t>
      </w:r>
    </w:p>
    <w:p w14:paraId="64613EB2" w14:textId="3100FB46" w:rsidR="00C86E08" w:rsidRPr="0063529D" w:rsidRDefault="0063529D" w:rsidP="0063529D">
      <w:pPr>
        <w:pStyle w:val="NormalHanging12a"/>
        <w:ind w:left="570" w:hanging="570"/>
      </w:pPr>
      <w:r w:rsidRPr="0063529D">
        <w:t>16.</w:t>
      </w:r>
      <w:r w:rsidRPr="0063529D">
        <w:tab/>
      </w:r>
      <w:r w:rsidR="00C86E08" w:rsidRPr="0063529D">
        <w:t>τονίζει ότι η αποτελεσματική διαχείριση των επιδόσεων προϋποθέτει τον σεβασμό του κράτους δικαίου και την προστασία των οικονομικών συμφερόντων της ΕΕ· υπενθυμίζει ότι, όταν εξακολουθούν να υπάρχουν σοβαρές ελλείψεις στα συστήματα ελέγχου, οι πληρωμές πρέπει να αναστέλλονται και να εφαρμόζονται δημοσιονομικές διορθώσεις·</w:t>
      </w:r>
    </w:p>
    <w:p w14:paraId="01AF1161" w14:textId="7B8ED151" w:rsidR="00C86E08" w:rsidRPr="0063529D" w:rsidRDefault="0063529D" w:rsidP="0063529D">
      <w:pPr>
        <w:widowControl/>
        <w:spacing w:after="240"/>
        <w:ind w:left="570" w:hanging="570"/>
        <w:rPr>
          <w:bCs/>
          <w:iCs/>
        </w:rPr>
      </w:pPr>
      <w:r w:rsidRPr="0063529D">
        <w:rPr>
          <w:bCs/>
          <w:iCs/>
        </w:rPr>
        <w:t>17.</w:t>
      </w:r>
      <w:r w:rsidRPr="0063529D">
        <w:rPr>
          <w:bCs/>
          <w:iCs/>
        </w:rPr>
        <w:tab/>
      </w:r>
      <w:r w:rsidR="00C86E08" w:rsidRPr="0063529D">
        <w:t xml:space="preserve">θεωρεί ότι το κράτος δικαίου αποτελεί απαραίτητη προϋπόθεση για την ενίσχυση της ανταγωνιστικότητας της ΕΕ· υπογραμμίζει ότι οι προκλήσεις για το κράτος δικαίου επηρεάζουν αρνητικά την εμπιστοσύνη των επενδυτών και των καταναλωτών και την ακεραιότητα της ενιαίας αγοράς, όπως επισημαίνεται στην έκθεση της Επιτροπής του 2025 για το κράτος δικαίου· θεωρεί, ως εκ τούτου, ότι το πλαίσιο επιδόσεων για τον προϋπολογισμό της ΕΕ θα πρέπει επίσης να περιλαμβάνει δείκτες που σχετίζονται με το </w:t>
      </w:r>
      <w:r w:rsidR="00C86E08" w:rsidRPr="0063529D">
        <w:lastRenderedPageBreak/>
        <w:t>κράτος δικαίου, όπως η λειτουργία του δικαστικού συστήματος, η καταπολέμηση της διαφθοράς και οι αποτελεσματικοί έλεγχοι και ισορροπίες, τα οποία συμβάλλουν στην ασφάλεια δικαίου και σε ένα προβλέψιμο περιβάλλον για τη λειτουργία των επιχειρήσεων·</w:t>
      </w:r>
    </w:p>
    <w:p w14:paraId="343A5A21" w14:textId="77777777" w:rsidR="00C86E08" w:rsidRPr="0063529D" w:rsidRDefault="00C86E08" w:rsidP="008B491F">
      <w:pPr>
        <w:pStyle w:val="StyleBoldItalicAfter12pt"/>
        <w:widowControl/>
        <w:ind w:left="567" w:hanging="567"/>
      </w:pPr>
      <w:r w:rsidRPr="0063529D">
        <w:t>Δείκτες επιδόσεων σχετικά με την ενίσχυση της ανταγωνιστικότητας της ΕΕ</w:t>
      </w:r>
    </w:p>
    <w:p w14:paraId="3DA07E0E" w14:textId="2D181CD3" w:rsidR="00C86E08" w:rsidRPr="0063529D" w:rsidRDefault="0063529D" w:rsidP="0063529D">
      <w:pPr>
        <w:pStyle w:val="NormalHanging12a"/>
        <w:ind w:left="570" w:hanging="570"/>
      </w:pPr>
      <w:r w:rsidRPr="0063529D">
        <w:t>18.</w:t>
      </w:r>
      <w:r w:rsidRPr="0063529D">
        <w:tab/>
      </w:r>
      <w:r w:rsidR="00C86E08" w:rsidRPr="0063529D">
        <w:t xml:space="preserve">υπενθυμίζει ότι η έκθεση </w:t>
      </w:r>
      <w:proofErr w:type="spellStart"/>
      <w:r w:rsidR="00C86E08" w:rsidRPr="0063529D">
        <w:t>Draghi</w:t>
      </w:r>
      <w:proofErr w:type="spellEnd"/>
      <w:r w:rsidR="00C86E08" w:rsidRPr="0063529D">
        <w:t xml:space="preserve"> παροτρύνει την ΕΕ να επιδιώξει ριζικές μεταρρυθμίσεις για την τόνωση της ανταγωνιστικότητας, εστιάζοντας στην καινοτομία, την απαλλαγή από τις ανθρακούχες εκπομπές και την άμυνα, ζητεί δε μαζικές επενδύσεις σε στρατηγικούς τομείς, όπως η πράσινη ενέργεια, οι ψηφιακές υποδομές και η προηγμένη μεταποίηση, οι οποίες θα υποστηρίζονται από κανονιστική απλούστευση και εντατικότερο συντονισμό σε επίπεδο ΕΕ· θεωρεί, στο πλαίσιο αυτό, ότι ένα άρτιο πλαίσιο επιδόσεων και ένα σύστημα δεικτών είναι απαραίτητα για την παρακολούθηση της προόδου και τη μέτρηση του αντικτύπου στην ανταγωνιστικότητα, την οικονομική ισχύ, τη βιωσιμότητα και την ανθεκτικότητα της ΕΕ, συνδέοντας παράλληλα τις επιδόσεις άμεσα με τις αρχές της οικονομίας, της αποδοτικότητας και της αποτελεσματικότητας·</w:t>
      </w:r>
    </w:p>
    <w:p w14:paraId="5110B64D" w14:textId="26552FD1" w:rsidR="00C86E08" w:rsidRPr="0063529D" w:rsidRDefault="0063529D" w:rsidP="0063529D">
      <w:pPr>
        <w:pStyle w:val="NormalHanging12a"/>
        <w:ind w:left="570" w:hanging="570"/>
      </w:pPr>
      <w:r w:rsidRPr="0063529D">
        <w:t>19.</w:t>
      </w:r>
      <w:r w:rsidRPr="0063529D">
        <w:tab/>
      </w:r>
      <w:r w:rsidR="00C86E08" w:rsidRPr="0063529D">
        <w:t>τονίζει ότι οι δαπάνες που προσανατολίζονται στην ανταγωνιστικότητα θα πρέπει να δίνουν προτεραιότητα στην αποδοτικότητα και τη μακροπρόθεσμη αύξηση της παραγωγικότητας και όχι στη βραχυπρόθεσμη αναδιανομή· υπογραμμίζει ότι θα πρέπει να διατεθούν πόροι της ΕΕ για τη διόρθωση των ανεπαρκειών της αγοράς, την κινητοποίηση ιδιωτικών επενδύσεων και τη στήριξη έργων με μετρήσιμο οικονομικό αντίκτυπο και σαφή προστιθέμενη αξία·</w:t>
      </w:r>
    </w:p>
    <w:p w14:paraId="092E924D" w14:textId="1CD15922" w:rsidR="00C86E08" w:rsidRPr="0063529D" w:rsidRDefault="0063529D" w:rsidP="0063529D">
      <w:pPr>
        <w:pStyle w:val="NormalHanging12a"/>
        <w:ind w:left="570" w:hanging="570"/>
      </w:pPr>
      <w:r w:rsidRPr="0063529D">
        <w:t>20.</w:t>
      </w:r>
      <w:r w:rsidRPr="0063529D">
        <w:tab/>
      </w:r>
      <w:r w:rsidR="00C86E08" w:rsidRPr="0063529D">
        <w:t xml:space="preserve">υπογραμμίζει ότι η εφαρμογή των συστάσεων της έκθεσης </w:t>
      </w:r>
      <w:proofErr w:type="spellStart"/>
      <w:r w:rsidR="00C86E08" w:rsidRPr="0063529D">
        <w:t>Draghi</w:t>
      </w:r>
      <w:proofErr w:type="spellEnd"/>
      <w:r w:rsidR="00C86E08" w:rsidRPr="0063529D">
        <w:t xml:space="preserve"> θα πρέπει να παρακολουθείται με συναφείς, ισχυρούς και διαφανείς δείκτες επιδόσεων που αποτυπώνουν την πρόοδο της ΕΕ όσον αφορά την ενίσχυση της ανταγωνιστικότητάς της και της οικονομικής της ανάπτυξης μέσω της καινοτομίας, της τεχνολογικής υπεροχής και της βιομηχανικής ανθεκτικότητας, ενώ διασφαλίζουν την κοινωνική δικαιοσύνη· τονίζει ότι οι δείκτες πρέπει να σχεδιάζονται προσεκτικά και να αποτυπώνουν όχι μόνο τις εκροές (π.χ. τον αριθμό των χρηματοδοτούμενων έργων) αλλά και τα αποτελέσματα και τον αντίκτυπο (π.χ. αύξηση της παραγωγικότητας, μείωση των εκπομπών, δημιουργία βιώσιμων και ασφαλών θέσεων εργασίας, βελτιώσεις στην κοινωνική και εδαφική συνοχή, αλλαγές στο εμπορικό ισοζύγιο, αύξηση της διαφοροποίησης των εξαγωγών, αποτέλεσμα μόχλευσης των προγραμμάτων της ΕΕ, ιδίως όσον αφορά την κινητοποίηση ιδιωτικών επενδύσεων, και ενίσχυση της στρατηγικής αυτονομίας), προκειμένου να μετρώνται η αποδοτικότητα και η αποτελεσματικότητα των δαπανών της ΕΕ· υπενθυμίζει ότι οι μεταρρυθμίσεις αποτελούν αναπόσπαστο μέρος της επίτευξης των στόχων ανταγωνιστικότητας και πρέπει να αντικατοπτρίζονται στα πλαίσια μέτρησης των επιδόσεων·</w:t>
      </w:r>
    </w:p>
    <w:p w14:paraId="5AAF3DC8" w14:textId="229A8447" w:rsidR="00C86E08" w:rsidRPr="0063529D" w:rsidRDefault="0063529D" w:rsidP="0063529D">
      <w:pPr>
        <w:pStyle w:val="NormalHanging12a"/>
        <w:ind w:left="570" w:hanging="570"/>
      </w:pPr>
      <w:r w:rsidRPr="0063529D">
        <w:t>21.</w:t>
      </w:r>
      <w:r w:rsidRPr="0063529D">
        <w:tab/>
      </w:r>
      <w:r w:rsidR="00C86E08" w:rsidRPr="0063529D">
        <w:t xml:space="preserve">υπενθυμίζει ότι οι δείκτες για την απορρόφηση των κονδυλίων ή το ποσοστό εκτέλεσης του προϋπολογισμού, παρέχουν πληροφορίες σχετικά με τη διοικητική πρόοδο και όχι σχετικά με τον πραγματικό οικονομικό ή κοινωνικό αντίκτυπο των δαπανών της ΕΕ· επισημαίνει ότι οι δείκτες αυτοί μπορούν να δημιουργήσουν παραπλανητική αντίληψη της επιτυχίας όταν τα κονδύλια δαπανώνται πλήρως, αλλά δεν επιφέρουν μετρήσιμες βελτιώσεις στην καινοτομία, τις επενδύσεις ή την απασχόληση· υπενθυμίζει ότι το ΕΕΣ έχει επανειλημμένα επικρίνει την υπερβολική εξάρτηση από τα ποσοστά δαπανών και τα ορόσημα πληρωμών στο πλαίσιο επιδόσεων για τα προγράμματα της ΕΕ· ζητεί τη </w:t>
      </w:r>
      <w:r w:rsidR="00C86E08" w:rsidRPr="0063529D">
        <w:lastRenderedPageBreak/>
        <w:t>στροφή προς δείκτες αποτελεσμάτων και δείκτες αντικτύπου που αποτυπώνουν τις πραγματικές επιπτώσεις των δαπανών της ΕΕ στην ανταγωνιστικότητα·</w:t>
      </w:r>
    </w:p>
    <w:p w14:paraId="0FE20923" w14:textId="316FA1AF" w:rsidR="00C86E08" w:rsidRPr="0063529D" w:rsidRDefault="0063529D" w:rsidP="0063529D">
      <w:pPr>
        <w:pStyle w:val="NormalHanging12a"/>
        <w:ind w:left="570" w:hanging="570"/>
      </w:pPr>
      <w:r w:rsidRPr="0063529D">
        <w:t>22.</w:t>
      </w:r>
      <w:r w:rsidRPr="0063529D">
        <w:tab/>
      </w:r>
      <w:r w:rsidR="00C86E08" w:rsidRPr="0063529D">
        <w:t>υπογραμμίζει ότι η ανταγωνιστικότητα εξαρτάται από ένα συνεκτικό σύνολο ευνοϊκών συνθηκών, συμπεριλαμβανομένων ενός ειδικευμένου και υγιούς εργατικού δυναμικού, αποτελεσματικών στρατηγικών υποδομών, ενός ισχυρού χρηματοπιστωτικού τομέα ικανού να παρέχει προσαρμοσμένη χρηματοδότηση για την καινοτομία, και εύρυθμων θεσμών και αγορών που ανταμείβουν τις επιδόσεις και την επιχειρηματικότητα· καλεί την Επιτροπή να αναπτύξει ειδικούς δείκτες επιδόσεων που θα αντικατοπτρίζουν αυτούς τους διαρθρωτικούς παράγοντες διευκόλυνσης και τη συμβολή τους στην παραγωγικότητα και την ανάπτυξη·</w:t>
      </w:r>
    </w:p>
    <w:p w14:paraId="6D853145" w14:textId="1837D83F" w:rsidR="00C86E08" w:rsidRPr="0063529D" w:rsidRDefault="0063529D" w:rsidP="0063529D">
      <w:pPr>
        <w:pStyle w:val="NormalHanging12a"/>
        <w:ind w:left="570" w:hanging="570"/>
      </w:pPr>
      <w:r w:rsidRPr="0063529D">
        <w:t>23.</w:t>
      </w:r>
      <w:r w:rsidRPr="0063529D">
        <w:tab/>
      </w:r>
      <w:r w:rsidR="00C86E08" w:rsidRPr="0063529D">
        <w:t xml:space="preserve">υπενθυμίζει ότι η έκθεση </w:t>
      </w:r>
      <w:proofErr w:type="spellStart"/>
      <w:r w:rsidR="00C86E08" w:rsidRPr="0063529D">
        <w:t>Draghi</w:t>
      </w:r>
      <w:proofErr w:type="spellEnd"/>
      <w:r w:rsidR="00C86E08" w:rsidRPr="0063529D">
        <w:t xml:space="preserve"> υπογραμμίζει ότι η αριστεία στην έρευνα και την καινοτομία είναι θεμελιώδους σημασίας για την ανταγωνιστικότητα της ΕΕ και ότι θα πρέπει να υπάρχει μόνο ένα κριτήριο επιλογής, δηλαδή η αριστεία, στο πλαίσιο του συστήματος έρευνας και καινοτομίας της ΕΕ, συμπεριλαμβανομένου του προγράμματος «Ορίζων Ευρώπη»· επαναλαμβάνει, στο πλαίσιο αυτό, τη θέση του ότι η χρηματοδότηση για την έρευνα και την καινοτομία θα πρέπει να συνεχίσει να διέπεται από την αρχή της αριστείας και να παραμείνει αξιοκρατική·</w:t>
      </w:r>
    </w:p>
    <w:p w14:paraId="29C00EB1" w14:textId="1EC8CB9C" w:rsidR="00C86E08" w:rsidRPr="0063529D" w:rsidRDefault="0063529D" w:rsidP="0063529D">
      <w:pPr>
        <w:pStyle w:val="NormalHanging12a"/>
        <w:ind w:left="570" w:hanging="570"/>
      </w:pPr>
      <w:r w:rsidRPr="0063529D">
        <w:t>24.</w:t>
      </w:r>
      <w:r w:rsidRPr="0063529D">
        <w:tab/>
      </w:r>
      <w:r w:rsidR="00C86E08" w:rsidRPr="0063529D">
        <w:t xml:space="preserve">τονίζει ότι τα δεδομένα σε επίπεδο έργου θα πρέπει να αποτελούν τη βάση για ενισχυμένες εκθέσεις επιδόσεων για τα χρηματοδοτικά μέσα που υλοποιούνται υπό έμμεση διαχείριση, όπως το </w:t>
      </w:r>
      <w:proofErr w:type="spellStart"/>
      <w:r w:rsidR="00C86E08" w:rsidRPr="0063529D">
        <w:t>InvestEU</w:t>
      </w:r>
      <w:proofErr w:type="spellEnd"/>
      <w:r w:rsidR="00C86E08" w:rsidRPr="0063529D">
        <w:t>· σημειώνει, ωστόσο, ότι θα πρέπει να είναι σε τυποποιημένη μορφή και να περιορίζονται στις βασικές πληροφορίες που απαιτούνται για τη μέτρηση της επιτυχίας του προγράμματος, όπως η κινητοποίηση δημόσιων και ιδιωτικών επενδύσεων που δεν θα μπορούσαν να έχουν πραγματοποιηθεί χωρίς το πρόγραμμα· αναγνωρίζει ότι, επειδή ο χαρακτήρας των χρηματοδοτικών μέσων διαμορφώνεται από την αγορά και τη ζήτηση, οι επιδόσεις των εν λόγω προγραμμάτων εξαρτώνται από την υιοθέτησή τους από την αγορά, γεγονός που περιορίζει την ικανότητα της Επιτροπής να καθορίζει εκ των προτέρων ορόσημα και στόχους·</w:t>
      </w:r>
    </w:p>
    <w:p w14:paraId="4800620F" w14:textId="2BD829D0" w:rsidR="00C86E08" w:rsidRPr="0063529D" w:rsidRDefault="0063529D" w:rsidP="0063529D">
      <w:pPr>
        <w:pStyle w:val="NormalHanging12a"/>
        <w:ind w:left="570" w:hanging="570"/>
      </w:pPr>
      <w:r w:rsidRPr="0063529D">
        <w:t>25.</w:t>
      </w:r>
      <w:r w:rsidRPr="0063529D">
        <w:tab/>
      </w:r>
      <w:r w:rsidR="00C86E08" w:rsidRPr="0063529D">
        <w:t>τονίζει ότι η ενίσχυση της ανταγωνιστικότητας της ΕΕ απαιτεί τη μετάβαση από τη βραχυπρόθεσμη διαχείριση κρίσεων σε μια μακροπρόθεσμη στρατηγική που θα βασίζεται στην καινοτομία, την αποτελεσματικότητα, τη βιωσιμότητα, τη στρατηγική αυτονομία και τον παγκόσμιο ανοικτό χαρακτήρα· ζητεί να ανανεωθεί η δέσμευση για ενίσχυση της ενιαίας αγοράς, μείωση του κανονιστικού κατακερματισμού και διασφάλιση ότι τα προγράμματα της ΕΕ στηρίζουν την πραγματική οικονομία· επισημαίνει ότι η επιτυχία των ευρωπαϊκών έργων ανταγωνιστικότητας εξαρτάται από την κινητοποίηση δημόσιων και ιδιωτικών κεφαλαίων· καλεί την Επιτροπή να θεσπίσει ειδικούς δείκτες για τη μέτρηση του αποτελέσματος μόχλευσης των κονδυλίων της ΕΕ όσον αφορά την κινητοποίηση δημόσιων και ιδιωτικών επενδύσεων, την αναλογία δημόσιας προς ιδιωτική χρηματοδότηση και της απόδοσης των επενδύσεων που επιτυγχάνονται·</w:t>
      </w:r>
    </w:p>
    <w:p w14:paraId="51BEB769" w14:textId="1FFC4462" w:rsidR="00C86E08" w:rsidRPr="0063529D" w:rsidRDefault="0063529D" w:rsidP="0063529D">
      <w:pPr>
        <w:pStyle w:val="NormalHanging12a"/>
        <w:ind w:left="570" w:hanging="570"/>
      </w:pPr>
      <w:r w:rsidRPr="0063529D">
        <w:t>26.</w:t>
      </w:r>
      <w:r w:rsidRPr="0063529D">
        <w:tab/>
      </w:r>
      <w:r w:rsidR="00C86E08" w:rsidRPr="0063529D">
        <w:t xml:space="preserve">θεωρεί αναγκαίο να θεσπιστεί ένα ολοκληρωμένο πλαίσιο εκτίμησης κινδύνου εκ των προτέρων, ιδίως για έργα που χαρακτηρίζονται από προφίλ υψηλού κινδύνου και υψηλής ανταμοιβής, προκειμένου να διασφαλιστεί μια ισορροπημένη αξιολόγηση της προστιθέμενης αξίας, του κόστους και των οφελών τους· υπογραμμίζει ότι η επίτευξη των στόχων πολιτικής της ΕΕ για την ανταγωνιστικότητα απαιτεί ένα ισχυρό σύστημα λογιστικών και λοιπών ελέγχων που θα υποστηρίζεται από μια συνεκτική μεθοδολογία εκτίμησης κινδύνου· τονίζει ότι η μεθοδολογία αυτή θα πρέπει να επιτρέπει αναλογικά </w:t>
      </w:r>
      <w:r w:rsidR="00C86E08" w:rsidRPr="0063529D">
        <w:lastRenderedPageBreak/>
        <w:t>επίπεδα κινδύνου που είναι απαραίτητα για την προώθηση της καινοτομίας, διασφαλίζοντας παράλληλα επαρκείς εγγυήσεις για την προστασία του προϋπολογισμού της ΕΕ, ιδίως έναντι της απάτης και των μη χρηματοοικονομικών κινδύνων·</w:t>
      </w:r>
    </w:p>
    <w:p w14:paraId="3643B3F6" w14:textId="760B0644" w:rsidR="00C86E08" w:rsidRPr="0063529D" w:rsidRDefault="0063529D" w:rsidP="0063529D">
      <w:pPr>
        <w:pStyle w:val="NormalHanging12a"/>
        <w:ind w:left="570" w:hanging="570"/>
      </w:pPr>
      <w:r w:rsidRPr="0063529D">
        <w:t>27.</w:t>
      </w:r>
      <w:r w:rsidRPr="0063529D">
        <w:tab/>
      </w:r>
      <w:r w:rsidR="00C86E08" w:rsidRPr="0063529D">
        <w:t>προτείνει να χρησιμοποιηθεί πιο ενδελεχής μακροοικονομική μοντελοποίηση, η οποία θα ενσωματώνει τις τελευταίες εξελίξεις στην οικονομική έρευνα, προκειμένου να αξιολογηθεί καλύτερα ο αντίκτυπος της χρηματοδότησης της ΕΕ στην ανταγωνιστικότητα· σημειώνει ότι τα μοντέλα που αποτυπώνουν την ετερογένεια των νοικοκυριών και των επιχειρήσεων και τις διανεμητικές επιπτώσεις επιτρέπουν μια πιο ολοκληρωμένη εκ των προτέρων αξιολόγηση του αντικτύπου της χρηματοδότησης της ΕΕ στην παραγωγικότητα, την επενδυτική συμπεριφορά και την περιφερειακή ανταγωνιστικότητα· προτείνει η προσέγγιση αυτή να συμπληρωθεί με τη χρήση μικροδεδομένων και περιφερειακών δεικτών επιδόσεων, με στόχο τη βελτίωση της βάσης τεκμηρίωσης για τον σχεδιασμό πολιτικής και τη στόχευση των κονδυλίων·</w:t>
      </w:r>
    </w:p>
    <w:p w14:paraId="5E5BC732" w14:textId="1125E691" w:rsidR="00C86E08" w:rsidRPr="0063529D" w:rsidRDefault="0063529D" w:rsidP="0063529D">
      <w:pPr>
        <w:pStyle w:val="NormalHanging12a"/>
        <w:ind w:left="570" w:hanging="570"/>
      </w:pPr>
      <w:r w:rsidRPr="0063529D">
        <w:t>28.</w:t>
      </w:r>
      <w:r w:rsidRPr="0063529D">
        <w:tab/>
      </w:r>
      <w:r w:rsidR="00C86E08" w:rsidRPr="0063529D">
        <w:t>καλεί την Επιτροπή και τα κράτη μέλη να θεσπίσουν και να χρησιμοποιούν με συνέπεια καθ’ όλη τη διάρκεια του επόμενου ΠΔΠ ένα εναρμονισμένο σύνολο βασικών δεικτών, όπως αυτοί που περιλαμβάνονται ήδη στον ευρωπαϊκό πίνακα αποτελεσμάτων για την καινοτομία, με στόχο την προώθηση της ανταγωνιστικότητας σε όλα τα κράτη μέλη, ώστε να καταστεί δυνατή η συγκρισιμότητα, η συγκριτική αξιολόγηση και η συγκέντρωση δεδομένων σε επίπεδο ΕΕ, επιτρέποντας παράλληλα τη χρήση δεικτών που προσαρμόζονται, κατά περίπτωση, στις εθνικές ή περιφερειακές ανάγκες· τονίζει ότι θα πρέπει να ζητείται η γνώμη όλων των ενδιαφερόμενων μερών κατά τον καθορισμό και την αναθεώρηση των δεικτών, προκειμένου να διασφαλίζεται ότι αντικατοπτρίζουν πραγματικές ανάγκες ανταγωνιστικότητας, ενώ τηρούν υψηλά εργασιακά και κοινωνικά πρότυπα·</w:t>
      </w:r>
    </w:p>
    <w:p w14:paraId="01F5B969" w14:textId="538785D4" w:rsidR="00C86E08" w:rsidRPr="0063529D" w:rsidRDefault="0063529D" w:rsidP="0063529D">
      <w:pPr>
        <w:pStyle w:val="NormalHanging12a"/>
        <w:ind w:left="570" w:hanging="570"/>
      </w:pPr>
      <w:r w:rsidRPr="0063529D">
        <w:t>29.</w:t>
      </w:r>
      <w:r w:rsidRPr="0063529D">
        <w:tab/>
      </w:r>
      <w:r w:rsidR="00C86E08" w:rsidRPr="0063529D">
        <w:t>θεωρεί ότι, στην περίπτωση έργων που προωθούν την καινοτομία και στηρίζουν στρατηγικές τεχνολογίες, μπορούν να χρησιμοποιηθούν οι ακόλουθοι δείκτες εκροών: ο όγκος της ενωσιακής και ιδιωτικής χρηματοδότησης που κινητοποιήθηκε, ο αριθμός των χρηματοδοτούμενων έργων ανά τομέα (δηλαδή τεχνητή νοημοσύνη, κβαντική, βιοτεχνολογία) και αριθμός εταιρειών-</w:t>
      </w:r>
      <w:proofErr w:type="spellStart"/>
      <w:r w:rsidR="00C86E08" w:rsidRPr="0063529D">
        <w:t>μονόκερων</w:t>
      </w:r>
      <w:proofErr w:type="spellEnd"/>
      <w:r w:rsidR="00C86E08" w:rsidRPr="0063529D">
        <w:t>, νεοφυών και επεκτεινόμενων επιχειρήσεων που δημιουργήθηκαν ή επεκτάθηκαν στην ΕΕ και έχουν λάβει χρηματοδότηση από την ΕΕ, καθώς και η μέτρηση του ποσοστού χρηματοδοτούμενων νεοφυών επιχειρήσεων με επικεφαλής γυναίκες, κατά περίπτωση· θεωρεί ότι οι δείκτες αποτελεσμάτων θα μπορούσαν να περιλαμβάνουν τον αριθμό των διπλωμάτων ευρεσιτεχνίας που κατατίθενται από έργα χρηματοδοτούμενα από την ΕΕ, την απόδοση των επενδύσεων της ΕΕ ανά τομέα, τη μεταβολή του ποσοστού απασχόλησης, το ποσοστό επιβίωσης των εταιρειών που χρηματοδοτούνται από την ΕΕ μετά από τρία έτη, την αύξηση του αριθμού των ευρωπαϊκών αρχικών δημόσιων προσφορών (ΑΔΠ), την αύξηση του αριθμού των εξαγωγικών εταιρειών και τον αριθμό των επιχειρήσεων που φθάνουν σε υψηλή ψηφιακή ένταση· θεωρεί ότι είναι αναγκαίο να παρακολουθούνται και να αναφέρονται δείκτες αντικτύπου, όπως η αύξηση της ικανότητας (παραγωγή ανά έτος) στην παραγωγή υπερπροηγμένων και ψηφιακών τεχνολογιών (π.χ. συγκεκριμένοι τύποι εξοπλισμού), η αύξηση του όγκου των επιχειρηματικών κεφαλαίων που επενδύονται στην ΕΕ, η αύξηση της χρηματιστηριακής αξίας των εταιρειών της ΕΕ, καθώς και η υιοθέτηση από την αγορά και η αύξηση των εσόδων που αποδίδονται σε χρηματοδοτούμενες από την ΕΕ καινοτομίες·</w:t>
      </w:r>
    </w:p>
    <w:p w14:paraId="4AD6A85E" w14:textId="14C7E421" w:rsidR="00C86E08" w:rsidRPr="0063529D" w:rsidRDefault="0063529D" w:rsidP="0063529D">
      <w:pPr>
        <w:pStyle w:val="NormalHanging12a"/>
        <w:ind w:left="570" w:hanging="570"/>
      </w:pPr>
      <w:r w:rsidRPr="0063529D">
        <w:lastRenderedPageBreak/>
        <w:t>30.</w:t>
      </w:r>
      <w:r w:rsidRPr="0063529D">
        <w:tab/>
      </w:r>
      <w:r w:rsidR="00C86E08" w:rsidRPr="0063529D">
        <w:t>θεωρεί ότι θα πρέπει να υποστηριχθούν η βιομηχανική μετεγκατάσταση και η αυτάρκεια σε κρίσιμες πρώτες ύλες, προκειμένου να μειωθούν οι στρατηγικές εξαρτήσεις της ΕΕ· προτείνει να μετράται η πρόοδος με δείκτες εκροών, όπως ο αριθμός των έργων και των ΜΜΕ που έχουν μετεγκατασταθεί στην ΕΕ, ο αριθμός των νεοφυών και επεκτεινόμενων επιχειρήσεων που δημιουργήθηκαν ή επεκτάθηκαν —μετρώντας επίσης το ποσοστό των νεοφυών και επεκτεινόμενων επιχειρήσεων με επικεφαλής γυναίκες, όπου αυτό είναι σκόπιμο— και το επίπεδο δημιουργίας θέσεων εργασίας στον βιομηχανικό τομέα σε στοχευμένες περιφέρειες· θεωρεί ότι οι δείκτες αποτελεσμάτων θα μπορούσαν να περιλαμβάνουν την αύξηση του μεριδίου των κρίσιμων πρώτων υλών που εισάγονται από νέους στρατηγικούς εταίρους ή προέρχονται από την ΕΕ και την αύξηση του όγκου (σε τόνους) των ανακυκλωμένων κρίσιμων πρώτων υλών, την υψηλότερη παραγωγικότητα και την ακαθάριστη προστιθέμενη αξία σε στοχευμένες αξιακές αλυσίδες, τη μεγαλύτερη ανθεκτικότητα του εφοδιασμού και τις βελτιωμένες εμπορικές επιδόσεις·</w:t>
      </w:r>
    </w:p>
    <w:p w14:paraId="2805F2F9" w14:textId="4FEEBCA5" w:rsidR="00C86E08" w:rsidRPr="0063529D" w:rsidRDefault="0063529D" w:rsidP="0063529D">
      <w:pPr>
        <w:pStyle w:val="NormalHanging12a"/>
        <w:ind w:left="570" w:hanging="570"/>
      </w:pPr>
      <w:r w:rsidRPr="0063529D">
        <w:t>31.</w:t>
      </w:r>
      <w:r w:rsidRPr="0063529D">
        <w:tab/>
      </w:r>
      <w:r w:rsidR="00C86E08" w:rsidRPr="0063529D">
        <w:t>τονίζει την ανάγκη επενδύσεων σε έξυπνα δίκτυα, αποθήκευση ενέργειας και διαδρόμους υδρογόνου για τη διευκόλυνση ενός ανθεκτικού και ανταγωνιστικού ενεργειακού συστήματος· υπογραμμίζει ότι τα μέτρα στο πλαίσιο αυτό είναι απαραίτητα για τη μείωση της αστάθειας των τιμών της ενέργειας, την ενίσχυση της βιομηχανικής ανταγωνιστικότητας και τη διασφάλιση της μετάβασης της Ευρώπης σε μια βιώσιμη οικονομία χαμηλών εκπομπών διοξειδίου του άνθρακα·</w:t>
      </w:r>
    </w:p>
    <w:p w14:paraId="0746F641" w14:textId="2E64110C" w:rsidR="00C86E08" w:rsidRPr="0063529D" w:rsidRDefault="0063529D" w:rsidP="0063529D">
      <w:pPr>
        <w:pStyle w:val="NormalHanging12a"/>
        <w:ind w:left="570" w:hanging="570"/>
      </w:pPr>
      <w:r w:rsidRPr="0063529D">
        <w:t>32.</w:t>
      </w:r>
      <w:r w:rsidRPr="0063529D">
        <w:tab/>
      </w:r>
      <w:r w:rsidR="00C86E08" w:rsidRPr="0063529D">
        <w:t>θεωρεί ότι θα πρέπει να επιδιωχθεί η κοινή αγορά βιομηχανικής ενέργειας και η απαλλαγή της βιομηχανίας από τις ανθρακούχες εκπομπές, προκειμένου να μειωθεί το ενεργειακό κόστος και να ενισχυθεί η ασφάλεια του εφοδιασμού, διασφαλίζοντας παράλληλα ότι τα μέτρα που προκύπτουν δεν έχουν αδικαιολόγητο αντίκτυπο στην ενεργειακή ασφάλεια οποιουδήποτε κράτους μέλους· προτείνει να μετράται η πρόοδος με δείκτες εκροών, όπως ο αριθμός των συμμετεχουσών εταιρειών, ο όγκος των αγορών ενέργειας και το μερίδιο των ανανεώσιμων πηγών ενέργειας σε κοινές συμβάσεις· θεωρεί ότι μπορούν επίσης να χρησιμοποιούνται δείκτες αποτελεσμάτων, όπως η πρόσθετη δυναμικότητα παραγωγής ηλεκτρικής ενέργειας (MW)· θεωρεί επίσης ότι οι δείκτες αντικτύπου θα μπορούσαν να περιλαμβάνουν τις αλλαγές στις μέσες τιμές ενέργειας σε στοχευμένους κλάδους, τη μείωση της διακοπής του εφοδιασμού, την αύξηση της χρήσης καθαρής ενέργειας και τη μείωση των εκπομπών αερίων του θερμοκηπίου (π.χ. σε tCO2e)·</w:t>
      </w:r>
    </w:p>
    <w:p w14:paraId="4861CD24" w14:textId="2240E37E" w:rsidR="00C86E08" w:rsidRPr="0063529D" w:rsidRDefault="0063529D" w:rsidP="0063529D">
      <w:pPr>
        <w:pStyle w:val="NormalHanging12a"/>
        <w:ind w:left="570" w:hanging="570"/>
      </w:pPr>
      <w:r w:rsidRPr="0063529D">
        <w:t>33.</w:t>
      </w:r>
      <w:r w:rsidRPr="0063529D">
        <w:tab/>
      </w:r>
      <w:r w:rsidR="00C86E08" w:rsidRPr="0063529D">
        <w:t xml:space="preserve">θεωρεί ότι η ΕΕ θα πρέπει να επενδύσει σε ταλέντα σε στρατηγικούς και κρίσιμους τομείς για την αύξηση της μακροπρόθεσμης ανταγωνιστικότητας της ΕΕ μέσω ενός ικανού εργατικού δυναμικού, μεταξύ άλλων στηρίζοντας τη συμμετοχή στην επαγγελματική και διά βίου μάθηση και την ανάπτυξη δεξιοτήτων· προτείνει να μετράται η πρόοδος με δείκτες εκροών, όπως ο αριθμός των ατόμων που εκπαιδεύονται ετησίως (με ιδιαίτερη έμφαση στην ισόρροπη εκπροσώπηση των φύλων και την κοινωνική ένταξη), ο αριθμός των ατόμων που έχουν αποφοιτήσει με πτυχίο θετικών επιστημών, τεχνολογίας, μηχανικής ή μαθηματικών (STEM) από πανεπιστήμιο ή που έχουν συμμετάσχει σε προγράμματα επαγγελματικής εκπαίδευσης και κατάρτισης με έμφαση στους τομείς STEM, το ποσοστό συμμετοχής σε προγράμματα εκπαίδευσης ενηλίκων και διά βίου μάθησης και το ποσοστό ικανοποίησης των εταιρειών εταίρων και κοινωνικών εταίρων· θεωρεί ότι οι δείκτες αποτελεσμάτων θα μπορούσαν να περιλαμβάνουν αλλαγές στο ποσοστό απασχόλησης, το ποσοστό μετάβασης από την κατάρτιση ή την προσωρινή απασχόληση στη μόνιμη απασχόληση, το ποσοστό </w:t>
      </w:r>
      <w:r w:rsidR="00C86E08" w:rsidRPr="0063529D">
        <w:lastRenderedPageBreak/>
        <w:t>απασχόλησης, το ποσοστό μισθολογικής εξέλιξης και το ποσοστό διατήρησης σε στοχευμένους τομείς·</w:t>
      </w:r>
    </w:p>
    <w:p w14:paraId="6B07BA63" w14:textId="615F5B5D" w:rsidR="00C86E08" w:rsidRPr="0063529D" w:rsidRDefault="0063529D" w:rsidP="0063529D">
      <w:pPr>
        <w:pStyle w:val="NormalHanging12a"/>
        <w:ind w:left="570" w:hanging="570"/>
        <w:rPr>
          <w:bCs/>
          <w:iCs/>
        </w:rPr>
      </w:pPr>
      <w:r w:rsidRPr="0063529D">
        <w:rPr>
          <w:bCs/>
          <w:iCs/>
        </w:rPr>
        <w:t>34.</w:t>
      </w:r>
      <w:r w:rsidRPr="0063529D">
        <w:rPr>
          <w:bCs/>
          <w:iCs/>
        </w:rPr>
        <w:tab/>
      </w:r>
      <w:r w:rsidR="00C86E08" w:rsidRPr="0063529D">
        <w:t>σημειώνει με ανησυχία ότι ο υπερβολικός κανονιστικός και διοικητικός φόρτος εξακολουθεί να υπονομεύει την ανταγωνιστικότητα των εταιρειών της ΕΕ σε σύγκριση με άλλους παγκόσμιους οικονομικούς συνασπισμούς· τονίζει ότι οι επιβαρύνσεις αυτές αυξάνουν το λειτουργικό κόστος, μειώνουν την τομεακή παραγωγικότητα και δημιουργούν φραγμούς στην είσοδο νέων επιχειρήσεων στην αγορά, αποθαρρύνοντας έτσι τον ανταγωνισμό και την καινοτομία· σημειώνει περαιτέρω ότι αυτές οι ανεπάρκειες μπορεί επίσης να μεταφραστούν σε υψηλότερες τιμές για τους καταναλωτές·</w:t>
      </w:r>
    </w:p>
    <w:p w14:paraId="22865FC7" w14:textId="3329B05B" w:rsidR="00C86E08" w:rsidRPr="0063529D" w:rsidRDefault="0063529D" w:rsidP="0063529D">
      <w:pPr>
        <w:pStyle w:val="NormalHanging12a"/>
        <w:ind w:left="570" w:hanging="570"/>
      </w:pPr>
      <w:r w:rsidRPr="0063529D">
        <w:t>35.</w:t>
      </w:r>
      <w:r w:rsidRPr="0063529D">
        <w:tab/>
      </w:r>
      <w:r w:rsidR="00C86E08" w:rsidRPr="0063529D">
        <w:t xml:space="preserve">θεωρεί ότι, προκειμένου να επιταχυνθούν η πράσινη και η ψηφιακή μετάβαση, θα πρέπει να δοθεί ιδιαίτερη προσοχή στις καινοτόμες ΜΜΕ, για τις οποίες η απλούστευση είναι ζωτικής σημασίας· τονίζει ότι η απλούστευση </w:t>
      </w:r>
      <w:r w:rsidRPr="0063529D">
        <w:t xml:space="preserve">θα </w:t>
      </w:r>
      <w:r w:rsidR="003B5A5B" w:rsidRPr="0063529D">
        <w:t xml:space="preserve">πρέπει να εστιάζει στη μείωση της περιττής γραφειοκρατίας και των διοικητικών δαπανών για τις ΜΜΕ· υπογραμμίζει ότι η απλούστευση πρέπει να πραγματοποιείται με παράλληλη διασφάλιση ενός αναλογικού και αποτελεσματικού κανονιστικού πλαισίου που θα εγγυάται </w:t>
      </w:r>
      <w:r w:rsidR="00C86E08" w:rsidRPr="0063529D">
        <w:t>κανονιστική ασφάλεια, καθώς και τη δέουσα εκτίμηση επιπτώσεων· προτείνει να μετράται η πρόοδος όσον αφορά τη μείωση του διοικητικού φόρτου με δείκτες όπως ο αριθμός των έργων που εγκρίνονται και συνάπτονται ετησίως με ΜΜΕ, η μείωση του ποσοστού προσφυγών ή διαφορών που σχετίζονται με τις διαδικασίες υποβολής αιτήσεων και η μείωση του χρόνου που απαιτείται για την πρόσβαση σε χρηματοδότηση της ΕΕ, από την αίτηση έως την εκταμίευση·</w:t>
      </w:r>
    </w:p>
    <w:p w14:paraId="2FF00766" w14:textId="23529BA4" w:rsidR="003B5A5B" w:rsidRPr="0063529D" w:rsidRDefault="0063529D" w:rsidP="0063529D">
      <w:pPr>
        <w:pStyle w:val="NormalHanging12a"/>
        <w:ind w:left="570" w:hanging="570"/>
      </w:pPr>
      <w:r w:rsidRPr="0063529D">
        <w:t>36.</w:t>
      </w:r>
      <w:r w:rsidRPr="0063529D">
        <w:tab/>
      </w:r>
      <w:r w:rsidR="003B5A5B" w:rsidRPr="0063529D">
        <w:t>καλεί την Επιτροπή να εντείνει περαιτέρω τις προσπάθειες για τη μείωση του κανονιστικού φόρτου και να διασφαλίσει ότι η νομοθεσία της ΕΕ είναι αναλογική, τεκμηριωμένη και παρέχει σαφή προστιθέμενη αξία για τους πολίτες και τις επιχειρήσεις· θεωρεί ότι η τρέχουσα προσέγγιση «για κάθε θέσπιση, μία κατάργηση» δεν επαρκεί εν προκειμένω· ζητεί, ως εκ τούτου, την εφαρμογή της αρχής «για κάθε θέσπιση, δύο καταργήσεις», σύμφωνα με την οποία η εισαγωγή οποιουδήποτε νέου κόστους μέσω ρυθμιστικών υποχρεώσεων αντισταθμίζεται από μειώσεις του κανονιστικού κόστους που απορρέουν από άλλη νομοθεσία της ΕΕ κατά τουλάχιστον το διπλάσιο του αντίστοιχου ποσού, με στόχο την επίτευξη καθαρής μείωσης του κανονιστικού φόρτου, με παράλληλη χωριστή αντιμετώπιση του φόρτου για τις εταιρείες και τη δημόσια διοίκηση·</w:t>
      </w:r>
    </w:p>
    <w:p w14:paraId="181519DB" w14:textId="77777777" w:rsidR="00C86E08" w:rsidRPr="0063529D" w:rsidRDefault="00C86E08" w:rsidP="008B491F">
      <w:pPr>
        <w:pStyle w:val="NormalCenter12a"/>
        <w:ind w:left="567" w:hanging="567"/>
      </w:pPr>
      <w:r w:rsidRPr="0063529D">
        <w:t>°</w:t>
      </w:r>
    </w:p>
    <w:p w14:paraId="7C8DA1C0" w14:textId="77777777" w:rsidR="00C86E08" w:rsidRPr="0063529D" w:rsidRDefault="00C86E08" w:rsidP="008B491F">
      <w:pPr>
        <w:pStyle w:val="NormalCenter12a"/>
        <w:ind w:left="567" w:hanging="567"/>
      </w:pPr>
      <w:r w:rsidRPr="0063529D">
        <w:t>°</w:t>
      </w:r>
      <w:r w:rsidRPr="0063529D">
        <w:tab/>
        <w:t>°</w:t>
      </w:r>
    </w:p>
    <w:p w14:paraId="60832F9F" w14:textId="4AB881A6" w:rsidR="00925CF9" w:rsidRPr="0063529D" w:rsidRDefault="0063529D" w:rsidP="0063529D">
      <w:pPr>
        <w:pStyle w:val="NormalHanging12a"/>
        <w:ind w:left="570" w:hanging="570"/>
      </w:pPr>
      <w:r w:rsidRPr="0063529D">
        <w:t>37.</w:t>
      </w:r>
      <w:r w:rsidRPr="0063529D">
        <w:tab/>
      </w:r>
      <w:r w:rsidR="00C86E08" w:rsidRPr="0063529D">
        <w:t>αναθέτει στην Πρόεδρό του να διαβιβάσει το παρόν ψήφισμα στο Συμβούλιο και στην Επιτροπή.</w:t>
      </w:r>
    </w:p>
    <w:p w14:paraId="1AB330EC" w14:textId="592D4BD3" w:rsidR="00E365E1" w:rsidRPr="0063529D" w:rsidRDefault="00E365E1" w:rsidP="008B491F">
      <w:pPr>
        <w:widowControl/>
        <w:spacing w:after="240"/>
        <w:ind w:left="567" w:hanging="567"/>
      </w:pPr>
    </w:p>
    <w:sectPr w:rsidR="00E365E1" w:rsidRPr="0063529D" w:rsidSect="00925C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F3807" w14:textId="77777777" w:rsidR="00591125" w:rsidRPr="00925CF9" w:rsidRDefault="00591125">
      <w:r w:rsidRPr="00925CF9">
        <w:separator/>
      </w:r>
    </w:p>
  </w:endnote>
  <w:endnote w:type="continuationSeparator" w:id="0">
    <w:p w14:paraId="78B87828" w14:textId="77777777" w:rsidR="00591125" w:rsidRPr="00925CF9" w:rsidRDefault="00591125">
      <w:r w:rsidRPr="00925C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0BE1" w14:textId="77777777" w:rsidR="00064002" w:rsidRPr="00925C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0B2A" w14:textId="77777777" w:rsidR="00064002" w:rsidRPr="00925C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9DCA" w14:textId="77777777" w:rsidR="00064002" w:rsidRPr="00925C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7E25" w14:textId="77777777" w:rsidR="00591125" w:rsidRPr="00925CF9" w:rsidRDefault="00591125">
      <w:r w:rsidRPr="00925CF9">
        <w:separator/>
      </w:r>
    </w:p>
  </w:footnote>
  <w:footnote w:type="continuationSeparator" w:id="0">
    <w:p w14:paraId="4F209F70" w14:textId="77777777" w:rsidR="00591125" w:rsidRPr="00925CF9" w:rsidRDefault="00591125">
      <w:r w:rsidRPr="00925CF9">
        <w:continuationSeparator/>
      </w:r>
    </w:p>
  </w:footnote>
  <w:footnote w:id="1">
    <w:p w14:paraId="1A6A6A89" w14:textId="41C1B2DC"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 xml:space="preserve">ΕΕ L 433 I της 22.12.2020, σ. 11, ELI: </w:t>
      </w:r>
      <w:hyperlink r:id="rId1" w:tgtFrame="http://data.europa.eu/eli/reg/2020/2093/oj" w:history="1">
        <w:r w:rsidRPr="00925CF9">
          <w:rPr>
            <w:rStyle w:val="Hyperlink"/>
            <w:sz w:val="24"/>
            <w:lang w:val="el-GR"/>
          </w:rPr>
          <w:t>http://data.europa.eu/eli/reg/2020/2093/oj</w:t>
        </w:r>
      </w:hyperlink>
      <w:r w:rsidRPr="00925CF9">
        <w:rPr>
          <w:sz w:val="24"/>
          <w:lang w:val="el-GR"/>
        </w:rPr>
        <w:t>.</w:t>
      </w:r>
    </w:p>
  </w:footnote>
  <w:footnote w:id="2">
    <w:p w14:paraId="7F85BFF0" w14:textId="378D36ED"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 xml:space="preserve">ΕΕ L 325 της 20.12.2022, σ. 11, ELI: </w:t>
      </w:r>
      <w:hyperlink r:id="rId2" w:tgtFrame="http://data.europa.eu/eli/reg/2022/2496/oj" w:history="1">
        <w:r w:rsidRPr="00925CF9">
          <w:rPr>
            <w:rStyle w:val="Hyperlink"/>
            <w:sz w:val="24"/>
            <w:lang w:val="el-GR"/>
          </w:rPr>
          <w:t>http://data.europa.eu/eli/reg/2022/2496/oj</w:t>
        </w:r>
      </w:hyperlink>
      <w:r w:rsidRPr="00925CF9">
        <w:rPr>
          <w:sz w:val="24"/>
          <w:lang w:val="el-GR"/>
        </w:rPr>
        <w:t>.</w:t>
      </w:r>
    </w:p>
  </w:footnote>
  <w:footnote w:id="3">
    <w:p w14:paraId="492166E7" w14:textId="750C8EB4" w:rsidR="00C86E08" w:rsidRPr="003B5A5B" w:rsidRDefault="00C86E08" w:rsidP="003B5A5B">
      <w:pPr>
        <w:pStyle w:val="FootnoteText"/>
        <w:spacing w:line="240" w:lineRule="auto"/>
        <w:ind w:left="567" w:hanging="567"/>
        <w:rPr>
          <w:sz w:val="24"/>
          <w:lang w:val="fi-FI"/>
        </w:rPr>
      </w:pPr>
      <w:r w:rsidRPr="00925CF9">
        <w:rPr>
          <w:rStyle w:val="FootnoteReference"/>
          <w:sz w:val="24"/>
          <w:lang w:val="el-GR"/>
        </w:rPr>
        <w:footnoteRef/>
      </w:r>
      <w:r w:rsidR="00925CF9" w:rsidRPr="003B5A5B">
        <w:rPr>
          <w:sz w:val="24"/>
          <w:lang w:val="fi-FI"/>
        </w:rPr>
        <w:t xml:space="preserve"> </w:t>
      </w:r>
      <w:r w:rsidR="00925CF9" w:rsidRPr="003B5A5B">
        <w:rPr>
          <w:sz w:val="24"/>
          <w:lang w:val="fi-FI"/>
        </w:rPr>
        <w:tab/>
      </w:r>
      <w:r w:rsidRPr="00925CF9">
        <w:rPr>
          <w:sz w:val="24"/>
          <w:lang w:val="el-GR"/>
        </w:rPr>
        <w:t>ΕΕ</w:t>
      </w:r>
      <w:r w:rsidRPr="003B5A5B">
        <w:rPr>
          <w:sz w:val="24"/>
          <w:lang w:val="fi-FI"/>
        </w:rPr>
        <w:t xml:space="preserve"> L, 2024/765, 29.2.2024, ELI: </w:t>
      </w:r>
      <w:hyperlink r:id="rId3" w:history="1">
        <w:r w:rsidR="00AD6794" w:rsidRPr="003B5A5B">
          <w:rPr>
            <w:rStyle w:val="Hyperlink"/>
            <w:sz w:val="24"/>
            <w:lang w:val="fi-FI"/>
          </w:rPr>
          <w:t>http://data.europa.eu/eli/reg/2024/765/oj</w:t>
        </w:r>
      </w:hyperlink>
      <w:r w:rsidRPr="003B5A5B">
        <w:rPr>
          <w:sz w:val="24"/>
          <w:lang w:val="fi-FI"/>
        </w:rPr>
        <w:t>.</w:t>
      </w:r>
    </w:p>
  </w:footnote>
  <w:footnote w:id="4">
    <w:p w14:paraId="21758A8E" w14:textId="30E3F6A9"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 xml:space="preserve">ΕΕ L 433 I της 22.12.2020, σ. 28, ELI: </w:t>
      </w:r>
      <w:hyperlink r:id="rId4" w:tgtFrame="http://data.europa.eu/eli/agree_interinstit/2020/1222/oj" w:history="1">
        <w:r w:rsidRPr="00925CF9">
          <w:rPr>
            <w:rStyle w:val="Hyperlink"/>
            <w:sz w:val="24"/>
            <w:lang w:val="el-GR"/>
          </w:rPr>
          <w:t>http://data.europa.eu/eli/agree_interinstit/2020/1222/oj</w:t>
        </w:r>
      </w:hyperlink>
      <w:r w:rsidRPr="00925CF9">
        <w:rPr>
          <w:sz w:val="24"/>
          <w:lang w:val="el-GR"/>
        </w:rPr>
        <w:t>.</w:t>
      </w:r>
    </w:p>
  </w:footnote>
  <w:footnote w:id="5">
    <w:p w14:paraId="35512CDF" w14:textId="5579FA58" w:rsidR="00C86E08" w:rsidRPr="003B5A5B" w:rsidRDefault="00C86E08" w:rsidP="003B5A5B">
      <w:pPr>
        <w:pStyle w:val="FootnoteText"/>
        <w:spacing w:line="240" w:lineRule="auto"/>
        <w:ind w:left="567" w:hanging="567"/>
        <w:rPr>
          <w:sz w:val="24"/>
          <w:lang w:val="fi-FI"/>
        </w:rPr>
      </w:pPr>
      <w:r w:rsidRPr="00925CF9">
        <w:rPr>
          <w:rStyle w:val="FootnoteReference"/>
          <w:sz w:val="24"/>
          <w:lang w:val="el-GR"/>
        </w:rPr>
        <w:footnoteRef/>
      </w:r>
      <w:r w:rsidR="00925CF9" w:rsidRPr="003B5A5B">
        <w:rPr>
          <w:sz w:val="24"/>
          <w:lang w:val="fi-FI"/>
        </w:rPr>
        <w:t xml:space="preserve"> </w:t>
      </w:r>
      <w:r w:rsidR="00925CF9" w:rsidRPr="003B5A5B">
        <w:rPr>
          <w:sz w:val="24"/>
          <w:lang w:val="fi-FI"/>
        </w:rPr>
        <w:tab/>
      </w:r>
      <w:r w:rsidRPr="00925CF9">
        <w:rPr>
          <w:sz w:val="24"/>
          <w:lang w:val="el-GR"/>
        </w:rPr>
        <w:t>ΕΕ</w:t>
      </w:r>
      <w:r w:rsidRPr="003B5A5B">
        <w:rPr>
          <w:sz w:val="24"/>
          <w:lang w:val="fi-FI"/>
        </w:rPr>
        <w:t xml:space="preserve"> L, 2024/2509, 26.9.2024, ELI: </w:t>
      </w:r>
      <w:hyperlink r:id="rId5" w:history="1">
        <w:r w:rsidR="00AD6794" w:rsidRPr="00AD6794">
          <w:rPr>
            <w:rStyle w:val="Hyperlink"/>
            <w:sz w:val="24"/>
            <w:lang w:val="fi-FI"/>
          </w:rPr>
          <w:t>http://data.europa.eu/eli/reg/2024/2509/oj</w:t>
        </w:r>
      </w:hyperlink>
      <w:r w:rsidRPr="003B5A5B">
        <w:rPr>
          <w:sz w:val="24"/>
          <w:lang w:val="fi-FI"/>
        </w:rPr>
        <w:t>.</w:t>
      </w:r>
    </w:p>
  </w:footnote>
  <w:footnote w:id="6">
    <w:p w14:paraId="06334533" w14:textId="3A3E8466"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Κείμενα που εγκρίθηκαν, P10_TA(2025)0090.</w:t>
      </w:r>
    </w:p>
  </w:footnote>
  <w:footnote w:id="7">
    <w:p w14:paraId="77F2755D" w14:textId="009859E2"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Μελέτη — «</w:t>
      </w:r>
      <w:proofErr w:type="spellStart"/>
      <w:r w:rsidRPr="00925CF9">
        <w:rPr>
          <w:sz w:val="24"/>
          <w:lang w:val="el-GR"/>
        </w:rPr>
        <w:t>Performance</w:t>
      </w:r>
      <w:proofErr w:type="spellEnd"/>
      <w:r w:rsidRPr="00925CF9">
        <w:rPr>
          <w:sz w:val="24"/>
          <w:lang w:val="el-GR"/>
        </w:rPr>
        <w:t xml:space="preserve"> </w:t>
      </w:r>
      <w:proofErr w:type="spellStart"/>
      <w:r w:rsidRPr="00925CF9">
        <w:rPr>
          <w:sz w:val="24"/>
          <w:lang w:val="el-GR"/>
        </w:rPr>
        <w:t>framework</w:t>
      </w:r>
      <w:proofErr w:type="spellEnd"/>
      <w:r w:rsidRPr="00925CF9">
        <w:rPr>
          <w:sz w:val="24"/>
          <w:lang w:val="el-GR"/>
        </w:rPr>
        <w:t xml:space="preserve"> for the EU </w:t>
      </w:r>
      <w:proofErr w:type="spellStart"/>
      <w:r w:rsidRPr="00925CF9">
        <w:rPr>
          <w:sz w:val="24"/>
          <w:lang w:val="el-GR"/>
        </w:rPr>
        <w:t>budget</w:t>
      </w:r>
      <w:proofErr w:type="spellEnd"/>
      <w:r w:rsidRPr="00925CF9">
        <w:rPr>
          <w:sz w:val="24"/>
          <w:lang w:val="el-GR"/>
        </w:rPr>
        <w:t xml:space="preserve"> – </w:t>
      </w:r>
      <w:proofErr w:type="spellStart"/>
      <w:r w:rsidRPr="00925CF9">
        <w:rPr>
          <w:sz w:val="24"/>
          <w:lang w:val="el-GR"/>
        </w:rPr>
        <w:t>Concepts</w:t>
      </w:r>
      <w:proofErr w:type="spellEnd"/>
      <w:r w:rsidRPr="00925CF9">
        <w:rPr>
          <w:sz w:val="24"/>
          <w:lang w:val="el-GR"/>
        </w:rPr>
        <w:t xml:space="preserve"> and </w:t>
      </w:r>
      <w:proofErr w:type="spellStart"/>
      <w:r w:rsidRPr="00925CF9">
        <w:rPr>
          <w:sz w:val="24"/>
          <w:lang w:val="el-GR"/>
        </w:rPr>
        <w:t>practices</w:t>
      </w:r>
      <w:proofErr w:type="spellEnd"/>
      <w:r w:rsidRPr="00925CF9">
        <w:rPr>
          <w:sz w:val="24"/>
          <w:lang w:val="el-GR"/>
        </w:rPr>
        <w:t>» (Πλαίσιο επιδόσεων για τον προϋπολογισμό της ΕΕ – Ιδέες και πρακτικές), Ευρωπαϊκό Κοινοβούλιο, Γενική Διεύθυνση Εσωτερικών Πολιτικών, Θεματικό Τμήμα Δημοσιονομικών Υποθέσεων, Μάρτιος 2024.</w:t>
      </w:r>
    </w:p>
  </w:footnote>
  <w:footnote w:id="8">
    <w:p w14:paraId="2B8D67B3" w14:textId="6F1659E9"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Έκθεση εκτίμησης επιπτώσεων (SWD(2025)0590) που συνοδεύει την πρόταση κανονισμού της Επιτροπής για τη θέσπιση πλαισίου παρακολούθησης των δαπανών και επιδόσεων του προϋπολογισμού (COM(2025)0545).</w:t>
      </w:r>
    </w:p>
  </w:footnote>
  <w:footnote w:id="9">
    <w:p w14:paraId="6ACFFBB1" w14:textId="53561C0A"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COM(2025)0545.</w:t>
      </w:r>
    </w:p>
  </w:footnote>
  <w:footnote w:id="10">
    <w:p w14:paraId="47F7A1F2" w14:textId="776B7243" w:rsidR="00C86E08" w:rsidRPr="00925CF9" w:rsidRDefault="00C86E08" w:rsidP="003B5A5B">
      <w:pPr>
        <w:pStyle w:val="FootnoteText"/>
        <w:spacing w:line="240" w:lineRule="auto"/>
        <w:ind w:left="567" w:hanging="567"/>
        <w:rPr>
          <w:sz w:val="24"/>
          <w:lang w:val="el-GR"/>
        </w:rPr>
      </w:pPr>
      <w:r w:rsidRPr="00925CF9">
        <w:rPr>
          <w:rStyle w:val="FootnoteReference"/>
          <w:sz w:val="24"/>
          <w:lang w:val="el-GR"/>
        </w:rPr>
        <w:footnoteRef/>
      </w:r>
      <w:r w:rsidR="00925CF9" w:rsidRPr="00925CF9">
        <w:rPr>
          <w:sz w:val="24"/>
          <w:lang w:val="el-GR"/>
        </w:rPr>
        <w:t xml:space="preserve"> </w:t>
      </w:r>
      <w:r w:rsidR="00925CF9" w:rsidRPr="00925CF9">
        <w:rPr>
          <w:sz w:val="24"/>
          <w:lang w:val="el-GR"/>
        </w:rPr>
        <w:tab/>
      </w:r>
      <w:r w:rsidRPr="00925CF9">
        <w:rPr>
          <w:sz w:val="24"/>
          <w:lang w:val="el-GR"/>
        </w:rPr>
        <w:t>ΟΟΣΑ (2025), «</w:t>
      </w:r>
      <w:proofErr w:type="spellStart"/>
      <w:r w:rsidRPr="00925CF9">
        <w:fldChar w:fldCharType="begin"/>
      </w:r>
      <w:r w:rsidRPr="00925CF9">
        <w:rPr>
          <w:sz w:val="24"/>
          <w:lang w:val="el-GR"/>
        </w:rPr>
        <w:instrText>HYPERLINK "https://www.oecd.org/en/publications/strengthening-performance-reporting-practices_bcea6d2d-en.html"</w:instrText>
      </w:r>
      <w:r w:rsidRPr="00925CF9">
        <w:fldChar w:fldCharType="separate"/>
      </w:r>
      <w:r w:rsidRPr="00925CF9">
        <w:rPr>
          <w:rStyle w:val="Hyperlink"/>
          <w:sz w:val="24"/>
          <w:lang w:val="el-GR"/>
        </w:rPr>
        <w:t>Strengthening</w:t>
      </w:r>
      <w:proofErr w:type="spellEnd"/>
      <w:r w:rsidRPr="00925CF9">
        <w:rPr>
          <w:rStyle w:val="Hyperlink"/>
          <w:sz w:val="24"/>
          <w:lang w:val="el-GR"/>
        </w:rPr>
        <w:t xml:space="preserve"> </w:t>
      </w:r>
      <w:proofErr w:type="spellStart"/>
      <w:r w:rsidRPr="00925CF9">
        <w:rPr>
          <w:rStyle w:val="Hyperlink"/>
          <w:sz w:val="24"/>
          <w:lang w:val="el-GR"/>
        </w:rPr>
        <w:t>performance</w:t>
      </w:r>
      <w:proofErr w:type="spellEnd"/>
      <w:r w:rsidRPr="00925CF9">
        <w:rPr>
          <w:rStyle w:val="Hyperlink"/>
          <w:sz w:val="24"/>
          <w:lang w:val="el-GR"/>
        </w:rPr>
        <w:t xml:space="preserve"> </w:t>
      </w:r>
      <w:proofErr w:type="spellStart"/>
      <w:r w:rsidRPr="00925CF9">
        <w:rPr>
          <w:rStyle w:val="Hyperlink"/>
          <w:sz w:val="24"/>
          <w:lang w:val="el-GR"/>
        </w:rPr>
        <w:t>reporting</w:t>
      </w:r>
      <w:proofErr w:type="spellEnd"/>
      <w:r w:rsidRPr="00925CF9">
        <w:rPr>
          <w:rStyle w:val="Hyperlink"/>
          <w:sz w:val="24"/>
          <w:lang w:val="el-GR"/>
        </w:rPr>
        <w:t xml:space="preserve"> </w:t>
      </w:r>
      <w:proofErr w:type="spellStart"/>
      <w:r w:rsidRPr="00925CF9">
        <w:rPr>
          <w:rStyle w:val="Hyperlink"/>
          <w:sz w:val="24"/>
          <w:lang w:val="el-GR"/>
        </w:rPr>
        <w:t>practices</w:t>
      </w:r>
      <w:proofErr w:type="spellEnd"/>
      <w:r w:rsidRPr="00925CF9">
        <w:rPr>
          <w:rStyle w:val="Hyperlink"/>
          <w:sz w:val="24"/>
          <w:lang w:val="el-GR"/>
        </w:rPr>
        <w:fldChar w:fldCharType="end"/>
      </w:r>
      <w:r w:rsidRPr="00925CF9">
        <w:rPr>
          <w:sz w:val="24"/>
          <w:lang w:val="el-GR"/>
        </w:rPr>
        <w:t xml:space="preserve">» (Ενίσχυση των πρακτικών υποβολής εκθέσεων σχετικά με τις επιδόσεις), </w:t>
      </w:r>
      <w:r w:rsidRPr="00925CF9">
        <w:rPr>
          <w:i/>
          <w:sz w:val="24"/>
          <w:lang w:val="el-GR"/>
        </w:rPr>
        <w:t xml:space="preserve">OECD </w:t>
      </w:r>
      <w:proofErr w:type="spellStart"/>
      <w:r w:rsidRPr="00925CF9">
        <w:rPr>
          <w:i/>
          <w:sz w:val="24"/>
          <w:lang w:val="el-GR"/>
        </w:rPr>
        <w:t>Papers</w:t>
      </w:r>
      <w:proofErr w:type="spellEnd"/>
      <w:r w:rsidRPr="00925CF9">
        <w:rPr>
          <w:i/>
          <w:sz w:val="24"/>
          <w:lang w:val="el-GR"/>
        </w:rPr>
        <w:t xml:space="preserve"> on </w:t>
      </w:r>
      <w:proofErr w:type="spellStart"/>
      <w:r w:rsidRPr="00925CF9">
        <w:rPr>
          <w:i/>
          <w:sz w:val="24"/>
          <w:lang w:val="el-GR"/>
        </w:rPr>
        <w:t>Budgeting</w:t>
      </w:r>
      <w:proofErr w:type="spellEnd"/>
      <w:r w:rsidRPr="00925CF9">
        <w:rPr>
          <w:sz w:val="24"/>
          <w:lang w:val="el-GR"/>
        </w:rPr>
        <w:t xml:space="preserve"> (Έγγραφα του ΟΟΣΑ για την κατάρτιση του προϋπολογισμού), αριθ. 2025/07, Εκδόσεις ΟΟΣΑ, Παρίσι.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96F2" w14:textId="77777777" w:rsidR="00064002" w:rsidRPr="00925C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A4CFE" w14:textId="77777777" w:rsidR="00064002" w:rsidRPr="00925C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5B475" w14:textId="77777777" w:rsidR="00064002" w:rsidRPr="00925C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7C177F"/>
    <w:multiLevelType w:val="hybridMultilevel"/>
    <w:tmpl w:val="2F52D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7B324E"/>
    <w:multiLevelType w:val="hybridMultilevel"/>
    <w:tmpl w:val="D20225DC"/>
    <w:lvl w:ilvl="0" w:tplc="6734C61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A152D08"/>
    <w:multiLevelType w:val="hybridMultilevel"/>
    <w:tmpl w:val="9C248552"/>
    <w:lvl w:ilvl="0" w:tplc="6734C6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1D42E4"/>
    <w:multiLevelType w:val="hybridMultilevel"/>
    <w:tmpl w:val="DA94F84C"/>
    <w:lvl w:ilvl="0" w:tplc="6734C6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9455712">
    <w:abstractNumId w:val="9"/>
  </w:num>
  <w:num w:numId="2" w16cid:durableId="1470708825">
    <w:abstractNumId w:val="9"/>
  </w:num>
  <w:num w:numId="3" w16cid:durableId="1085422172">
    <w:abstractNumId w:val="7"/>
  </w:num>
  <w:num w:numId="4" w16cid:durableId="290131611">
    <w:abstractNumId w:val="7"/>
  </w:num>
  <w:num w:numId="5" w16cid:durableId="1147699029">
    <w:abstractNumId w:val="6"/>
  </w:num>
  <w:num w:numId="6" w16cid:durableId="391121284">
    <w:abstractNumId w:val="6"/>
  </w:num>
  <w:num w:numId="7" w16cid:durableId="1769689568">
    <w:abstractNumId w:val="5"/>
  </w:num>
  <w:num w:numId="8" w16cid:durableId="1020163523">
    <w:abstractNumId w:val="5"/>
  </w:num>
  <w:num w:numId="9" w16cid:durableId="132993375">
    <w:abstractNumId w:val="4"/>
  </w:num>
  <w:num w:numId="10" w16cid:durableId="1756433232">
    <w:abstractNumId w:val="4"/>
  </w:num>
  <w:num w:numId="11" w16cid:durableId="1247571786">
    <w:abstractNumId w:val="8"/>
  </w:num>
  <w:num w:numId="12" w16cid:durableId="1227305691">
    <w:abstractNumId w:val="8"/>
  </w:num>
  <w:num w:numId="13" w16cid:durableId="1996756876">
    <w:abstractNumId w:val="3"/>
  </w:num>
  <w:num w:numId="14" w16cid:durableId="543493445">
    <w:abstractNumId w:val="3"/>
  </w:num>
  <w:num w:numId="15" w16cid:durableId="1258126896">
    <w:abstractNumId w:val="2"/>
  </w:num>
  <w:num w:numId="16" w16cid:durableId="1527330451">
    <w:abstractNumId w:val="2"/>
  </w:num>
  <w:num w:numId="17" w16cid:durableId="1707829036">
    <w:abstractNumId w:val="1"/>
  </w:num>
  <w:num w:numId="18" w16cid:durableId="1519850804">
    <w:abstractNumId w:val="1"/>
  </w:num>
  <w:num w:numId="19" w16cid:durableId="584145746">
    <w:abstractNumId w:val="0"/>
  </w:num>
  <w:num w:numId="20" w16cid:durableId="1414618785">
    <w:abstractNumId w:val="0"/>
  </w:num>
  <w:num w:numId="21" w16cid:durableId="931595405">
    <w:abstractNumId w:val="9"/>
  </w:num>
  <w:num w:numId="22" w16cid:durableId="178324246">
    <w:abstractNumId w:val="7"/>
  </w:num>
  <w:num w:numId="23" w16cid:durableId="1909725031">
    <w:abstractNumId w:val="6"/>
  </w:num>
  <w:num w:numId="24" w16cid:durableId="1098409096">
    <w:abstractNumId w:val="5"/>
  </w:num>
  <w:num w:numId="25" w16cid:durableId="2064713941">
    <w:abstractNumId w:val="4"/>
  </w:num>
  <w:num w:numId="26" w16cid:durableId="1787891319">
    <w:abstractNumId w:val="8"/>
  </w:num>
  <w:num w:numId="27" w16cid:durableId="752774709">
    <w:abstractNumId w:val="3"/>
  </w:num>
  <w:num w:numId="28" w16cid:durableId="583732159">
    <w:abstractNumId w:val="2"/>
  </w:num>
  <w:num w:numId="29" w16cid:durableId="1978564026">
    <w:abstractNumId w:val="1"/>
  </w:num>
  <w:num w:numId="30" w16cid:durableId="1085802145">
    <w:abstractNumId w:val="0"/>
  </w:num>
  <w:num w:numId="31" w16cid:durableId="1583946766">
    <w:abstractNumId w:val="9"/>
  </w:num>
  <w:num w:numId="32" w16cid:durableId="850683111">
    <w:abstractNumId w:val="7"/>
  </w:num>
  <w:num w:numId="33" w16cid:durableId="1747921722">
    <w:abstractNumId w:val="6"/>
  </w:num>
  <w:num w:numId="34" w16cid:durableId="1802310946">
    <w:abstractNumId w:val="5"/>
  </w:num>
  <w:num w:numId="35" w16cid:durableId="201291059">
    <w:abstractNumId w:val="4"/>
  </w:num>
  <w:num w:numId="36" w16cid:durableId="82342321">
    <w:abstractNumId w:val="8"/>
  </w:num>
  <w:num w:numId="37" w16cid:durableId="299846652">
    <w:abstractNumId w:val="3"/>
  </w:num>
  <w:num w:numId="38" w16cid:durableId="1813138460">
    <w:abstractNumId w:val="2"/>
  </w:num>
  <w:num w:numId="39" w16cid:durableId="651913631">
    <w:abstractNumId w:val="1"/>
  </w:num>
  <w:num w:numId="40" w16cid:durableId="655449785">
    <w:abstractNumId w:val="0"/>
  </w:num>
  <w:num w:numId="41" w16cid:durableId="1716656208">
    <w:abstractNumId w:val="10"/>
  </w:num>
  <w:num w:numId="42" w16cid:durableId="1189635725">
    <w:abstractNumId w:val="10"/>
  </w:num>
  <w:num w:numId="43" w16cid:durableId="943729274">
    <w:abstractNumId w:val="10"/>
  </w:num>
  <w:num w:numId="44" w16cid:durableId="624389072">
    <w:abstractNumId w:val="12"/>
  </w:num>
  <w:num w:numId="45" w16cid:durableId="181939503">
    <w:abstractNumId w:val="11"/>
  </w:num>
  <w:num w:numId="46" w16cid:durableId="484442169">
    <w:abstractNumId w:val="13"/>
  </w:num>
  <w:num w:numId="47" w16cid:durableId="158161981">
    <w:abstractNumId w:val="14"/>
  </w:num>
  <w:num w:numId="48" w16cid:durableId="890921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EL"/>
    <w:docVar w:name="dvnumam" w:val="0"/>
    <w:docVar w:name="dvpe" w:val="778.327"/>
    <w:docVar w:name="dvrapporteur" w:val="Εισηγητής: "/>
    <w:docVar w:name="dvtitre" w:val="Ψήφισμα του Ευρωπαϊκού Κοινοβουλίου σχετικά με την επιλογή δεικτών επιδόσεων για τον λογιστικό και τον δημοσιονομικό έλεγχο στο πλαίσιο χρηματοδοτικών μέτρων για τη στήριξη της μελλοντικής ανταγωνιστικότητας της Ευρώπης(2025/2034(INI))"/>
  </w:docVars>
  <w:rsids>
    <w:rsidRoot w:val="00591125"/>
    <w:rsid w:val="00002272"/>
    <w:rsid w:val="00041629"/>
    <w:rsid w:val="00064002"/>
    <w:rsid w:val="000677B9"/>
    <w:rsid w:val="000831BA"/>
    <w:rsid w:val="000A42CC"/>
    <w:rsid w:val="000E7DD9"/>
    <w:rsid w:val="0010095E"/>
    <w:rsid w:val="00125B37"/>
    <w:rsid w:val="00187494"/>
    <w:rsid w:val="001F32AE"/>
    <w:rsid w:val="002767FF"/>
    <w:rsid w:val="002B18FE"/>
    <w:rsid w:val="002B5493"/>
    <w:rsid w:val="00332D18"/>
    <w:rsid w:val="00343214"/>
    <w:rsid w:val="00361C00"/>
    <w:rsid w:val="00395FA1"/>
    <w:rsid w:val="003B5A5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125"/>
    <w:rsid w:val="005C2568"/>
    <w:rsid w:val="005F1B17"/>
    <w:rsid w:val="006037C0"/>
    <w:rsid w:val="0063529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91F"/>
    <w:rsid w:val="008C2AC6"/>
    <w:rsid w:val="008D5999"/>
    <w:rsid w:val="00925CF9"/>
    <w:rsid w:val="00930C23"/>
    <w:rsid w:val="0093193B"/>
    <w:rsid w:val="009509D8"/>
    <w:rsid w:val="00950B64"/>
    <w:rsid w:val="00981893"/>
    <w:rsid w:val="00A1687D"/>
    <w:rsid w:val="00A43E52"/>
    <w:rsid w:val="00A4678D"/>
    <w:rsid w:val="00A778C7"/>
    <w:rsid w:val="00AB441E"/>
    <w:rsid w:val="00AB6293"/>
    <w:rsid w:val="00AD6794"/>
    <w:rsid w:val="00AE0928"/>
    <w:rsid w:val="00AF3B82"/>
    <w:rsid w:val="00B12E95"/>
    <w:rsid w:val="00B22876"/>
    <w:rsid w:val="00B558F0"/>
    <w:rsid w:val="00B577B8"/>
    <w:rsid w:val="00BD48FE"/>
    <w:rsid w:val="00BD7BD8"/>
    <w:rsid w:val="00BE6ADC"/>
    <w:rsid w:val="00C05BFE"/>
    <w:rsid w:val="00C23CD4"/>
    <w:rsid w:val="00C61C0C"/>
    <w:rsid w:val="00C86E08"/>
    <w:rsid w:val="00C941CB"/>
    <w:rsid w:val="00CC2357"/>
    <w:rsid w:val="00CF071A"/>
    <w:rsid w:val="00CF584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9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03640"/>
  <w15:chartTrackingRefBased/>
  <w15:docId w15:val="{F7690FAF-5E3A-421F-9A16-730ED4B6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6E08"/>
    <w:pPr>
      <w:widowControl/>
      <w:spacing w:after="240"/>
      <w:ind w:left="566" w:hanging="566"/>
    </w:pPr>
    <w:rPr>
      <w:szCs w:val="24"/>
      <w:lang w:eastAsia="en-US"/>
    </w:rPr>
  </w:style>
  <w:style w:type="paragraph" w:customStyle="1" w:styleId="Normal12">
    <w:name w:val="Normal12"/>
    <w:basedOn w:val="Normal"/>
    <w:rsid w:val="00C86E08"/>
    <w:pPr>
      <w:widowControl/>
      <w:spacing w:after="240"/>
    </w:pPr>
    <w:rPr>
      <w:szCs w:val="24"/>
      <w:lang w:eastAsia="en-US"/>
    </w:rPr>
  </w:style>
  <w:style w:type="paragraph" w:customStyle="1" w:styleId="NormalHanging">
    <w:name w:val="NormalHanging"/>
    <w:basedOn w:val="Normal"/>
    <w:rsid w:val="00C86E08"/>
    <w:pPr>
      <w:widowControl/>
      <w:spacing w:after="240"/>
      <w:ind w:left="566" w:hanging="566"/>
    </w:pPr>
    <w:rPr>
      <w:szCs w:val="24"/>
      <w:lang w:eastAsia="en-US"/>
    </w:rPr>
  </w:style>
  <w:style w:type="paragraph" w:customStyle="1" w:styleId="NormalBold12a">
    <w:name w:val="NormalBold12a"/>
    <w:basedOn w:val="Normal"/>
    <w:rsid w:val="00C86E08"/>
    <w:pPr>
      <w:widowControl/>
      <w:spacing w:after="240"/>
    </w:pPr>
    <w:rPr>
      <w:b/>
      <w:szCs w:val="24"/>
      <w:lang w:eastAsia="en-US"/>
    </w:rPr>
  </w:style>
  <w:style w:type="paragraph" w:customStyle="1" w:styleId="NormalCenter12a">
    <w:name w:val="NormalCenter12a"/>
    <w:basedOn w:val="Normal"/>
    <w:rsid w:val="00C86E08"/>
    <w:pPr>
      <w:widowControl/>
      <w:spacing w:after="240"/>
      <w:jc w:val="center"/>
    </w:pPr>
    <w:rPr>
      <w:szCs w:val="24"/>
      <w:lang w:eastAsia="en-US"/>
    </w:rPr>
  </w:style>
  <w:style w:type="character" w:styleId="Hyperlink">
    <w:name w:val="Hyperlink"/>
    <w:basedOn w:val="DefaultParagraphFont"/>
    <w:rsid w:val="00C86E08"/>
    <w:rPr>
      <w:color w:val="0000FF"/>
      <w:u w:val="single"/>
    </w:rPr>
  </w:style>
  <w:style w:type="character" w:customStyle="1" w:styleId="NormalHanging12aChar">
    <w:name w:val="NormalHanging12a Char"/>
    <w:basedOn w:val="DefaultParagraphFont"/>
    <w:link w:val="NormalHanging12a"/>
    <w:rsid w:val="00C86E08"/>
    <w:rPr>
      <w:sz w:val="24"/>
      <w:szCs w:val="24"/>
      <w:lang w:val="el-GR" w:eastAsia="en-US"/>
    </w:rPr>
  </w:style>
  <w:style w:type="paragraph" w:customStyle="1" w:styleId="StyleBoldItalicAfter12pt">
    <w:name w:val="Style Bold Italic After:  12 pt"/>
    <w:basedOn w:val="Normal"/>
    <w:rsid w:val="00C86E08"/>
    <w:pPr>
      <w:spacing w:after="240"/>
    </w:pPr>
    <w:rPr>
      <w:b/>
      <w:bCs/>
      <w:i/>
      <w:iCs/>
      <w:lang w:eastAsia="en-US"/>
    </w:rPr>
  </w:style>
  <w:style w:type="paragraph" w:styleId="ListParagraph">
    <w:name w:val="List Paragraph"/>
    <w:basedOn w:val="Normal"/>
    <w:uiPriority w:val="34"/>
    <w:qFormat/>
    <w:rsid w:val="008B491F"/>
    <w:pPr>
      <w:ind w:left="720"/>
      <w:contextualSpacing/>
    </w:pPr>
  </w:style>
  <w:style w:type="paragraph" w:styleId="Revision">
    <w:name w:val="Revision"/>
    <w:hidden/>
    <w:uiPriority w:val="99"/>
    <w:semiHidden/>
    <w:rsid w:val="008B491F"/>
    <w:rPr>
      <w:sz w:val="24"/>
      <w:lang w:val="el-GR"/>
    </w:rPr>
  </w:style>
  <w:style w:type="character" w:styleId="UnresolvedMention">
    <w:name w:val="Unresolved Mention"/>
    <w:basedOn w:val="DefaultParagraphFont"/>
    <w:uiPriority w:val="99"/>
    <w:semiHidden/>
    <w:unhideWhenUsed/>
    <w:rsid w:val="00AD6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5" Type="http://schemas.openxmlformats.org/officeDocument/2006/relationships/hyperlink" Target="http://data.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5506</Words>
  <Characters>34007</Characters>
  <Application>Microsoft Office Word</Application>
  <DocSecurity>0</DocSecurity>
  <Lines>283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2026-03-02T13:45:00Z</dcterms:created>
  <dcterms:modified xsi:type="dcterms:W3CDTF">2026-03-02T13:45:00Z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A10-0268/2025</vt:lpwstr>
  </property>
  <property fmtid="{D5CDD505-2E9C-101B-9397-08002B2CF9AE}" pid="4" name="&lt;Type&gt;">
    <vt:lpwstr>RR</vt:lpwstr>
  </property>
</Properties>
</file>