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03F7" w14:paraId="023FFC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C02F10" w14:textId="77777777" w:rsidR="00751A4A" w:rsidRPr="005803F7" w:rsidRDefault="00490832" w:rsidP="0010095E">
            <w:pPr>
              <w:pStyle w:val="EPName"/>
            </w:pPr>
            <w:r w:rsidRPr="005803F7">
              <w:t>Europski parlament</w:t>
            </w:r>
          </w:p>
          <w:p w14:paraId="49DA5F04" w14:textId="77777777" w:rsidR="00751A4A" w:rsidRPr="005803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03F7">
              <w:t>2024</w:t>
            </w:r>
            <w:r w:rsidR="00817416" w:rsidRPr="005803F7">
              <w:t>-202</w:t>
            </w:r>
            <w:r w:rsidRPr="005803F7">
              <w:t>9</w:t>
            </w:r>
          </w:p>
        </w:tc>
        <w:tc>
          <w:tcPr>
            <w:tcW w:w="2268" w:type="dxa"/>
            <w:shd w:val="clear" w:color="auto" w:fill="auto"/>
          </w:tcPr>
          <w:p w14:paraId="597BED00" w14:textId="77777777" w:rsidR="00751A4A" w:rsidRPr="005803F7" w:rsidRDefault="00187494" w:rsidP="0010095E">
            <w:pPr>
              <w:pStyle w:val="EPLogo"/>
            </w:pPr>
            <w:r w:rsidRPr="005803F7">
              <w:rPr>
                <w:noProof/>
                <w:lang w:eastAsia="ja-JP"/>
              </w:rPr>
              <w:drawing>
                <wp:inline distT="0" distB="0" distL="0" distR="0" wp14:anchorId="4F9E5DBA" wp14:editId="097E82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80251" w14:textId="77777777" w:rsidR="00D058B8" w:rsidRPr="005803F7" w:rsidRDefault="00D058B8" w:rsidP="004C5D52">
      <w:pPr>
        <w:pStyle w:val="LineTop"/>
      </w:pPr>
    </w:p>
    <w:p w14:paraId="58DDC9EC" w14:textId="77777777" w:rsidR="00680577" w:rsidRPr="005803F7" w:rsidRDefault="00490832" w:rsidP="00680577">
      <w:pPr>
        <w:pStyle w:val="EPBodyTA1"/>
      </w:pPr>
      <w:r w:rsidRPr="005803F7">
        <w:t>USVOJENI TEKSTOVI</w:t>
      </w:r>
    </w:p>
    <w:p w14:paraId="4F985440" w14:textId="77777777" w:rsidR="00D058B8" w:rsidRPr="005803F7" w:rsidRDefault="00D058B8" w:rsidP="00D058B8">
      <w:pPr>
        <w:pStyle w:val="LineBottom"/>
      </w:pPr>
    </w:p>
    <w:p w14:paraId="21E4FC36" w14:textId="1FF5D624" w:rsidR="00490832" w:rsidRPr="005803F7" w:rsidRDefault="00490832" w:rsidP="00490832">
      <w:pPr>
        <w:pStyle w:val="ATHeading1"/>
      </w:pPr>
      <w:bookmarkStart w:id="0" w:name="TANumber"/>
      <w:r w:rsidRPr="005803F7">
        <w:t>P10_TA(2026)00</w:t>
      </w:r>
      <w:r w:rsidR="009F125B">
        <w:t>21</w:t>
      </w:r>
      <w:bookmarkEnd w:id="0"/>
    </w:p>
    <w:p w14:paraId="68AC58BD" w14:textId="77777777" w:rsidR="00490832" w:rsidRPr="005803F7" w:rsidRDefault="00490832" w:rsidP="00490832">
      <w:pPr>
        <w:pStyle w:val="ATHeading2"/>
      </w:pPr>
      <w:bookmarkStart w:id="1" w:name="title"/>
      <w:r w:rsidRPr="005803F7">
        <w:t>Odabir pokazatelja uspješnosti za reviziju i proračunski nadzor u kontekstu financijskih mjera za potporu provedbi buduće europske konkurentnosti</w:t>
      </w:r>
      <w:bookmarkEnd w:id="1"/>
    </w:p>
    <w:p w14:paraId="36D5428C" w14:textId="77777777" w:rsidR="00490832" w:rsidRPr="005803F7" w:rsidRDefault="00490832" w:rsidP="00490832">
      <w:pPr>
        <w:rPr>
          <w:i/>
          <w:vanish/>
        </w:rPr>
      </w:pPr>
      <w:r w:rsidRPr="005803F7">
        <w:rPr>
          <w:i/>
        </w:rPr>
        <w:fldChar w:fldCharType="begin"/>
      </w:r>
      <w:r w:rsidRPr="005803F7">
        <w:rPr>
          <w:i/>
        </w:rPr>
        <w:instrText xml:space="preserve"> TC"(</w:instrText>
      </w:r>
      <w:bookmarkStart w:id="2" w:name="DocNumber"/>
      <w:r w:rsidRPr="005803F7">
        <w:rPr>
          <w:i/>
        </w:rPr>
        <w:instrText>A10-0268/2025</w:instrText>
      </w:r>
      <w:bookmarkEnd w:id="2"/>
      <w:r w:rsidRPr="005803F7">
        <w:rPr>
          <w:i/>
        </w:rPr>
        <w:instrText xml:space="preserve"> - Izvjestitelj: Olivier Chastel)"\l3 \n&gt; \* MERGEFORMAT </w:instrText>
      </w:r>
      <w:r w:rsidRPr="005803F7">
        <w:rPr>
          <w:i/>
        </w:rPr>
        <w:fldChar w:fldCharType="end"/>
      </w:r>
    </w:p>
    <w:p w14:paraId="2E66C050" w14:textId="77777777" w:rsidR="00490832" w:rsidRPr="005803F7" w:rsidRDefault="00490832" w:rsidP="00490832">
      <w:pPr>
        <w:rPr>
          <w:vanish/>
        </w:rPr>
      </w:pPr>
      <w:bookmarkStart w:id="3" w:name="Commission"/>
      <w:r w:rsidRPr="005803F7">
        <w:rPr>
          <w:vanish/>
        </w:rPr>
        <w:t>Odbor za proračunski nadzor</w:t>
      </w:r>
      <w:bookmarkEnd w:id="3"/>
    </w:p>
    <w:p w14:paraId="36EC9388" w14:textId="77777777" w:rsidR="00490832" w:rsidRPr="005803F7" w:rsidRDefault="00490832" w:rsidP="00490832">
      <w:pPr>
        <w:rPr>
          <w:vanish/>
        </w:rPr>
      </w:pPr>
      <w:bookmarkStart w:id="4" w:name="PE"/>
      <w:r w:rsidRPr="005803F7">
        <w:rPr>
          <w:vanish/>
        </w:rPr>
        <w:t>PE778.327</w:t>
      </w:r>
      <w:bookmarkEnd w:id="4"/>
    </w:p>
    <w:p w14:paraId="2CE49369" w14:textId="5CC4F084" w:rsidR="00490832" w:rsidRPr="005803F7" w:rsidRDefault="00490832" w:rsidP="00490832">
      <w:pPr>
        <w:pStyle w:val="ATHeading3"/>
      </w:pPr>
      <w:bookmarkStart w:id="5" w:name="Sujet"/>
      <w:r w:rsidRPr="005803F7">
        <w:t xml:space="preserve">Rezolucija Europskog parlamenta od </w:t>
      </w:r>
      <w:r w:rsidR="005803F7">
        <w:t>22</w:t>
      </w:r>
      <w:r w:rsidRPr="005803F7">
        <w:t xml:space="preserve">. </w:t>
      </w:r>
      <w:r w:rsidR="005803F7">
        <w:t xml:space="preserve">siječnja </w:t>
      </w:r>
      <w:r w:rsidRPr="005803F7">
        <w:t>2026. o odabiru pokazatelja uspješnosti za reviziju i proračunski nadzor u kontekstu financijskih mjera za potporu provedbi buduće europske konkurentnosti</w:t>
      </w:r>
      <w:bookmarkEnd w:id="5"/>
      <w:r w:rsidRPr="005803F7">
        <w:t xml:space="preserve"> </w:t>
      </w:r>
      <w:bookmarkStart w:id="6" w:name="References"/>
      <w:r w:rsidRPr="005803F7">
        <w:t>(2025/2034(INI))</w:t>
      </w:r>
      <w:bookmarkEnd w:id="6"/>
    </w:p>
    <w:p w14:paraId="67E4F6CD" w14:textId="77777777" w:rsidR="00440485" w:rsidRPr="005803F7" w:rsidRDefault="00440485" w:rsidP="005803F7">
      <w:pPr>
        <w:pStyle w:val="Normal12"/>
        <w:spacing w:before="360"/>
      </w:pPr>
      <w:r w:rsidRPr="005803F7">
        <w:rPr>
          <w:i/>
        </w:rPr>
        <w:t>Europski parlament</w:t>
      </w:r>
      <w:r w:rsidRPr="005803F7">
        <w:t>,</w:t>
      </w:r>
    </w:p>
    <w:p w14:paraId="55DD05BD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Ugovor o Europskoj uniji,</w:t>
      </w:r>
    </w:p>
    <w:p w14:paraId="1B3219C0" w14:textId="77777777" w:rsidR="00440485" w:rsidRPr="005803F7" w:rsidRDefault="00440485" w:rsidP="00440485">
      <w:pPr>
        <w:pStyle w:val="NormalHanging12a"/>
      </w:pPr>
      <w:r w:rsidRPr="005803F7">
        <w:t>–</w:t>
      </w:r>
      <w:r w:rsidRPr="005803F7">
        <w:tab/>
        <w:t>uzimajući u obzir Ugovor o funkcioniranju Europske unije (UFEU), a posebno njegov članak 318. i članak 322. stavak 1. točku (a),</w:t>
      </w:r>
    </w:p>
    <w:p w14:paraId="6C12986A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Uredbu Vijeća (EU, Euratom) 2020/2093 od 17. prosinca 2020. kojom se utvrđuje višegodišnji financijski okvir za razdoblje 2021. – 2027.</w:t>
      </w:r>
      <w:r w:rsidRPr="005803F7">
        <w:rPr>
          <w:rStyle w:val="FootnoteReference"/>
        </w:rPr>
        <w:footnoteReference w:id="1"/>
      </w:r>
      <w:r w:rsidRPr="005803F7">
        <w:t>,</w:t>
      </w:r>
    </w:p>
    <w:p w14:paraId="206E0728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Uredbu Vijeća (EU, Euratom) 2022/2496 od 15. prosinca 2022. o izmjeni Uredbe (EU, Euratom) 2020/2093 kojom se utvrđuje višegodišnji financijski okvir za razdoblje 2021. – 2027.</w:t>
      </w:r>
      <w:r w:rsidRPr="005803F7">
        <w:rPr>
          <w:rStyle w:val="FootnoteReference"/>
        </w:rPr>
        <w:footnoteReference w:id="2"/>
      </w:r>
      <w:r w:rsidRPr="005803F7">
        <w:t>,</w:t>
      </w:r>
    </w:p>
    <w:p w14:paraId="38154BB2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Uredbu Vijeća (EU, Euratom) 2024/765 od 29. veljače 2024. o izmjeni Uredbe (EU, Euratom) 2020/2093 kojom se utvrđuje višegodišnji financijski okvir za razdoblje 2021. – 2027.</w:t>
      </w:r>
      <w:r w:rsidRPr="005803F7">
        <w:rPr>
          <w:rStyle w:val="FootnoteReference"/>
        </w:rPr>
        <w:footnoteReference w:id="3"/>
      </w:r>
      <w:r w:rsidRPr="005803F7">
        <w:t>,</w:t>
      </w:r>
    </w:p>
    <w:p w14:paraId="2405AE0D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Međuinstitucijski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5803F7">
        <w:rPr>
          <w:rStyle w:val="FootnoteReference"/>
        </w:rPr>
        <w:footnoteReference w:id="4"/>
      </w:r>
      <w:r w:rsidRPr="005803F7">
        <w:t>,</w:t>
      </w:r>
    </w:p>
    <w:p w14:paraId="08F30005" w14:textId="7FFA541E" w:rsidR="00440485" w:rsidRPr="005803F7" w:rsidRDefault="00440485" w:rsidP="00440485">
      <w:pPr>
        <w:pStyle w:val="NormalHanging"/>
      </w:pPr>
      <w:r w:rsidRPr="005803F7">
        <w:lastRenderedPageBreak/>
        <w:t>–</w:t>
      </w:r>
      <w:r w:rsidRPr="005803F7">
        <w:tab/>
        <w:t>uzimajući u obzir komunikaciju Komisije od 8. lipnja 2021. o okviru uspješnosti proračuna EU-a u okviru VFO-a za razdoblje 2021. – 2027.(COM(202</w:t>
      </w:r>
      <w:r w:rsidR="000E00D3">
        <w:t>1</w:t>
      </w:r>
      <w:r w:rsidRPr="005803F7">
        <w:t>)03</w:t>
      </w:r>
      <w:r w:rsidR="00BC3FE9">
        <w:t>6</w:t>
      </w:r>
      <w:r w:rsidRPr="005803F7">
        <w:t>6) i prateći radni dokument službi Komisije (SWD(202</w:t>
      </w:r>
      <w:r w:rsidR="000E00D3">
        <w:t>1</w:t>
      </w:r>
      <w:r w:rsidRPr="005803F7">
        <w:t>)0</w:t>
      </w:r>
      <w:r w:rsidR="000E00D3">
        <w:t>133</w:t>
      </w:r>
      <w:r w:rsidRPr="005803F7">
        <w:t>),</w:t>
      </w:r>
    </w:p>
    <w:p w14:paraId="6D546461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Komisijin Prijedlog uredbe Vijeća o utvrđivanju višegodišnjeg financijskog okvira za razdoblje 2028. – 2034. od 16. srpnja 2025. (COM(2025)0571),</w:t>
      </w:r>
    </w:p>
    <w:p w14:paraId="599BCFA7" w14:textId="1314D260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Komisijin Prijedlog uredbe Europskog parlamenta i Vijeća od 16. srpnja 2025. o uspostavi okvira za praćenje proračunskih rashoda i uspješnost te drugih horizontalnih pravila za programe i aktivnosti Unije (COM</w:t>
      </w:r>
      <w:r w:rsidR="000E00D3">
        <w:t>(</w:t>
      </w:r>
      <w:r w:rsidRPr="005803F7">
        <w:t>2025</w:t>
      </w:r>
      <w:r w:rsidR="000E00D3">
        <w:t>)</w:t>
      </w:r>
      <w:r w:rsidRPr="005803F7">
        <w:t>0545) i popratno izvješće o procjeni učinka (SWD(2025)0590),</w:t>
      </w:r>
    </w:p>
    <w:p w14:paraId="497A2198" w14:textId="3D1853B5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Komisijin Prijedlog uredbe Europskog parlamenta i Vijeća</w:t>
      </w:r>
      <w:r w:rsidR="000E00D3">
        <w:t xml:space="preserve"> od 16. srpnja 2025.</w:t>
      </w:r>
      <w:r w:rsidRPr="005803F7">
        <w:t xml:space="preserve"> o uspostavi Europskog fonda za konkurentnost („EFK”), uključujući posebni program za aktivnosti istraživanja i inovacija u području obrane i stavljanju izvan snage uredaba (EU) 2021/522, (EU) 2021/694, (EU) 2021/697, (EU) 2021/783, stavljanju izvan snage odredaba uredaba (EU) 2021/696 i (EU) 2023/588 i o izmjeni Uredbe (EU) [EDIP], (COM(2025)0555),</w:t>
      </w:r>
    </w:p>
    <w:p w14:paraId="6D679B95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Uredbu (EU, Euratom) 2024/2509 Europskog parlamenta i Vijeća od 23. rujna 2024. o financijskim pravilima koja se primjenjuju na opći proračun Unije</w:t>
      </w:r>
      <w:r w:rsidRPr="005803F7">
        <w:rPr>
          <w:rStyle w:val="FootnoteReference"/>
        </w:rPr>
        <w:footnoteReference w:id="5"/>
      </w:r>
      <w:r w:rsidRPr="005803F7">
        <w:t xml:space="preserve"> (Financijska uredba), a posebno njezin članak 33.,</w:t>
      </w:r>
    </w:p>
    <w:p w14:paraId="3AC89B64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publikaciju predsjednice Komisije Ursule von der Leyen od 18. srpnja 2024. naslovljenu „Izbor za Europu: Političke smjernice za sljedeću Europsku komisiju 2024. – 2029.”,</w:t>
      </w:r>
    </w:p>
    <w:p w14:paraId="3CFE1356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izvješće Marija Draghija od 9. rujna 2024. naslovljeno „Budućnost europske konkurentnosti” (Draghijevo izvješće),</w:t>
      </w:r>
    </w:p>
    <w:p w14:paraId="7A389312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izvješće Enrica Lette od 17. travnja 2024. naslovljeno „Više od tržišta” (Lettino izvješće),</w:t>
      </w:r>
    </w:p>
    <w:p w14:paraId="676F08A8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komunikaciju Komisije od 29. siječnja 2025. naslovljenu „Kompas konkurentnosti za EU” (COM(2025)0030),</w:t>
      </w:r>
    </w:p>
    <w:p w14:paraId="29ABFD42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komunikaciju Komisije od 11. veljače 2025. naslovljenu „Put prema sljedećem višegodišnjem financijskom okviru” (COM(2025)0046),</w:t>
      </w:r>
    </w:p>
    <w:p w14:paraId="461F99DA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svoju rezoluciju od 7. svibnja 2025. o unaprijeđenom dugoročnom proračunu Unije u svijetu koji se mijenja</w:t>
      </w:r>
      <w:r w:rsidRPr="005803F7">
        <w:rPr>
          <w:rStyle w:val="FootnoteReference"/>
        </w:rPr>
        <w:footnoteReference w:id="6"/>
      </w:r>
      <w:r w:rsidRPr="005803F7">
        <w:t>,</w:t>
      </w:r>
    </w:p>
    <w:p w14:paraId="455E27F9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publikacije Europskog revizorskog suda,</w:t>
      </w:r>
    </w:p>
    <w:p w14:paraId="483044E3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studiju koju je zatražio njegov Odbor za proračune naslovljenu „Okvir uspješnosti za proračun EU-a – koncepti i prakse”, objavljenu u ožujku 2024.</w:t>
      </w:r>
      <w:r w:rsidRPr="005803F7">
        <w:rPr>
          <w:rStyle w:val="FootnoteReference"/>
        </w:rPr>
        <w:footnoteReference w:id="7"/>
      </w:r>
      <w:r w:rsidRPr="005803F7">
        <w:t>,</w:t>
      </w:r>
    </w:p>
    <w:p w14:paraId="7ECF929A" w14:textId="77777777" w:rsidR="00440485" w:rsidRPr="005803F7" w:rsidRDefault="00440485" w:rsidP="00440485">
      <w:pPr>
        <w:pStyle w:val="NormalHanging"/>
      </w:pPr>
      <w:r w:rsidRPr="005803F7">
        <w:lastRenderedPageBreak/>
        <w:t>–</w:t>
      </w:r>
      <w:r w:rsidRPr="005803F7">
        <w:tab/>
        <w:t>uzimajući u obzir članak 55. Poslovnika,</w:t>
      </w:r>
    </w:p>
    <w:p w14:paraId="7C380B7D" w14:textId="77777777" w:rsidR="00440485" w:rsidRPr="005803F7" w:rsidRDefault="00440485" w:rsidP="00440485">
      <w:pPr>
        <w:pStyle w:val="NormalHanging"/>
      </w:pPr>
      <w:r w:rsidRPr="005803F7">
        <w:t>–</w:t>
      </w:r>
      <w:r w:rsidRPr="005803F7">
        <w:tab/>
        <w:t>uzimajući u obzir izvješće Odbora za proračunski nadzor (A10</w:t>
      </w:r>
      <w:r w:rsidRPr="005803F7">
        <w:noBreakHyphen/>
        <w:t>0268/2025),</w:t>
      </w:r>
    </w:p>
    <w:p w14:paraId="0D1DA9D5" w14:textId="77777777" w:rsidR="00440485" w:rsidRPr="005803F7" w:rsidRDefault="00440485" w:rsidP="00440485">
      <w:pPr>
        <w:pStyle w:val="NormalHanging"/>
      </w:pPr>
      <w:r w:rsidRPr="005803F7">
        <w:t>A.</w:t>
      </w:r>
      <w:r w:rsidRPr="005803F7">
        <w:tab/>
        <w:t>budući da dobro financijsko upravljanje, kako je definirano u Financijskoj uredbi, znači da se fondovi EU-a moraju provoditi u skladu s načelima ekonomičnosti, učinkovitosti i djelotvornosti; budući da bi koncept uspješnosti u proračunskom kontekstu trebalo povezati s izravnom primjenom načela dobrog financijskog upravljanja.</w:t>
      </w:r>
    </w:p>
    <w:p w14:paraId="460907C0" w14:textId="77777777" w:rsidR="00440485" w:rsidRPr="005803F7" w:rsidRDefault="00440485" w:rsidP="00440485">
      <w:pPr>
        <w:pStyle w:val="NormalHanging12a"/>
        <w:rPr>
          <w:bCs/>
          <w:iCs/>
        </w:rPr>
      </w:pPr>
      <w:r w:rsidRPr="005803F7">
        <w:t>B.</w:t>
      </w:r>
      <w:r w:rsidRPr="005803F7">
        <w:tab/>
        <w:t>budući da se člankom 318. UFEU-a od Komisije zahtijeva da Parlamentu i Vijeću svake godine podnosi financijske izvještaje za prethodnu financijsku godinu koji se odnose na izvršenje proračuna i izvješće o ocjeni financija Unije na temelju postignutih rezultata; budući da bi, nadalje, u skladu s člankom 322. UFEU-a trebalo donijeti financijska pravila kojima se određuje postupak za izvršenje proračuna te za prikazivanje i reviziju računovodstvene dokumentacije; budući da upotreba odgovarajućih, pouzdanih i transparentnih pokazatelja za mjerenje postizanja rezultata i za potrebe revizije može poboljšati evaluaciju izvršenja proračuna i usporedbu koju Parlament i Vijeće provode svake godine;</w:t>
      </w:r>
    </w:p>
    <w:p w14:paraId="637B3381" w14:textId="77777777" w:rsidR="00440485" w:rsidRPr="005803F7" w:rsidRDefault="00440485" w:rsidP="00440485">
      <w:pPr>
        <w:pStyle w:val="NormalHanging12a"/>
      </w:pPr>
      <w:r w:rsidRPr="005803F7">
        <w:t>C.</w:t>
      </w:r>
      <w:r w:rsidRPr="005803F7">
        <w:tab/>
        <w:t>budući da bi u skladu s Financijskom uredbom trebalo uspostaviti vezu između postavljenih ciljeva i pokazatelja uspješnosti, rezultata i načela ekonomičnosti, učinkovitosti i djelotvornosti; budući da je preinakom Financijske uredbe iz 2024. ojačana pravna osnova okvira uspješnosti i potvrđeno da bi napredak u postizanju ciljeva trebalo pratiti s pomoću pokazatelja uspješnosti koji ispunjavaju kriterije RACER (relevantni, prihvaćeni, vjerodostojni, jednostavni, pouzdani), koji se temelje na općepriznatim znanstvenim dokazima, imaju jasne definicije i dostupni su u otvorenom, strojno čitljivom formatu; budući da bi, prema potrebi, te pokazatelje trebalo raščlaniti po spolu i objediniti; budući da bi, prema potrebi, trebalo definirati učinkovitu, transparentnu i sveobuhvatnu metodologiju;</w:t>
      </w:r>
    </w:p>
    <w:p w14:paraId="0873C524" w14:textId="77777777" w:rsidR="00440485" w:rsidRPr="005803F7" w:rsidRDefault="00440485" w:rsidP="00440485">
      <w:pPr>
        <w:pStyle w:val="NormalHanging12a"/>
        <w:rPr>
          <w:bCs/>
          <w:iCs/>
        </w:rPr>
      </w:pPr>
      <w:r w:rsidRPr="005803F7">
        <w:t>D.</w:t>
      </w:r>
      <w:r w:rsidRPr="005803F7">
        <w:tab/>
        <w:t>budući da se Komisijinim Prijedlogom uredbe o uspostavi okvira za praćenje proračunskih rashoda i uspješnosti uspostavlja jedinstveni okvir za izradu proračuna na temelju uspješnosti; budući da se u prijedlogu „pokazatelj ostvarenja” definira kao kvantitativni pokazatelj uspješnosti kojim se prati ono što se izravno proizvodi ili podupire provedbom aktivnosti, a „pokazatelj rezultata” kao kvantitativni pokazatelj uspješnosti kojim se prate izravni učinci podupiranih aktivnosti; budući da se „pokazatelji učinka” obično upotrebljavaju za mjerenje trendova u dugoročnim ciljevima obuhvaćenima intervencijom; budući da se „pokazatelji uloženih resursa” obično upotrebljavaju za mjerenje financijskih, ljudskih, materijalnih, administrativnih ili regulatornih resursa koji se upotrebljavaju za provedbu intervencije;</w:t>
      </w:r>
    </w:p>
    <w:p w14:paraId="5C5EB16C" w14:textId="77777777" w:rsidR="00440485" w:rsidRPr="005803F7" w:rsidRDefault="00440485" w:rsidP="00440485">
      <w:pPr>
        <w:pStyle w:val="NormalHanging12a"/>
      </w:pPr>
      <w:r w:rsidRPr="005803F7">
        <w:t>E.</w:t>
      </w:r>
      <w:r w:rsidRPr="005803F7">
        <w:tab/>
        <w:t>budući da su osiguravanje održivog blagostanja i konkurentnosti EU-a, promicanje socijalne pravednosti i jačanje regionalne kohezije dio političkih prioriteta Komisije za razdoblje 2024. – 2029.; budući da je potrebno privući i mobilizirati privatna ulaganja kako bi se ti ciljevi učinkovito ostvarili, a dovršetak bankovne unije i razvoj unije štednje i ulaganja bit će ključni u tu svrhu;</w:t>
      </w:r>
    </w:p>
    <w:p w14:paraId="37C950AE" w14:textId="77777777" w:rsidR="00440485" w:rsidRPr="005803F7" w:rsidRDefault="00440485" w:rsidP="00440485">
      <w:pPr>
        <w:pStyle w:val="NormalHanging"/>
      </w:pPr>
      <w:r w:rsidRPr="005803F7">
        <w:t>F.</w:t>
      </w:r>
      <w:r w:rsidRPr="005803F7">
        <w:tab/>
        <w:t xml:space="preserve">budući da se u Draghijevu izvješću upozorava da smanjenje konkurentnosti EU-a, pogoršano sve nestabilnijim geopolitičkim okruženjem, zajedno s nizom kriza s kojima se suočava posljednjih godina, predstavlja egzistencijalnu prijetnju Uniji; budući da se u izvješću procjenjuje da EU treba mobilizirati dodatna javna i privatna ulaganja u iznosu </w:t>
      </w:r>
      <w:r w:rsidRPr="005803F7">
        <w:lastRenderedPageBreak/>
        <w:t>od 4,4 – 4,7 % BDP-a EU-a, odnosno oko 750 – 800 milijardi EUR godišnje u razdoblju od 2025. do 2030., kako bi se premostio investicijski jaz;</w:t>
      </w:r>
    </w:p>
    <w:p w14:paraId="4128F1E3" w14:textId="77777777" w:rsidR="00440485" w:rsidRPr="005803F7" w:rsidRDefault="00440485" w:rsidP="00440485">
      <w:pPr>
        <w:pStyle w:val="NormalHanging"/>
      </w:pPr>
      <w:r w:rsidRPr="005803F7">
        <w:t>G.</w:t>
      </w:r>
      <w:r w:rsidRPr="005803F7">
        <w:tab/>
        <w:t>budući da se u Kompasu za konkurentnost, koji se također nadovezuje na Draghijevo izvješće, utvrđuje strateški put Unije prema ponovnoj globalnoj konkurentnosti usmjeravanjem na tri središnja stupa – inovacije, dekarbonizaciju i gospodarsku sigurnost – dopunjena horizontalnim pospješujućim čimbenicima kao što su pojednostavnjenje, povećana koordinacija na razini EU-a i država članica te ojačano jedinstveno tržište, u skladu s izvješćem Lette;</w:t>
      </w:r>
    </w:p>
    <w:p w14:paraId="5AD460AA" w14:textId="77777777" w:rsidR="00440485" w:rsidRPr="005803F7" w:rsidRDefault="00440485" w:rsidP="00440485">
      <w:pPr>
        <w:pStyle w:val="NormalHanging12a"/>
      </w:pPr>
      <w:r w:rsidRPr="005803F7">
        <w:t>H.</w:t>
      </w:r>
      <w:r w:rsidRPr="005803F7">
        <w:tab/>
        <w:t>budući da je Revizorski sud u više navrata utvrdio nedostatke u osmišljavanju, provedbi i odgovornosti sustava za mjerenje uspješnosti koji se upotrebljavaju za programe financiranja EU-a te je pozvao na povećanu upotrebu pokazatelja uspješnosti kojima se mjere i prate dugoročniji učinci potrošnje EU-a; budući da je jamčenje pouzdanosti informacija o uspješnosti neophodno za zaštitu financijskih interesa Unije i jačanje povjerenja javnosti u proračun EU-a;</w:t>
      </w:r>
    </w:p>
    <w:p w14:paraId="208D3360" w14:textId="77777777" w:rsidR="00440485" w:rsidRPr="005803F7" w:rsidRDefault="00440485" w:rsidP="00440485">
      <w:pPr>
        <w:pStyle w:val="NormalHanging12a"/>
        <w:rPr>
          <w:bCs/>
          <w:iCs/>
        </w:rPr>
      </w:pPr>
      <w:r w:rsidRPr="005803F7">
        <w:t>I.</w:t>
      </w:r>
      <w:r w:rsidRPr="005803F7">
        <w:tab/>
        <w:t>budući da su potrebne odlučne mjere za povećanje konkurentnosti Europe kako bi se poduprle više razine produktivnosti, zapošljavanja i blagostanja; budući da je integrirano jedinstveno tržište i dalje okosnica gospodarske snage EU-a i temelj njegova dugoročnog blagostanja; budući da su inovacije, razvoj vještina i slobodno kretanje robe, usluga, kapitala i radne snage ključni pokretači konkurentnosti i rasta;</w:t>
      </w:r>
    </w:p>
    <w:p w14:paraId="63F8A6A4" w14:textId="77777777" w:rsidR="00440485" w:rsidRPr="005803F7" w:rsidRDefault="00440485" w:rsidP="00440485">
      <w:pPr>
        <w:pStyle w:val="StyleBoldItalicAfter12pt"/>
      </w:pPr>
      <w:r w:rsidRPr="005803F7">
        <w:t>Opće napomene o okviru uspješnosti proračuna EU-a i upotrebi pokazatelja uspješnosti</w:t>
      </w:r>
    </w:p>
    <w:p w14:paraId="551DC754" w14:textId="77777777" w:rsidR="00440485" w:rsidRPr="005803F7" w:rsidRDefault="00440485" w:rsidP="00440485">
      <w:pPr>
        <w:pStyle w:val="NormalHanging12a"/>
      </w:pPr>
      <w:r w:rsidRPr="005803F7">
        <w:t>1.</w:t>
      </w:r>
      <w:r w:rsidRPr="005803F7">
        <w:tab/>
        <w:t>podsjeća da je potrebno osigurati da se proračunom EU-a ostvaruju politički prioriteti EU-a, uključujući poticanje konkurentnosti, poticanje održivog i uključivog blagostanja te osiguravanje suvereniteta i neovisnosti EU-a kao geopolitičkog aktera; naglašava da su regulatorne promjene jednako važne kao i mjere financiranja za postizanje tih ciljeva; naglašava da bi se potrošnjom EU-a trebali postići konkretni rezultati u skladu s načelima dobrog financijskog upravljanja te da bi se ona trebala ulagati u područja u kojima zajedničko djelovanje EU-a ima veći učinak i dodanu vrijednost od nacionalnih ili podnacionalnih mjera politike;</w:t>
      </w:r>
    </w:p>
    <w:p w14:paraId="7274D4FA" w14:textId="799E16EF" w:rsidR="00440485" w:rsidRPr="005803F7" w:rsidRDefault="00440485" w:rsidP="00440485">
      <w:pPr>
        <w:pStyle w:val="NormalHanging12a"/>
      </w:pPr>
      <w:r w:rsidRPr="005803F7">
        <w:t xml:space="preserve">2. </w:t>
      </w:r>
      <w:r w:rsidRPr="005803F7">
        <w:tab/>
        <w:t xml:space="preserve">naglašava da mjere za povećanje konkurentnosti </w:t>
      </w:r>
      <w:r w:rsidR="0034622F" w:rsidRPr="00045532">
        <w:rPr>
          <w:bCs/>
          <w:iCs/>
        </w:rPr>
        <w:t>mogu doprinijeti široj društvenoj koristi, pod uvjetom da te mjere ostanu usmjerene na produktivnost, rast i otvaranje radnih mjesta</w:t>
      </w:r>
      <w:r w:rsidRPr="005803F7">
        <w:t xml:space="preserve">; ustraje u tome da bi svaki sveobuhvatni okvir uspješnosti za proračun EU-a </w:t>
      </w:r>
      <w:r w:rsidR="0034622F">
        <w:t xml:space="preserve">prvenstveno </w:t>
      </w:r>
      <w:r w:rsidRPr="005803F7">
        <w:t xml:space="preserve">trebao pružiti gospodarske rezultate </w:t>
      </w:r>
      <w:r w:rsidR="0034622F" w:rsidRPr="0034622F">
        <w:t xml:space="preserve">i </w:t>
      </w:r>
      <w:r w:rsidR="0034622F" w:rsidRPr="00045532">
        <w:rPr>
          <w:bCs/>
          <w:iCs/>
        </w:rPr>
        <w:t>mjerljive</w:t>
      </w:r>
      <w:r w:rsidR="0034622F" w:rsidRPr="0034622F">
        <w:rPr>
          <w:bCs/>
          <w:iCs/>
        </w:rPr>
        <w:t xml:space="preserve"> rezultate </w:t>
      </w:r>
      <w:r w:rsidR="0034622F" w:rsidRPr="00045532">
        <w:rPr>
          <w:bCs/>
          <w:iCs/>
        </w:rPr>
        <w:t>politika, uzimajući u obzir, prema potrebi, šire društvene učinke, a da se pritom ne ugrožavaju načela učinkovitosti i djelotvornosti</w:t>
      </w:r>
      <w:r w:rsidRPr="005803F7">
        <w:t>;</w:t>
      </w:r>
    </w:p>
    <w:p w14:paraId="071B7781" w14:textId="77777777" w:rsidR="00440485" w:rsidRPr="005803F7" w:rsidRDefault="00440485" w:rsidP="00440485">
      <w:pPr>
        <w:pStyle w:val="NormalHanging12a"/>
      </w:pPr>
      <w:r w:rsidRPr="005803F7">
        <w:t>3.</w:t>
      </w:r>
      <w:r w:rsidRPr="005803F7">
        <w:tab/>
        <w:t xml:space="preserve">smatra da je nužno da se proračun EU-a više usmjeri na rezultate i da se svakim potrošenim eurom ostvari mjerljiva vrijednost za građane i poduzeća; ponovno potvrđuje potrebu za utvrđivanjem i upotrebom konkretnih, mjerljivih, ostvarivih, relevantnih i vremenski ograničenih (SMART) pokazatelja uspješnosti kako bi se pratio i ocijenio napredak u postizanju ciljeva politike EU-a i osiguralo učinkovito, djelotvorno i održivo trošenje sredstava EU-a; smatra da su sve vrste pokazatelja ključne za procjenu uspješnosti programa te bi stoga trebalo težiti ravnoteži između pokazatelja uloženih sredstava, ostvarenja, rezultata i učinka; ističe da pokazatelji uspješnosti moraju biti izričito izvedeni iz ciljeva svakog programa; naglašava da bi pri odabiru odgovarajućih pokazatelja također trebalo uzeti u obzir povezano </w:t>
      </w:r>
      <w:r w:rsidRPr="005803F7">
        <w:lastRenderedPageBreak/>
        <w:t>administrativno opterećenje, trošak prikupljanja podataka te usporedivost i agregativnost;</w:t>
      </w:r>
    </w:p>
    <w:p w14:paraId="43C44CEE" w14:textId="77777777" w:rsidR="00440485" w:rsidRPr="005803F7" w:rsidRDefault="00440485" w:rsidP="00440485">
      <w:pPr>
        <w:pStyle w:val="NormalHanging12a"/>
      </w:pPr>
      <w:r w:rsidRPr="005803F7">
        <w:t>4.</w:t>
      </w:r>
      <w:r w:rsidRPr="005803F7">
        <w:tab/>
        <w:t>sa zabrinutošću napominje da je Revizorski sud u svojim revizijama u više navrata utvrdio da su većina pokazatelja uspješnosti koji se upotrebljavaju za programe financiranja EU-a pokazatelji uloženih sredstava i ostvarenja koji ne pružaju relevantne informacije o napretku u postizanju ciljeva mjera koje financira EU; žali zbog toga što je u mnogim slučajevima utvrđeno da nedostaju referentni podaci za pokazatelje te da temeljni podaci koji se upotrebljavaju za pokazatelje nisu bili ni sljedivi ni pouzdani; zabrinut je zbog toga što se definicije pokazatelja uspješnosti razlikuju među programima financiranja; poziva Komisiju i države članice da osiguraju da pokazatelji koji se upotrebljavaju za projekte koje financira EU budu mjerljivi, provjerljivi i utemeljeni na pouzdanim izvorima podataka kojima se osigurava sljedivost temeljnih podataka sve do razine ugovora i razine krajnjih korisnika, s jasnim polaznim vrijednostima i definicijama kako bi se spriječila različita tumačenja;</w:t>
      </w:r>
    </w:p>
    <w:p w14:paraId="5CC821B9" w14:textId="77777777" w:rsidR="00440485" w:rsidRPr="005803F7" w:rsidRDefault="00440485" w:rsidP="00440485">
      <w:pPr>
        <w:pStyle w:val="NormalHanging12a"/>
      </w:pPr>
      <w:r w:rsidRPr="005803F7">
        <w:t>5.</w:t>
      </w:r>
      <w:r w:rsidRPr="005803F7">
        <w:tab/>
        <w:t>žali zbog činjenice da je okvir uspješnosti proračuna EU-a za razdoblje 2021. – 2027. i dalje pretjerano složen i rascjepkan; sa žaljenjem prima na znanje procjenu</w:t>
      </w:r>
      <w:r w:rsidRPr="005803F7">
        <w:rPr>
          <w:rStyle w:val="FootnoteReference"/>
        </w:rPr>
        <w:footnoteReference w:id="8"/>
      </w:r>
      <w:r w:rsidRPr="005803F7">
        <w:t xml:space="preserve"> Komisije da se u višegodišnjem financijskom okviru (VFO) za razdoblje 2021. – 2027. upotrebljava više od 5 000 heterogenih, neobjedinjenih pokazatelja uspješnosti, što otežava sveobuhvatnu evaluaciju učinkovitosti potrošnje EU-a u svim instrumentima financiranja, te da je u okviru Mehanizma za oporavak i otpornost utvrđeno oko 7 000 ključnih etapa i ciljnih vrijednosti kojima se rješavaju različite potrebe, kao što su procjena uspješnosti u kontekstu nacrta proračuna te praćenje i evaluacija programa, planova država članica i isplata sredstava;</w:t>
      </w:r>
    </w:p>
    <w:p w14:paraId="04C29931" w14:textId="77777777" w:rsidR="00440485" w:rsidRPr="005803F7" w:rsidRDefault="00440485" w:rsidP="00440485">
      <w:pPr>
        <w:pStyle w:val="NormalHanging12a"/>
      </w:pPr>
      <w:r w:rsidRPr="005803F7">
        <w:t xml:space="preserve">6. </w:t>
      </w:r>
      <w:r w:rsidRPr="005803F7">
        <w:tab/>
        <w:t>posebno naglašava da se strukturom Mehanizma za oporavak i otpornost ne osigurava dostatna sljedivost, transparentnost i mogućnost revizije upotrebe sredstava EU-a ili usporedivost rezultata s rezultatima drugih instrumenata potrošnje EU-a; poziva Komisiju da uspostavi sveobuhvatniji, usklađeniji, transparentniji i provjerljiviji okvir pokazatelja uspješnosti za buduće instrumente kako bi se osiguralo da Parlament i Revizorski sud mogu u potpunosti izvršavati svoje nadzorne odgovornosti; poziva Komisiju da analizira provedbu instrumenata koji se temelje na uspješnosti u drugim zemljama i regionalnim kontekstima te da utvrdi stečena iskustva;</w:t>
      </w:r>
    </w:p>
    <w:p w14:paraId="387B9E41" w14:textId="77777777" w:rsidR="00440485" w:rsidRPr="005803F7" w:rsidRDefault="00440485" w:rsidP="00440485">
      <w:pPr>
        <w:pStyle w:val="NormalHanging12a"/>
      </w:pPr>
      <w:r w:rsidRPr="005803F7">
        <w:t>7.</w:t>
      </w:r>
      <w:r w:rsidRPr="005803F7">
        <w:tab/>
        <w:t>prima na znanje prijedlog Komisije da se VFO za razdoblje 2028. – 2034., uključujući Europski fond za konkurentnost, prati standardiziranim skupom pokazatelja uspješnosti koji se primjenjuju na sve proračunske programe EU-a, kako je utvrđeno u njezinu prijedlogu uredbe o uspješnosti</w:t>
      </w:r>
      <w:r w:rsidRPr="005803F7">
        <w:rPr>
          <w:rStyle w:val="FootnoteReference"/>
        </w:rPr>
        <w:footnoteReference w:id="9"/>
      </w:r>
      <w:r w:rsidRPr="005803F7">
        <w:t>; napominje da je predložena pojednostavljena primjena okvira uspješnosti za proračunska jamstva i financijske instrumente u okviru Europskog fonda za konkurentnost;</w:t>
      </w:r>
    </w:p>
    <w:p w14:paraId="7972F8F4" w14:textId="77777777" w:rsidR="00440485" w:rsidRPr="005803F7" w:rsidRDefault="00440485" w:rsidP="00440485">
      <w:pPr>
        <w:pStyle w:val="NormalHanging12a"/>
      </w:pPr>
      <w:r w:rsidRPr="005803F7">
        <w:t xml:space="preserve">8. </w:t>
      </w:r>
      <w:r w:rsidRPr="005803F7">
        <w:tab/>
        <w:t xml:space="preserve">smatra da bi okvir uspješnosti za proračun EU-a trebalo pojednostavniti kako bi se osigurao usklađen i proporcionalan pristup točnom mjerenju učinaka potrošnje EU-a u državama članicama, racionalizirali ukupno administrativno opterećenje i obveze izvješćivanja, posebno za mala i srednja poduzeća (MSP-ovi) i lokalne vlasti, te povećala transparentnost smanjenjem preopterećenosti informacijama, istodobno </w:t>
      </w:r>
      <w:r w:rsidRPr="005803F7">
        <w:lastRenderedPageBreak/>
        <w:t>omogućujući da se učinci financiranja EU-a obuhvate u potpunosti, uključujući dodanu vrijednost intervencija EU-a koje države članice ne bi mogle ostvariti samostalnim djelovanjem; poziva Komisiju da racionalizira pokazatelje, pojednostavi predloške, izbjegne dvostruke zahtjeve za podatke i primijeni načelo „samo jednom”;</w:t>
      </w:r>
    </w:p>
    <w:p w14:paraId="4AC5A492" w14:textId="77777777" w:rsidR="00440485" w:rsidRPr="005803F7" w:rsidRDefault="00440485" w:rsidP="00440485">
      <w:pPr>
        <w:pStyle w:val="NormalHanging12a"/>
      </w:pPr>
      <w:r w:rsidRPr="005803F7">
        <w:t>9.</w:t>
      </w:r>
      <w:r w:rsidRPr="005803F7">
        <w:tab/>
        <w:t>smatra da se učinak najbolje može procijeniti evaluacijama; naglašava da Europski fond za konkurentnost i svi budući instrumenti moraju uključivati evaluacije Komisije u sredini programskog razdoblja; poziva Komisiju da osigura da se korektivne mjere, uključujući one koje je Europski revizorski sud preporučio nakon svojih revizija, uvedu bez odgode ako rezultati ne ispunjavaju ciljeve;</w:t>
      </w:r>
    </w:p>
    <w:p w14:paraId="1B475FAA" w14:textId="77777777" w:rsidR="00440485" w:rsidRPr="005803F7" w:rsidRDefault="00440485" w:rsidP="00440485">
      <w:pPr>
        <w:pStyle w:val="NormalHanging12a"/>
      </w:pPr>
      <w:r w:rsidRPr="005803F7">
        <w:t xml:space="preserve">10. </w:t>
      </w:r>
      <w:r w:rsidRPr="005803F7">
        <w:tab/>
        <w:t>naglašava da pojednostavnjenje ne bi trebalo biti nauštrb transparentnosti, odgovornosti i mogućnosti revizije, već bi trebalo pomoći u racionalizaciji izvješćivanja i učiniti informacije o uspješnosti financiranja EU-a dostupnijima i korisnijima; nadalje ističe da bi smanjenje broja pokazatelja trebalo biti popraćeno analizom troškova i koristi te rizika; ističe potrebu za jasnijim poveznicama između potrošnje i mjerljivih rezultata politika;</w:t>
      </w:r>
    </w:p>
    <w:p w14:paraId="1C2DC272" w14:textId="77777777" w:rsidR="00440485" w:rsidRPr="005803F7" w:rsidRDefault="00440485" w:rsidP="00440485">
      <w:pPr>
        <w:pStyle w:val="NormalHanging12a"/>
      </w:pPr>
      <w:r w:rsidRPr="005803F7">
        <w:t>11.</w:t>
      </w:r>
      <w:r w:rsidRPr="005803F7">
        <w:tab/>
        <w:t>podsjeća da se pristupi prikupljanju podataka razlikuju među državama članicama i unutar njih, zbog čega je teško objediniti i usporediti podatke o uspješnosti na razini EU-a; ponavlja svoj poziv Komisiji da razvije sigurnu i interoperabilnu informatičku infrastrukturu i istodobno iskoristi kapacitete umjetne inteligencije, strojnog učenja i rudarenja podataka kako bi se poboljšala provedba politika i olakšalo praćenje, izvješćivanje i nadzor; naglašava da upotreba umjetne inteligencije u praćenju i obradi podataka mora biti popraćena snažnim ljudskim nadzorom i uređena etičkim načelima kako bi se spriječila zlouporaba i algoritamska diskriminacija ili pristranost te osigurala transparentnost i odgovornost, uz istodobno jamčenje zaštite podataka i potpunog poštovanja temeljnih prava;</w:t>
      </w:r>
    </w:p>
    <w:p w14:paraId="2289400B" w14:textId="77175164" w:rsidR="00440485" w:rsidRPr="005803F7" w:rsidRDefault="00440485" w:rsidP="00440485">
      <w:pPr>
        <w:pStyle w:val="NormalHanging12a"/>
      </w:pPr>
      <w:r w:rsidRPr="005803F7">
        <w:t xml:space="preserve">12. </w:t>
      </w:r>
      <w:r w:rsidRPr="005803F7">
        <w:tab/>
        <w:t xml:space="preserve">ustraje u tome da podaci o pokazateljima i metodologije budu javno dostupni u stvarnom vremenu putem interoperabilnog sustava praćenja, izvješćivanja i revizije, čime bi se povećala transparentnost i osigurala sljedivost do razine projekta i razine krajnjih korisnika; podsjeća na važnost „transparentnosti krajnjih korisnika” za sredstva EU-a; naglašava da financiranje EU-a, uključujući ono u okviru neizravnog upravljanja, mora biti transparentno i trebalo bi omogućiti učinkovitu reviziju i sprečavanje dvostrukog financiranja; nadalje ustraje u tome da bi ti podaci trebali uključivati </w:t>
      </w:r>
      <w:r w:rsidRPr="00045532">
        <w:t>sveobuhvatne informacije o financirani</w:t>
      </w:r>
      <w:r w:rsidR="00045532" w:rsidRPr="00045532">
        <w:t>m</w:t>
      </w:r>
      <w:r w:rsidRPr="00045532">
        <w:t xml:space="preserve"> projek</w:t>
      </w:r>
      <w:r w:rsidR="00045532" w:rsidRPr="00045532">
        <w:t>tima</w:t>
      </w:r>
      <w:r w:rsidRPr="00045532">
        <w:t>;</w:t>
      </w:r>
    </w:p>
    <w:p w14:paraId="066ABB6B" w14:textId="77777777" w:rsidR="00440485" w:rsidRPr="005803F7" w:rsidRDefault="00440485" w:rsidP="00440485">
      <w:pPr>
        <w:pStyle w:val="NormalHanging12a"/>
      </w:pPr>
      <w:r w:rsidRPr="005803F7">
        <w:t xml:space="preserve">13. </w:t>
      </w:r>
      <w:r w:rsidRPr="005803F7">
        <w:tab/>
        <w:t>poziva Komisiju da poboljša svoje izvješćivanje o uspješnosti integriranjem financijskih informacija i informacija o uspješnosti povezanih sa sredstvima EU-a te da objavi jasne i korisnicima prilagođene sažetke o uspješnosti i potrošnji, uključujući preglede od jedne stranice i interaktivne kontrolne ploče sa strojno čitljivim skupovima podataka, u skladu s preporukama OECD-a</w:t>
      </w:r>
      <w:r w:rsidRPr="005803F7">
        <w:rPr>
          <w:rStyle w:val="FootnoteReference"/>
        </w:rPr>
        <w:footnoteReference w:id="10"/>
      </w:r>
      <w:r w:rsidRPr="005803F7">
        <w:t>;</w:t>
      </w:r>
    </w:p>
    <w:p w14:paraId="47A4AE0B" w14:textId="77777777" w:rsidR="00440485" w:rsidRPr="005803F7" w:rsidRDefault="00440485" w:rsidP="00440485">
      <w:pPr>
        <w:pStyle w:val="NormalHanging12a"/>
      </w:pPr>
      <w:r w:rsidRPr="005803F7">
        <w:t>14.</w:t>
      </w:r>
      <w:r w:rsidRPr="005803F7">
        <w:tab/>
        <w:t xml:space="preserve">smatra da je ključno provjeriti i zajamčiti pouzdanost podataka koji se upotrebljavaju za utvrđivanje pokazatelja uspješnosti; sa zabrinutošću napominje da zbog uvođenja i sve veće upotrebe modela provedbe, kao što je Mehanizam za oporavak i otpornost, koji se </w:t>
      </w:r>
      <w:r w:rsidRPr="005803F7">
        <w:lastRenderedPageBreak/>
        <w:t>temelje na financiranju koje nije povezano s troškovima, pri čemu se isplate izvršavaju u suprotnosti s postizanjem prethodno utvrđenih ključnih etapa i ciljnih vrijednosti, nedostaci u pouzdanosti podataka otežavaju zaštitu financijskih interesa EU-a; stoga ustraje u obveznoj ex ante i ex post provjeri ključnih etapa i ciljeva, sustavnom upućivanju sumnji na prijevaru ili ozbiljne nepravilnosti Europskom uredu za borbu protiv prijevara i Uredu europskog javnog tužitelja te mogućnosti obustave plaćanja;</w:t>
      </w:r>
    </w:p>
    <w:p w14:paraId="13B5C25A" w14:textId="77777777" w:rsidR="00440485" w:rsidRPr="005803F7" w:rsidRDefault="00440485" w:rsidP="00440485">
      <w:pPr>
        <w:pStyle w:val="NormalHanging12a"/>
      </w:pPr>
      <w:r w:rsidRPr="005803F7">
        <w:t>15.</w:t>
      </w:r>
      <w:r w:rsidRPr="005803F7">
        <w:tab/>
        <w:t>poziva Komisiju da u svoje izvješće o uspješnosti uključi sadržajne informacije o mjerama osiguranja kvalitete koje se upotrebljavaju za pokazatelje uspješnosti; ističe da je redovito i transparentno preispitivanje relevantnosti i pouzdanosti pokazatelja ključno za osiguravanje vjerodostojnosti i povjerenja javnosti u potrošnju EU-a; zahtijeva da podaci o uspješnosti o kojima izvješćuju države članice podliježu neovisnoj provjeri, među ostalim od strane nacionalnih revizijskih tijela i Europskog revizorskog suda, te da se rezultati stave na raspolaganje Parlamentu; nadalje traži da se izvješća o provjeri i skupovi podataka stave na raspolaganje nadležnim nadzornim tijelima u formatu koji je pristupačan, usporediv i provjerljiv, čime bi se osiguralo da građani imaju pristup ishodu nadzora upotrebe sredstava EU-a, uz istodobno osiguravanje poštovanja pravila o zaštiti podataka i povjerljivosti;</w:t>
      </w:r>
    </w:p>
    <w:p w14:paraId="3EEDAED1" w14:textId="77777777" w:rsidR="00440485" w:rsidRPr="005803F7" w:rsidRDefault="00440485" w:rsidP="00440485">
      <w:pPr>
        <w:pStyle w:val="NormalHanging12a"/>
      </w:pPr>
      <w:r w:rsidRPr="005803F7">
        <w:t>16.</w:t>
      </w:r>
      <w:r w:rsidRPr="005803F7">
        <w:tab/>
        <w:t>naglašava da učinkovito upravljanje uspješnošću podrazumijeva poštovanje vladavine prava i zaštitu financijskih interesa EU-a; podsjeća da se, ako i dalje postoje ozbiljni nedostaci u sustavima kontrole, plaćanja moraju obustaviti i primijeniti financijski ispravci;</w:t>
      </w:r>
    </w:p>
    <w:p w14:paraId="3F5863A3" w14:textId="77777777" w:rsidR="00440485" w:rsidRPr="005803F7" w:rsidRDefault="00440485" w:rsidP="00440485">
      <w:pPr>
        <w:spacing w:after="240"/>
        <w:ind w:left="566" w:hanging="566"/>
        <w:rPr>
          <w:bCs/>
          <w:iCs/>
        </w:rPr>
      </w:pPr>
      <w:r w:rsidRPr="005803F7">
        <w:t>17.</w:t>
      </w:r>
      <w:r w:rsidRPr="005803F7">
        <w:tab/>
        <w:t>smatra da je vladavina prava ključan preduvjet za jačanje konkurentnosti EU-a; ističe da izazovi za vladavinu prava negativno utječu na povjerenje ulagača, povjerenje potrošača i integritet jedinstvenog tržišta, kako je navedeno u Izvješću Komisije o vladavini prava za 2025.; stoga smatra da bi okvir uspješnosti proračuna EU-a trebao uključivati i pokazatelje povezane s vladavinom prava, kao što su funkcioniranje pravosudnog sustava, borba protiv korupcije i učinkovit sustav provjere i ravnoteže, koji doprinose pravnoj sigurnosti i predvidljivom okruženju za poslovanje poduzeća;</w:t>
      </w:r>
    </w:p>
    <w:p w14:paraId="3CF34AA4" w14:textId="77777777" w:rsidR="00440485" w:rsidRPr="005803F7" w:rsidRDefault="00440485" w:rsidP="00440485">
      <w:pPr>
        <w:pStyle w:val="StyleBoldItalicAfter12pt"/>
      </w:pPr>
      <w:r w:rsidRPr="005803F7">
        <w:t>Pokazatelji uspješnosti povezani s poticanjem konkurentnosti EU-a</w:t>
      </w:r>
    </w:p>
    <w:p w14:paraId="5C835B08" w14:textId="77777777" w:rsidR="00440485" w:rsidRPr="005803F7" w:rsidRDefault="00440485" w:rsidP="00440485">
      <w:pPr>
        <w:pStyle w:val="NormalHanging12a"/>
      </w:pPr>
      <w:r w:rsidRPr="005803F7">
        <w:t>18.</w:t>
      </w:r>
      <w:r w:rsidRPr="005803F7">
        <w:tab/>
        <w:t>podsjeća da se u Draghijevom izvješće EU potiče da nastavi s temeljitim reformama za poticanje konkurentnosti, s naglaskom na inovacijama, dekarbonizaciji i obrani, te poziva na golema ulaganja u strateške sektore kao što su zelena energija, digitalna infrastruktura i napredna proizvodnja, uz potporu regulatornog pojednostavnjenja i snažnije koordinacije na razini EU-a; u tom pogledu smatra da su čvrst okvir uspješnosti i sustav pokazatelja ključni za praćenje napretka i mjerenje učinka na konkurentnost, gospodarsku snagu, održivost i otpornost EU-a, uz istodobno izravno povezivanje uspješnosti s načelima ekonomičnosti, učinkovitosti i djelotvornosti;</w:t>
      </w:r>
    </w:p>
    <w:p w14:paraId="36481980" w14:textId="77777777" w:rsidR="00440485" w:rsidRPr="005803F7" w:rsidRDefault="00440485" w:rsidP="00440485">
      <w:pPr>
        <w:pStyle w:val="NormalHanging12a"/>
      </w:pPr>
      <w:r w:rsidRPr="005803F7">
        <w:t>19.</w:t>
      </w:r>
      <w:r w:rsidRPr="005803F7">
        <w:tab/>
        <w:t>naglašava da bi se u potrošnji usmjerenoj na konkurentnost prednost trebala dati učinkovitosti i dugoročnom povećanju produktivnosti, a ne kratkoročnoj preraspodjeli; naglašava da bi sredstva EU-a trebala biti usmjerena na ispravljanje neučinkovitosti tržišta, poticanje privatnih ulaganja i podupiranje projekata s mjerljivim gospodarskim učinkom i jasnom dodanom vrijednošću;</w:t>
      </w:r>
    </w:p>
    <w:p w14:paraId="070703F1" w14:textId="77777777" w:rsidR="00440485" w:rsidRPr="005803F7" w:rsidRDefault="00440485" w:rsidP="00440485">
      <w:pPr>
        <w:pStyle w:val="NormalHanging12a"/>
      </w:pPr>
      <w:r w:rsidRPr="005803F7">
        <w:t xml:space="preserve">20. </w:t>
      </w:r>
      <w:r w:rsidRPr="005803F7">
        <w:tab/>
        <w:t xml:space="preserve">ističe da bi provedbu preporuka iz Draghijeva izvješća trebalo pratiti s pomoću relevantnih, pouzdanih i transparentnih pokazatelja uspješnosti koji prikazuju napredak </w:t>
      </w:r>
      <w:r w:rsidRPr="005803F7">
        <w:lastRenderedPageBreak/>
        <w:t>EU-a u poticanju njegove konkurentnosti i gospodarskog rasta inovacijama, tehnološkim vodstvom i industrijskom otpornošću, uz istodobno osiguravanje socijalne pravednosti; naglašava da se pokazatelji moraju pažljivo osmisliti i da bi trebali obuhvaćati ne samo ostvarenja (npr. broj financiranih projekata), već i rezultate i učinke (npr. rast produktivnosti, smanjene emisije, otvaranje održivih i sigurnih radnih mjesta, poboljšanja socijalne i teritorijalne kohezije, promjene trgovinske bilance, povećanje diversifikacije izvoza, učinak poluge programa EU-a, posebno u pogledu mobilizacije privatnih ulaganja, i ojačanu stratešku autonomiju) kako bi se izmjerila učinkovitost i djelotvornost potrošnje EU-a; podsjeća da su reforme ključne za postizanje ciljeva konkurentnosti i da se moraju odražavati u okvirima za mjerenje uspješnosti;</w:t>
      </w:r>
    </w:p>
    <w:p w14:paraId="332EF01F" w14:textId="77777777" w:rsidR="00440485" w:rsidRPr="005803F7" w:rsidRDefault="00440485" w:rsidP="00440485">
      <w:pPr>
        <w:pStyle w:val="NormalHanging12a"/>
      </w:pPr>
      <w:r w:rsidRPr="005803F7">
        <w:t>21.</w:t>
      </w:r>
      <w:r w:rsidRPr="005803F7">
        <w:tab/>
        <w:t>podsjeća da pokazatelji apsorpcije sredstava ili stope izvršenja proračuna pružaju informacije o administrativnom napretku, a ne o stvarnom gospodarskom ili društvenom učinku potrošnje EU-a; ističe da takvi pokazatelji mogu stvoriti obmanjujuću predodžbu o uspjehu kada se sredstva u potpunosti potroše, ali se njima ne uspijevaju ostvariti mjerljiva poboljšanja u inovacijama, ulaganjima ili zapošljavanju; podsjeća da je Revizorski sud u više navrata kritizirao prekomjerno oslanjanje na stope potrošnje i ključne etape plaćanja u okviru uspješnosti za programe EU-a; poziva na pomak prema pokazateljima rezultata i pokazateljima učinka kojima se bilježe stvarni učinci potrošnje EU-a na konkurentnost;</w:t>
      </w:r>
    </w:p>
    <w:p w14:paraId="2ABE9840" w14:textId="77777777" w:rsidR="00440485" w:rsidRPr="005803F7" w:rsidRDefault="00440485" w:rsidP="00440485">
      <w:pPr>
        <w:pStyle w:val="NormalHanging12a"/>
      </w:pPr>
      <w:r w:rsidRPr="005803F7">
        <w:t>22.</w:t>
      </w:r>
      <w:r w:rsidRPr="005803F7">
        <w:tab/>
        <w:t>naglašava da konkurentnost ovisi o usklađenom skupu uvjeta koji omogućuju provedbu, uključujući kvalificiranu i zdravu radnu snagu, učinkovitu stratešku infrastrukturu, snažan financijski sektor koji može pružiti prilagođeno financiranje za inovacije te institucije i tržišta koji dobro funkcioniraju i kojima se nagrađuju uspješnost i poduzetništvo; poziva Komisiju da razvije posebne pokazatelje uspješnosti koji odražavaju te strukturne čimbenike i njihov doprinos produktivnosti i rastu;</w:t>
      </w:r>
    </w:p>
    <w:p w14:paraId="6CE3918F" w14:textId="77777777" w:rsidR="00440485" w:rsidRPr="005803F7" w:rsidRDefault="00440485" w:rsidP="00440485">
      <w:pPr>
        <w:pStyle w:val="NormalHanging12a"/>
      </w:pPr>
      <w:r w:rsidRPr="005803F7">
        <w:t>23.</w:t>
      </w:r>
      <w:r w:rsidRPr="005803F7">
        <w:tab/>
        <w:t>podsjeća da se u Draghijevu izvješću naglašava da je izvrsnost u istraživanju i inovacijama ključna za konkurentnost EU-a te da bi trebao postojati samo jedan kriterij odabira, odnosno izvrsnost, u okviru sustava EU-a za istraživanje i inovacije, uključujući program Obzor Europa; u tom pogledu ponavlja svoje stajalište da bi financiranje istraživanja i inovacija trebalo i dalje biti vođeno načelom izvrsnosti i temeljiti se na zaslugama;</w:t>
      </w:r>
    </w:p>
    <w:p w14:paraId="715411A2" w14:textId="77777777" w:rsidR="00440485" w:rsidRPr="005803F7" w:rsidRDefault="00440485" w:rsidP="00440485">
      <w:pPr>
        <w:pStyle w:val="NormalHanging12a"/>
      </w:pPr>
      <w:r w:rsidRPr="005803F7">
        <w:t>24.</w:t>
      </w:r>
      <w:r w:rsidRPr="005803F7">
        <w:tab/>
        <w:t>naglašava da bi podaci na razini projekata trebali biti osnova za poboljšano izvješćivanje o uspješnosti za financijske instrumente koji se provode u okviru neizravnog upravljanja, kao što je InvestEU; međutim, napominje da bi one trebale biti u standardiziranom formatu i ograničene na ključne informacije potrebne za mjerenje uspješnosti programa, kao što je mobilizacija javnih i privatnih ulaganja koja se bez programa ne bi mogla provesti; uviđa da, zbog tržišne prirode financijskih instrumenata i njihove usmjerenosti na potražnju, uspješnost takvih programa ovisi o njihovoj primjeni na tržištu, što ograničava sposobnost Komisije da utvrdi unaprijed definirane ključne etape i ciljeve;</w:t>
      </w:r>
    </w:p>
    <w:p w14:paraId="41356944" w14:textId="77777777" w:rsidR="00440485" w:rsidRPr="005803F7" w:rsidRDefault="00440485" w:rsidP="00440485">
      <w:pPr>
        <w:pStyle w:val="NormalHanging12a"/>
      </w:pPr>
      <w:r w:rsidRPr="005803F7">
        <w:t xml:space="preserve">25. </w:t>
      </w:r>
      <w:r w:rsidRPr="005803F7">
        <w:tab/>
        <w:t xml:space="preserve">naglašava da poticanje konkurentnosti EU-a zahtijeva prelazak s kratkoročnog upravljanja krizama na dugoročnu strategiju koja se temelji na inovacijama, učinkovitosti, održivosti, strateškoj autonomiji i globalnoj otvorenosti; poziva na obnovljenu predanost jačanju jedinstvenog tržišta, smanjenju regulatorne rascjepkanosti i osiguravanju da se programima EU-a podupire realno gospodarstvo; ističe da uspjeh europskih projekata konkurentnosti ovisi o mobilizaciji javnog i privatnog kapitala; </w:t>
      </w:r>
      <w:r w:rsidRPr="005803F7">
        <w:lastRenderedPageBreak/>
        <w:t>poziva Komisiju da uvede posebne pokazatelje za mjerenje učinka poluge sredstava EU-a u mobilizaciji javnih i privatnih ulaganja, omjera javno-privatnog financiranja i ostvarenog povrata ulaganja;</w:t>
      </w:r>
    </w:p>
    <w:p w14:paraId="39142175" w14:textId="77777777" w:rsidR="00440485" w:rsidRPr="005803F7" w:rsidRDefault="00440485" w:rsidP="00440485">
      <w:pPr>
        <w:pStyle w:val="NormalHanging12a"/>
      </w:pPr>
      <w:r w:rsidRPr="005803F7">
        <w:t>26.</w:t>
      </w:r>
      <w:r w:rsidRPr="005803F7">
        <w:tab/>
        <w:t>smatra da je potrebno uspostaviti sveobuhvatan okvir za ex ante procjenu rizika, posebno za projekte s visokim profilom rizika i dobiti, kako bi se osigurala uravnotežena procjena njihove dodane vrijednosti, troškova i koristi; ističe da je za postizanje ciljeva politike EU-a u pogledu konkurentnosti potreban pouzdan sustav revizije i kontrole koji se temelji na dosljednoj metodologiji procjene rizika; naglašava da bi takva metodologija trebala omogućiti razmjerne razine rizika ključne za poticanje inovacija, uz istodobno osiguravanje odgovarajućih zaštitnih mjera za zaštitu proračuna EU-a, posebno od prijevara i nefinancijskih rizika;</w:t>
      </w:r>
    </w:p>
    <w:p w14:paraId="41C6BC91" w14:textId="74A8A1D5" w:rsidR="00440485" w:rsidRPr="005803F7" w:rsidRDefault="00440485" w:rsidP="00440485">
      <w:pPr>
        <w:pStyle w:val="NormalHanging12a"/>
      </w:pPr>
      <w:r w:rsidRPr="005803F7">
        <w:t>27.</w:t>
      </w:r>
      <w:r w:rsidRPr="005803F7">
        <w:tab/>
        <w:t>predlaže da se, kako bi se bolje ocijenio učinak financiranja EU-a na konkurentnost, primijeni temeljitije makroekonomsko modeliranje kojim bi se integrirao najnoviji napredak u ekonomskom istraživanju; napominje da modeli koji obuhvaćaju heterogenost kućanstava i poduzeća te distribucijske učinke omogućuju sveobuhvatniju ex ante procjenu učinka financiranja EU-a na produktivnost, ulagačko ponašanje i regionalnu konkurentnost; predlaže da se taj pristup dopuni upotrebom mikropodataka i regionalnih pokazatelja uspješnosti kako bi se poboljšala baza dokaza za oblikovanje politika i usmjeravanje sredstava;</w:t>
      </w:r>
    </w:p>
    <w:p w14:paraId="003CDB33" w14:textId="77777777" w:rsidR="00440485" w:rsidRPr="005803F7" w:rsidRDefault="00440485" w:rsidP="00440485">
      <w:pPr>
        <w:pStyle w:val="NormalHanging12a"/>
      </w:pPr>
      <w:r w:rsidRPr="005803F7">
        <w:t xml:space="preserve">28. </w:t>
      </w:r>
      <w:r w:rsidRPr="005803F7">
        <w:tab/>
        <w:t>poziva Komisiju i države članice da u cjelokupnom sljedećem VFO-u uspostave i dosljedno upotrebljavaju usklađeni skup ključnih pokazatelja, kao što su oni koji se već upotrebljavaju u okviru Europske ljestvice uspjeha u inoviranju, i čiji je cilj poticanje konkurentnosti u svim državama članicama kako bi se omogućila usporedivost, ocjenjivanje prema referentnim vrijednostima i objedinjavanje podataka na razini EU-a, istodobno omogućujući, prema potrebi, upotrebu pokazatelja prilagođenih nacionalnim ili regionalnim potrebama; naglašava da bi se pri utvrđivanju i preispitivanju pokazatelja trebalo savjetovati sa svim relevantnim dionicima kako bi se osiguralo da odražavaju stvarne potrebe u pogledu konkurentnosti, uz istodobno poštovanje visokih radnih i socijalnih standarda;</w:t>
      </w:r>
    </w:p>
    <w:p w14:paraId="39B1E2CF" w14:textId="77777777" w:rsidR="00440485" w:rsidRPr="005803F7" w:rsidRDefault="00440485" w:rsidP="00440485">
      <w:pPr>
        <w:pStyle w:val="NormalHanging12a"/>
      </w:pPr>
      <w:r w:rsidRPr="005803F7">
        <w:t>29.</w:t>
      </w:r>
      <w:r w:rsidRPr="005803F7">
        <w:tab/>
        <w:t xml:space="preserve">smatra da bi se u slučaju projekata kojima se potiču inovacije i podupiru strateške tehnologije mogli koristiti sljedeći pokazatelji ostvarenja: količina mobiliziranih financijskih sredstava EU-a i privatnog sektora, broj financiranih projekata po sektoru (tj. umjetna inteligencija, kvantna tehnologija, biotehnologija) i broj „jednoroga”, </w:t>
      </w:r>
      <w:r w:rsidRPr="005803F7">
        <w:rPr>
          <w:i/>
          <w:iCs/>
        </w:rPr>
        <w:t>start-up</w:t>
      </w:r>
      <w:r w:rsidRPr="005803F7">
        <w:t xml:space="preserve"> i </w:t>
      </w:r>
      <w:r w:rsidRPr="005803F7">
        <w:rPr>
          <w:i/>
          <w:iCs/>
        </w:rPr>
        <w:t>scale-up</w:t>
      </w:r>
      <w:r w:rsidRPr="005803F7">
        <w:t xml:space="preserve"> poduzeća osnovanih ili proširenih u EU-u koji su primili financijska sredstva EU-a, pri čemu se prema potrebi mjeri i postotak start-up poduzeća kojima upravljaju žene; smatra da bi pokazatelji rezultata mogli uključivati broj patenata prijavljenih u okviru projekata koje financira EU, povrat ulaganja EU-a po sektorima, promjenu stope zaposlenosti, stopu opstanka poduzeća koja financira EU nakon tri godine, povećanje broja europskih inicijalnih javnih ponuda, povećanje broja izvoznih poduzeća i broj poduzeća koja postižu visok digitalni intenzitet; smatra da je potrebno pratiti pokazatelje učinka i izvješćivati o njima, kao što su povećanje kapaciteta (godišnja proizvodnja) u proizvodnji dubokih i digitalnih tehnologija (npr. posebne vrste opreme), povećanje obujma poduzetničkog kapitala uloženog u EU-u, povećanje tržišne kapitalizacije poduzeća iz EU-a te prihvaćanje na tržištu i rast prihoda koji se mogu pripisati inovacijama koje financira EU;</w:t>
      </w:r>
    </w:p>
    <w:p w14:paraId="7856EA47" w14:textId="77777777" w:rsidR="00440485" w:rsidRPr="005803F7" w:rsidRDefault="00440485" w:rsidP="00440485">
      <w:pPr>
        <w:pStyle w:val="NormalHanging12a"/>
      </w:pPr>
      <w:r w:rsidRPr="005803F7">
        <w:lastRenderedPageBreak/>
        <w:t>30.</w:t>
      </w:r>
      <w:r w:rsidRPr="005803F7">
        <w:tab/>
        <w:t xml:space="preserve">smatra da bi trebalo poduprijeti premještanje industrije i samodostatnost u pogledu kritičnih sirovina kako bi se smanjile strateške ovisnosti EU-a; predlaže da se napredak mjeri pokazateljima ostvarenja kao što su broj projekata i MSP-ova koji su se preselili u EU, broj </w:t>
      </w:r>
      <w:r w:rsidRPr="005803F7">
        <w:rPr>
          <w:i/>
          <w:iCs/>
        </w:rPr>
        <w:t>start-up</w:t>
      </w:r>
      <w:r w:rsidRPr="005803F7">
        <w:t xml:space="preserve"> i </w:t>
      </w:r>
      <w:r w:rsidRPr="005803F7">
        <w:rPr>
          <w:i/>
          <w:iCs/>
        </w:rPr>
        <w:t>scale-up</w:t>
      </w:r>
      <w:r w:rsidRPr="005803F7">
        <w:t xml:space="preserve"> poduzeća koja su osnovana ili proširena, a prema potrebi i postotak </w:t>
      </w:r>
      <w:r w:rsidRPr="005803F7">
        <w:rPr>
          <w:i/>
          <w:iCs/>
        </w:rPr>
        <w:t>start-up</w:t>
      </w:r>
      <w:r w:rsidRPr="005803F7">
        <w:t xml:space="preserve"> i </w:t>
      </w:r>
      <w:r w:rsidRPr="005803F7">
        <w:rPr>
          <w:i/>
          <w:iCs/>
        </w:rPr>
        <w:t>scale-up</w:t>
      </w:r>
      <w:r w:rsidRPr="005803F7">
        <w:t xml:space="preserve"> poduzeća kojima upravljaju žene, te razina otvaranja radnih mjesta u industriji u ciljanim regijama; smatra da bi pokazatelji rezultata mogli uključivati povećanje udjela kritičnih sirovina uvezenih od novih strateških partnera ili nabavljenih iz EU-a te povećanje količine (u tonama) recikliranih kritičnih sirovina, veću produktivnost i bruto dodanu vrijednost u ciljanim lancima vrijednosti, veću otpornost opskrbe i poboljšane trgovinske rezultate;</w:t>
      </w:r>
    </w:p>
    <w:p w14:paraId="39668E2B" w14:textId="77777777" w:rsidR="00440485" w:rsidRPr="005803F7" w:rsidRDefault="00440485" w:rsidP="00440485">
      <w:pPr>
        <w:pStyle w:val="NormalHanging12a"/>
      </w:pPr>
      <w:r w:rsidRPr="005803F7">
        <w:t>31.</w:t>
      </w:r>
      <w:r w:rsidRPr="005803F7">
        <w:tab/>
        <w:t>naglašava potrebu za ulaganjem u pametne mreže, skladištenje energije i koridore za vodik kako bi se olakšao otporan i konkurentan energetski sustav; naglašava da su te mjere ključne za smanjenje nestabilnosti cijena energije, jačanje industrijske konkurentnosti i osiguravanje prijelaza Europe na održivo i niskougljično gospodarstvo;</w:t>
      </w:r>
    </w:p>
    <w:p w14:paraId="2E68E283" w14:textId="77777777" w:rsidR="00440485" w:rsidRPr="005803F7" w:rsidRDefault="00440485" w:rsidP="00440485">
      <w:pPr>
        <w:pStyle w:val="NormalHanging12a"/>
      </w:pPr>
      <w:r w:rsidRPr="005803F7">
        <w:t>32.</w:t>
      </w:r>
      <w:r w:rsidRPr="005803F7">
        <w:tab/>
        <w:t>smatra da bi trebalo težiti zajedničkoj industrijskoj kupnji energije i dekarbonizaciji industrije kako bi se smanjili troškovi energije i povećala sigurnost opskrbe, istodobno osiguravajući da mjere koje iz toga proizlaze nemaju nepotreban učinak na energetsku sigurnost nijedne države članice; predlaže da se napredak mjeri pokazateljima ostvarenja kao što su broj poduzeća koja sudjeluju, količina kupljene energije i udio obnovljive energije u zajedničkim ugovorima; smatra da bi se mogli koristiti pokazatelji rezultata poput dodatnog energetskog kapaciteta instaliranog u proizvodnji električne energije (MW); nadalje smatra da bi pokazatelji učinka mogli uključivati promjene prosječnih cijena energije u ciljanim industrijama, smanjenje prekida opskrbe, povećanje upotrebe čiste energije i smanjenje emisija stakleničkih plinova (npr. u tCO2e);</w:t>
      </w:r>
    </w:p>
    <w:p w14:paraId="08C67BBB" w14:textId="77777777" w:rsidR="00440485" w:rsidRPr="005803F7" w:rsidRDefault="00440485" w:rsidP="00440485">
      <w:pPr>
        <w:pStyle w:val="NormalHanging12a"/>
      </w:pPr>
      <w:r w:rsidRPr="005803F7">
        <w:t>33.</w:t>
      </w:r>
      <w:r w:rsidRPr="005803F7">
        <w:tab/>
        <w:t>smatra da bi EU trebao ulagati u talente u strateškim i ključnim sektorima kako bi povećao svoju dugoročnu konkurentnost s pomoću sposobne radne snage, među ostalim podupiranjem sudjelovanja u strukovnom osposobljavanju, cjeloživotnom učenju i razvoju vještina; predlaže da bi se napredak mogao mjeriti pokazateljima ostvarenja kao što su broj osoba koje se svake godine osposobljavaju (s posebnim naglaskom na rodnoj ravnoteži i socijalnoj uključenosti), broj osoba koje su diplomirale znanost, tehnologiju, inženjerstvo ili matematiku (STEM) ili koje su pohađale strukovno obrazovanje i osposobljavanje s naglaskom na STEM-u, stopa sudjelovanja u programima obrazovanja odraslih i cjeloživotnog učenja te stopa zadovoljstva partnerskih poduzeća i socijalnih partnera; smatra da bi pokazatelji rezultata mogli uključivati promjene u stopi zaposlenosti, stopi prelaska s osposobljavanja ili privremenog zapošljavanja na stalno zaposlenje, stopi popunjenosti radnih mjesta, stopi rasta plaća i stopi zadržavanja u ciljanim sektorima;</w:t>
      </w:r>
    </w:p>
    <w:p w14:paraId="41857AFE" w14:textId="77777777" w:rsidR="00440485" w:rsidRPr="005803F7" w:rsidRDefault="00440485" w:rsidP="00440485">
      <w:pPr>
        <w:pStyle w:val="NormalHanging12a"/>
        <w:rPr>
          <w:bCs/>
          <w:iCs/>
        </w:rPr>
      </w:pPr>
      <w:r w:rsidRPr="005803F7">
        <w:t>34.</w:t>
      </w:r>
      <w:r w:rsidRPr="005803F7">
        <w:tab/>
        <w:t>sa zabrinutošću napominje da prekomjerno regulatorno i administrativno opterećenje i dalje ugrožava konkurentnost poduzeća EU-a u usporedbi s drugim globalnim ekonomskim blokovima; naglašava da takva opterećenja povećavaju operativne troškove, smanjuju sektorsku produktivnost i stvaraju prepreke ulasku novih poduzeća na tržište, čime se obeshrabruju tržišno natjecanje i inovacije; nadalje napominje da te neučinkovitosti mogu dovesti i do viših cijena za potrošače;</w:t>
      </w:r>
    </w:p>
    <w:p w14:paraId="38CC35BF" w14:textId="426ABC9B" w:rsidR="00440485" w:rsidRDefault="00440485" w:rsidP="00440485">
      <w:pPr>
        <w:pStyle w:val="NormalHanging12a"/>
      </w:pPr>
      <w:r w:rsidRPr="005803F7">
        <w:t>35.</w:t>
      </w:r>
      <w:r w:rsidRPr="005803F7">
        <w:tab/>
        <w:t xml:space="preserve">smatra da bi, kako bi se ubrzala zelena i digitalna tranzicija, posebnu pozornost trebalo posvetiti inovativnim MSP-ovima za koje je pojednostavnjenje ključno; naglašava da </w:t>
      </w:r>
      <w:r w:rsidR="0034622F">
        <w:t xml:space="preserve">bi </w:t>
      </w:r>
      <w:r w:rsidRPr="005803F7">
        <w:lastRenderedPageBreak/>
        <w:t xml:space="preserve">pojednostavnjenje </w:t>
      </w:r>
      <w:r w:rsidR="0034622F" w:rsidRPr="00045532">
        <w:rPr>
          <w:bCs/>
          <w:iCs/>
        </w:rPr>
        <w:t>trebalo biti usmjereno na smanjenje nepotrebne birokracije</w:t>
      </w:r>
      <w:r w:rsidR="0034622F" w:rsidRPr="0034622F">
        <w:t xml:space="preserve"> </w:t>
      </w:r>
      <w:r w:rsidRPr="005803F7">
        <w:t xml:space="preserve"> i </w:t>
      </w:r>
      <w:r w:rsidR="0034622F" w:rsidRPr="00045532">
        <w:rPr>
          <w:bCs/>
          <w:iCs/>
        </w:rPr>
        <w:t xml:space="preserve">administrativnih troškova za MSP-ove; naglašava </w:t>
      </w:r>
      <w:r w:rsidRPr="005803F7">
        <w:t xml:space="preserve">da se </w:t>
      </w:r>
      <w:r w:rsidR="0034622F">
        <w:t xml:space="preserve">pojednostavnjenje </w:t>
      </w:r>
      <w:r w:rsidRPr="005803F7">
        <w:t xml:space="preserve">mora </w:t>
      </w:r>
      <w:r w:rsidR="0034622F" w:rsidRPr="00045532">
        <w:rPr>
          <w:bCs/>
          <w:iCs/>
        </w:rPr>
        <w:t>provesti uz istodobno osiguravanje proporcionalnog i učinkovitog regulatornog okvira</w:t>
      </w:r>
      <w:r w:rsidRPr="005803F7">
        <w:t xml:space="preserve"> kojim se jamči regulatorna sigurnost i odgovarajuća procjena učinka; predlaže da se napredak u pogledu smanjenja administrativnog opterećenja mjeri pokazateljima kao što su broj projekata odobrenih i zaključenih na godišnjoj razini s MSP-ovima, smanjenje stope žalbi ili sporova povezanih s postupcima podnošenja zahtjeva i smanjenje vremena potrebnog za pristup financijskim sredstvima EU-a, od zahtjeva do isplate;</w:t>
      </w:r>
    </w:p>
    <w:p w14:paraId="3DCBE934" w14:textId="44BF38F0" w:rsidR="0034622F" w:rsidRPr="0034622F" w:rsidRDefault="0034622F" w:rsidP="00440485">
      <w:pPr>
        <w:pStyle w:val="NormalHanging12a"/>
        <w:rPr>
          <w:bCs/>
          <w:iCs/>
        </w:rPr>
      </w:pPr>
      <w:r w:rsidRPr="00045532">
        <w:rPr>
          <w:bCs/>
          <w:iCs/>
        </w:rPr>
        <w:t>3</w:t>
      </w:r>
      <w:r>
        <w:rPr>
          <w:bCs/>
          <w:iCs/>
        </w:rPr>
        <w:t>6.</w:t>
      </w:r>
      <w:r w:rsidRPr="0034622F">
        <w:rPr>
          <w:bCs/>
          <w:iCs/>
        </w:rPr>
        <w:tab/>
      </w:r>
      <w:r w:rsidRPr="00045532">
        <w:rPr>
          <w:bCs/>
          <w:iCs/>
        </w:rPr>
        <w:t>poziva Komisiju da dodatno pojača napore za smanjenje regulatornog opterećenja i da osigura da je zakonodavstvo EU-a razmjerno, utemeljeno na dokazima i da pruža jasnu dodanu vrijednost za građane i poduzeća; smatra da je trenutačni pristup „jedan za jedan” u tom pogledu nedostatan; stoga poziva na primjenu načela „jedan za dva”, prema kojem se uvođenje bilo kakvih novih troškova s pomoću regulatornih obveza nadoknađuje smanjenjem regulatornih troškova koji proizlaze iz drugog zakonodavstva EU-a za barem dvostruko veći iznos od ekvivalentnog kako bi se postiglo neto smanjenje regulatornog opterećenja, pri čemu se opterećenje za poduzeća i javnu upravu tretira zasebno</w:t>
      </w:r>
      <w:r>
        <w:rPr>
          <w:bCs/>
          <w:iCs/>
        </w:rPr>
        <w:t>;</w:t>
      </w:r>
    </w:p>
    <w:p w14:paraId="0D36A134" w14:textId="77777777" w:rsidR="00440485" w:rsidRPr="005803F7" w:rsidRDefault="00440485" w:rsidP="00440485">
      <w:pPr>
        <w:pStyle w:val="NormalCenter12a"/>
      </w:pPr>
      <w:r w:rsidRPr="005803F7">
        <w:t>°</w:t>
      </w:r>
    </w:p>
    <w:p w14:paraId="03D2FFF1" w14:textId="77777777" w:rsidR="00440485" w:rsidRPr="005803F7" w:rsidRDefault="00440485" w:rsidP="00440485">
      <w:pPr>
        <w:pStyle w:val="NormalCenter12a"/>
      </w:pPr>
      <w:r w:rsidRPr="005803F7">
        <w:t>°</w:t>
      </w:r>
      <w:r w:rsidRPr="005803F7">
        <w:tab/>
        <w:t>°</w:t>
      </w:r>
    </w:p>
    <w:p w14:paraId="50B16EEE" w14:textId="13D2567C" w:rsidR="001E4D61" w:rsidRPr="005803F7" w:rsidRDefault="00440485" w:rsidP="005803F7">
      <w:pPr>
        <w:pStyle w:val="NormalHanging"/>
        <w:ind w:left="567" w:hanging="567"/>
      </w:pPr>
      <w:r w:rsidRPr="005803F7">
        <w:t>3</w:t>
      </w:r>
      <w:r w:rsidR="0034622F">
        <w:t>7</w:t>
      </w:r>
      <w:r w:rsidRPr="005803F7">
        <w:t>.</w:t>
      </w:r>
      <w:r w:rsidRPr="005803F7">
        <w:tab/>
        <w:t>nalaže svojoj predsjednici da ovu Rezoluciju proslijedi Vijeću i Komisiji.</w:t>
      </w:r>
    </w:p>
    <w:p w14:paraId="764C96AE" w14:textId="20FB5E88" w:rsidR="00E365E1" w:rsidRPr="005803F7" w:rsidRDefault="00E365E1" w:rsidP="00490832"/>
    <w:sectPr w:rsidR="00E365E1" w:rsidRPr="005803F7" w:rsidSect="001E4D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B5458" w14:textId="77777777" w:rsidR="00490832" w:rsidRPr="001E4D61" w:rsidRDefault="00490832">
      <w:r w:rsidRPr="001E4D61">
        <w:separator/>
      </w:r>
    </w:p>
  </w:endnote>
  <w:endnote w:type="continuationSeparator" w:id="0">
    <w:p w14:paraId="19C77AAA" w14:textId="77777777" w:rsidR="00490832" w:rsidRPr="001E4D61" w:rsidRDefault="00490832">
      <w:r w:rsidRPr="001E4D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833D" w14:textId="77777777" w:rsidR="00064002" w:rsidRPr="001E4D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2C1FE" w14:textId="77777777" w:rsidR="00064002" w:rsidRPr="001E4D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9CF0" w14:textId="77777777" w:rsidR="00064002" w:rsidRPr="001E4D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10C6D" w14:textId="77777777" w:rsidR="00490832" w:rsidRPr="001E4D61" w:rsidRDefault="00490832">
      <w:r w:rsidRPr="001E4D61">
        <w:separator/>
      </w:r>
    </w:p>
  </w:footnote>
  <w:footnote w:type="continuationSeparator" w:id="0">
    <w:p w14:paraId="1A142E0E" w14:textId="77777777" w:rsidR="00490832" w:rsidRPr="001E4D61" w:rsidRDefault="00490832">
      <w:r w:rsidRPr="001E4D61">
        <w:continuationSeparator/>
      </w:r>
    </w:p>
  </w:footnote>
  <w:footnote w:id="1">
    <w:p w14:paraId="1D56B0CF" w14:textId="336CE21E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 xml:space="preserve">SL L 433 I, 22.12.2020., str. 11., ELI: </w:t>
      </w:r>
      <w:hyperlink r:id="rId1" w:tgtFrame="http://data.europa.eu/eli/reg/2020/2093/oj" w:history="1">
        <w:r w:rsidRPr="001E4D61">
          <w:rPr>
            <w:rStyle w:val="Hyperlink"/>
            <w:sz w:val="24"/>
            <w:lang w:val="hr-HR"/>
          </w:rPr>
          <w:t>http://data.europa.eu/eli/reg/2020/2093/oj</w:t>
        </w:r>
      </w:hyperlink>
      <w:r w:rsidRPr="001E4D61">
        <w:rPr>
          <w:sz w:val="24"/>
          <w:lang w:val="hr-HR"/>
        </w:rPr>
        <w:t>.</w:t>
      </w:r>
    </w:p>
  </w:footnote>
  <w:footnote w:id="2">
    <w:p w14:paraId="21C9A9F3" w14:textId="60CCFD25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 xml:space="preserve">SL L 325, 20.12.2022., str. 11., ELI: </w:t>
      </w:r>
      <w:hyperlink r:id="rId2" w:tgtFrame="http://data.europa.eu/eli/reg/2022/2496/oj" w:history="1">
        <w:r w:rsidRPr="001E4D61">
          <w:rPr>
            <w:rStyle w:val="Hyperlink"/>
            <w:sz w:val="24"/>
            <w:lang w:val="hr-HR"/>
          </w:rPr>
          <w:t>http://data.europa.eu/eli/reg/2022/2496/oj</w:t>
        </w:r>
      </w:hyperlink>
      <w:r w:rsidRPr="001E4D61">
        <w:rPr>
          <w:sz w:val="24"/>
          <w:lang w:val="hr-HR"/>
        </w:rPr>
        <w:t>.</w:t>
      </w:r>
    </w:p>
  </w:footnote>
  <w:footnote w:id="3">
    <w:p w14:paraId="5089A452" w14:textId="4B87B7E4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 xml:space="preserve">SL L, 2024/765, 29.2.2024., ELI: </w:t>
      </w:r>
      <w:hyperlink r:id="rId3" w:history="1">
        <w:r w:rsidRPr="001E4D61">
          <w:rPr>
            <w:rStyle w:val="Hyperlink"/>
            <w:sz w:val="24"/>
            <w:lang w:val="hr-HR"/>
          </w:rPr>
          <w:t>https://eur-lex.europa.eu/eli/reg/2024/765/oj</w:t>
        </w:r>
      </w:hyperlink>
      <w:r w:rsidRPr="001E4D61">
        <w:rPr>
          <w:sz w:val="24"/>
          <w:lang w:val="hr-HR"/>
        </w:rPr>
        <w:t>.</w:t>
      </w:r>
    </w:p>
  </w:footnote>
  <w:footnote w:id="4">
    <w:p w14:paraId="4B71BDD9" w14:textId="7DB35DD8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 xml:space="preserve">SL L 433 I, 22.12.2020., str. 28., ELI: </w:t>
      </w:r>
      <w:hyperlink r:id="rId4" w:tgtFrame="http://data.europa.eu/eli/agree_interinstit/2020/1222/oj" w:history="1">
        <w:r w:rsidRPr="001E4D61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1E4D61">
        <w:rPr>
          <w:sz w:val="24"/>
          <w:lang w:val="hr-HR"/>
        </w:rPr>
        <w:t>.</w:t>
      </w:r>
    </w:p>
  </w:footnote>
  <w:footnote w:id="5">
    <w:p w14:paraId="658D026D" w14:textId="343E63D3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 xml:space="preserve">SL L, 2024/2509, 26.9.2024., ELI: </w:t>
      </w:r>
      <w:hyperlink r:id="rId5" w:history="1">
        <w:r w:rsidRPr="001E4D61">
          <w:rPr>
            <w:rStyle w:val="Hyperlink"/>
            <w:sz w:val="24"/>
            <w:lang w:val="hr-HR"/>
          </w:rPr>
          <w:t>https://eur-lex.europa.eu/eli/reg/2024/2509/oj</w:t>
        </w:r>
      </w:hyperlink>
      <w:r w:rsidRPr="001E4D61">
        <w:rPr>
          <w:sz w:val="24"/>
          <w:lang w:val="hr-HR"/>
        </w:rPr>
        <w:t>.</w:t>
      </w:r>
    </w:p>
  </w:footnote>
  <w:footnote w:id="6">
    <w:p w14:paraId="6DA2EC35" w14:textId="00CBD8C2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>Usvojeni tekstovi, P10_TA(2025)0090.</w:t>
      </w:r>
    </w:p>
  </w:footnote>
  <w:footnote w:id="7">
    <w:p w14:paraId="1E4C9A94" w14:textId="71D5FA2F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>Studija – „Okvir uspješnosti proračuna EU-a – koncepti i prakse”, Europski parlament, Glavna uprava za unutarnju politiku, Resorni odjel za proračunska pitanja, ožujak 2024.</w:t>
      </w:r>
    </w:p>
  </w:footnote>
  <w:footnote w:id="8">
    <w:p w14:paraId="7BD2D3D6" w14:textId="4985463C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>Izvješće o procjeni učinka (SWD(2025)0590) priloženo Komisijinu Prijedlogu uredbe o uspostavi okvira za praćenje proračunskih rashoda i uspješnost (COM(2025)0545).</w:t>
      </w:r>
    </w:p>
  </w:footnote>
  <w:footnote w:id="9">
    <w:p w14:paraId="6215C229" w14:textId="071CBDBA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>COM(2025)0545.</w:t>
      </w:r>
    </w:p>
  </w:footnote>
  <w:footnote w:id="10">
    <w:p w14:paraId="77C67DD3" w14:textId="3524D37C" w:rsidR="00440485" w:rsidRPr="001E4D61" w:rsidRDefault="00440485" w:rsidP="001E4D61">
      <w:pPr>
        <w:pStyle w:val="FootnoteText"/>
        <w:ind w:left="567" w:hanging="567"/>
        <w:rPr>
          <w:sz w:val="24"/>
          <w:lang w:val="hr-HR"/>
        </w:rPr>
      </w:pPr>
      <w:r w:rsidRPr="001E4D61">
        <w:rPr>
          <w:rStyle w:val="FootnoteReference"/>
          <w:sz w:val="24"/>
          <w:lang w:val="hr-HR"/>
        </w:rPr>
        <w:footnoteRef/>
      </w:r>
      <w:r w:rsidR="001E4D61" w:rsidRPr="001E4D61">
        <w:rPr>
          <w:sz w:val="24"/>
          <w:lang w:val="hr-HR"/>
        </w:rPr>
        <w:t xml:space="preserve"> </w:t>
      </w:r>
      <w:r w:rsidR="001E4D61" w:rsidRPr="001E4D61">
        <w:rPr>
          <w:sz w:val="24"/>
          <w:lang w:val="hr-HR"/>
        </w:rPr>
        <w:tab/>
      </w:r>
      <w:r w:rsidRPr="001E4D61">
        <w:rPr>
          <w:sz w:val="24"/>
          <w:lang w:val="hr-HR"/>
        </w:rPr>
        <w:t xml:space="preserve">OECD (2025.), </w:t>
      </w:r>
      <w:hyperlink r:id="rId6" w:history="1">
        <w:r w:rsidRPr="001E4D61">
          <w:rPr>
            <w:rStyle w:val="Hyperlink"/>
            <w:sz w:val="24"/>
            <w:lang w:val="hr-HR"/>
          </w:rPr>
          <w:t>„</w:t>
        </w:r>
        <w:hyperlink r:id="rId7" w:history="1">
          <w:r w:rsidR="00BF0224" w:rsidRPr="009F125B">
            <w:rPr>
              <w:rStyle w:val="Hyperlink"/>
              <w:sz w:val="24"/>
              <w:lang w:val="hr-HR"/>
            </w:rPr>
            <w:t>Strengthening performance reporting practices</w:t>
          </w:r>
        </w:hyperlink>
        <w:r w:rsidRPr="001E4D61">
          <w:rPr>
            <w:rStyle w:val="Hyperlink"/>
            <w:sz w:val="24"/>
            <w:lang w:val="hr-HR"/>
          </w:rPr>
          <w:t>”</w:t>
        </w:r>
      </w:hyperlink>
      <w:r w:rsidRPr="001E4D61">
        <w:rPr>
          <w:sz w:val="24"/>
          <w:lang w:val="hr-HR"/>
        </w:rPr>
        <w:t xml:space="preserve"> (Jačanje praksi izvješćivanja o uspješnosti), </w:t>
      </w:r>
      <w:r w:rsidRPr="001E4D61">
        <w:rPr>
          <w:i/>
          <w:sz w:val="24"/>
          <w:lang w:val="hr-HR"/>
        </w:rPr>
        <w:t>OECD Papers on Budgeting,</w:t>
      </w:r>
      <w:r w:rsidRPr="001E4D61">
        <w:rPr>
          <w:sz w:val="24"/>
          <w:lang w:val="hr-HR"/>
        </w:rPr>
        <w:t>, br. 2025/07, OECD Publishing, Pariz.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19E6" w14:textId="77777777" w:rsidR="00064002" w:rsidRPr="001E4D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1E4C" w14:textId="77777777" w:rsidR="00064002" w:rsidRPr="001E4D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38EC2" w14:textId="77777777" w:rsidR="00064002" w:rsidRPr="001E4D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6687811">
    <w:abstractNumId w:val="9"/>
  </w:num>
  <w:num w:numId="2" w16cid:durableId="2013297325">
    <w:abstractNumId w:val="9"/>
  </w:num>
  <w:num w:numId="3" w16cid:durableId="2027099790">
    <w:abstractNumId w:val="7"/>
  </w:num>
  <w:num w:numId="4" w16cid:durableId="1253973415">
    <w:abstractNumId w:val="7"/>
  </w:num>
  <w:num w:numId="5" w16cid:durableId="180357160">
    <w:abstractNumId w:val="6"/>
  </w:num>
  <w:num w:numId="6" w16cid:durableId="1294403254">
    <w:abstractNumId w:val="6"/>
  </w:num>
  <w:num w:numId="7" w16cid:durableId="830293096">
    <w:abstractNumId w:val="5"/>
  </w:num>
  <w:num w:numId="8" w16cid:durableId="1790782200">
    <w:abstractNumId w:val="5"/>
  </w:num>
  <w:num w:numId="9" w16cid:durableId="696811089">
    <w:abstractNumId w:val="4"/>
  </w:num>
  <w:num w:numId="10" w16cid:durableId="1952395066">
    <w:abstractNumId w:val="4"/>
  </w:num>
  <w:num w:numId="11" w16cid:durableId="342827789">
    <w:abstractNumId w:val="8"/>
  </w:num>
  <w:num w:numId="12" w16cid:durableId="781998051">
    <w:abstractNumId w:val="8"/>
  </w:num>
  <w:num w:numId="13" w16cid:durableId="1122578234">
    <w:abstractNumId w:val="3"/>
  </w:num>
  <w:num w:numId="14" w16cid:durableId="1044335101">
    <w:abstractNumId w:val="3"/>
  </w:num>
  <w:num w:numId="15" w16cid:durableId="1218006267">
    <w:abstractNumId w:val="2"/>
  </w:num>
  <w:num w:numId="16" w16cid:durableId="90395747">
    <w:abstractNumId w:val="2"/>
  </w:num>
  <w:num w:numId="17" w16cid:durableId="1599556692">
    <w:abstractNumId w:val="1"/>
  </w:num>
  <w:num w:numId="18" w16cid:durableId="280114538">
    <w:abstractNumId w:val="1"/>
  </w:num>
  <w:num w:numId="19" w16cid:durableId="661201320">
    <w:abstractNumId w:val="0"/>
  </w:num>
  <w:num w:numId="20" w16cid:durableId="697508491">
    <w:abstractNumId w:val="0"/>
  </w:num>
  <w:num w:numId="21" w16cid:durableId="1433894880">
    <w:abstractNumId w:val="9"/>
  </w:num>
  <w:num w:numId="22" w16cid:durableId="217203734">
    <w:abstractNumId w:val="7"/>
  </w:num>
  <w:num w:numId="23" w16cid:durableId="1408379379">
    <w:abstractNumId w:val="6"/>
  </w:num>
  <w:num w:numId="24" w16cid:durableId="217396967">
    <w:abstractNumId w:val="5"/>
  </w:num>
  <w:num w:numId="25" w16cid:durableId="945768288">
    <w:abstractNumId w:val="4"/>
  </w:num>
  <w:num w:numId="26" w16cid:durableId="820778267">
    <w:abstractNumId w:val="8"/>
  </w:num>
  <w:num w:numId="27" w16cid:durableId="1977755270">
    <w:abstractNumId w:val="3"/>
  </w:num>
  <w:num w:numId="28" w16cid:durableId="1339696825">
    <w:abstractNumId w:val="2"/>
  </w:num>
  <w:num w:numId="29" w16cid:durableId="1147434831">
    <w:abstractNumId w:val="1"/>
  </w:num>
  <w:num w:numId="30" w16cid:durableId="551308049">
    <w:abstractNumId w:val="0"/>
  </w:num>
  <w:num w:numId="31" w16cid:durableId="1510178693">
    <w:abstractNumId w:val="9"/>
  </w:num>
  <w:num w:numId="32" w16cid:durableId="1240677335">
    <w:abstractNumId w:val="7"/>
  </w:num>
  <w:num w:numId="33" w16cid:durableId="601379193">
    <w:abstractNumId w:val="6"/>
  </w:num>
  <w:num w:numId="34" w16cid:durableId="1410276681">
    <w:abstractNumId w:val="5"/>
  </w:num>
  <w:num w:numId="35" w16cid:durableId="1060715015">
    <w:abstractNumId w:val="4"/>
  </w:num>
  <w:num w:numId="36" w16cid:durableId="1787847793">
    <w:abstractNumId w:val="8"/>
  </w:num>
  <w:num w:numId="37" w16cid:durableId="728840975">
    <w:abstractNumId w:val="3"/>
  </w:num>
  <w:num w:numId="38" w16cid:durableId="1711488029">
    <w:abstractNumId w:val="2"/>
  </w:num>
  <w:num w:numId="39" w16cid:durableId="830364251">
    <w:abstractNumId w:val="1"/>
  </w:num>
  <w:num w:numId="40" w16cid:durableId="865020309">
    <w:abstractNumId w:val="0"/>
  </w:num>
  <w:num w:numId="41" w16cid:durableId="1202669197">
    <w:abstractNumId w:val="10"/>
  </w:num>
  <w:num w:numId="42" w16cid:durableId="1098142499">
    <w:abstractNumId w:val="10"/>
  </w:num>
  <w:num w:numId="43" w16cid:durableId="382756881">
    <w:abstractNumId w:val="10"/>
  </w:num>
  <w:num w:numId="44" w16cid:durableId="13041985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8/2025"/>
    <w:docVar w:name="dvlangue" w:val="HR"/>
    <w:docVar w:name="dvnumam" w:val="0"/>
    <w:docVar w:name="dvpe" w:val="778.327"/>
    <w:docVar w:name="dvrapporteur" w:val="Izvjestitelj: "/>
    <w:docVar w:name="dvtitre" w:val="Rezolucija Europskog parlamenta od .... 2026. o odabiru pokazatelja uspješnosti za reviziju i proračunski nadzor u kontekstu financijskih mjera za potporu provedbi buduće europske konkurentnosti(2025/2034(INI))"/>
  </w:docVars>
  <w:rsids>
    <w:rsidRoot w:val="00490832"/>
    <w:rsid w:val="00002272"/>
    <w:rsid w:val="00003DE9"/>
    <w:rsid w:val="00045532"/>
    <w:rsid w:val="00064002"/>
    <w:rsid w:val="000677B9"/>
    <w:rsid w:val="000831BA"/>
    <w:rsid w:val="000A42CC"/>
    <w:rsid w:val="000E00D3"/>
    <w:rsid w:val="000E7DD9"/>
    <w:rsid w:val="0010095E"/>
    <w:rsid w:val="00125B37"/>
    <w:rsid w:val="00187494"/>
    <w:rsid w:val="001E4D61"/>
    <w:rsid w:val="001F32AE"/>
    <w:rsid w:val="00246C32"/>
    <w:rsid w:val="002767FF"/>
    <w:rsid w:val="002B18FE"/>
    <w:rsid w:val="002B5493"/>
    <w:rsid w:val="00343214"/>
    <w:rsid w:val="0034622F"/>
    <w:rsid w:val="00361C00"/>
    <w:rsid w:val="00395FA1"/>
    <w:rsid w:val="003E15D4"/>
    <w:rsid w:val="00411CCE"/>
    <w:rsid w:val="0041666E"/>
    <w:rsid w:val="00421060"/>
    <w:rsid w:val="00440485"/>
    <w:rsid w:val="00471C19"/>
    <w:rsid w:val="004867E3"/>
    <w:rsid w:val="00490832"/>
    <w:rsid w:val="00494A28"/>
    <w:rsid w:val="004C0004"/>
    <w:rsid w:val="004C5D52"/>
    <w:rsid w:val="0050519A"/>
    <w:rsid w:val="005072A1"/>
    <w:rsid w:val="00514517"/>
    <w:rsid w:val="00545827"/>
    <w:rsid w:val="00560270"/>
    <w:rsid w:val="005803F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EF0"/>
    <w:rsid w:val="008C2AC6"/>
    <w:rsid w:val="00930C23"/>
    <w:rsid w:val="0093193B"/>
    <w:rsid w:val="009509D8"/>
    <w:rsid w:val="00950B64"/>
    <w:rsid w:val="00981893"/>
    <w:rsid w:val="009F125B"/>
    <w:rsid w:val="00A1687D"/>
    <w:rsid w:val="00A43E52"/>
    <w:rsid w:val="00A4678D"/>
    <w:rsid w:val="00A778C7"/>
    <w:rsid w:val="00AB441E"/>
    <w:rsid w:val="00AB6293"/>
    <w:rsid w:val="00AE0928"/>
    <w:rsid w:val="00AF024F"/>
    <w:rsid w:val="00AF3B82"/>
    <w:rsid w:val="00B12E95"/>
    <w:rsid w:val="00B22876"/>
    <w:rsid w:val="00B558F0"/>
    <w:rsid w:val="00BC3FE9"/>
    <w:rsid w:val="00BD48FE"/>
    <w:rsid w:val="00BD7BD8"/>
    <w:rsid w:val="00BE6ADC"/>
    <w:rsid w:val="00BF0224"/>
    <w:rsid w:val="00C05BFE"/>
    <w:rsid w:val="00C23CD4"/>
    <w:rsid w:val="00C61C0C"/>
    <w:rsid w:val="00C941CB"/>
    <w:rsid w:val="00CC2357"/>
    <w:rsid w:val="00CF071A"/>
    <w:rsid w:val="00D058B8"/>
    <w:rsid w:val="00D55C3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258A1"/>
  <w15:chartTrackingRefBased/>
  <w15:docId w15:val="{F3010174-79D8-46CC-A54E-C40628CD1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4048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4048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4048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40485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40485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40485"/>
    <w:rPr>
      <w:sz w:val="24"/>
      <w:szCs w:val="24"/>
      <w:lang w:val="hr-HR" w:eastAsia="en-US"/>
    </w:rPr>
  </w:style>
  <w:style w:type="paragraph" w:customStyle="1" w:styleId="StyleBoldItalicAfter12pt">
    <w:name w:val="Style Bold Italic After:  12 pt"/>
    <w:basedOn w:val="Normal"/>
    <w:rsid w:val="00440485"/>
    <w:pPr>
      <w:spacing w:after="240"/>
    </w:pPr>
    <w:rPr>
      <w:b/>
      <w:bCs/>
      <w:i/>
      <w:iCs/>
      <w:lang w:eastAsia="en-US"/>
    </w:rPr>
  </w:style>
  <w:style w:type="character" w:styleId="FollowedHyperlink">
    <w:name w:val="FollowedHyperlink"/>
    <w:basedOn w:val="DefaultParagraphFont"/>
    <w:rsid w:val="00BF022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F022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eli/reg/2024/765/oj" TargetMode="External"/><Relationship Id="rId7" Type="http://schemas.openxmlformats.org/officeDocument/2006/relationships/hyperlink" Target="https://doi.org/10.1787/bcea6d2d-en" TargetMode="External"/><Relationship Id="rId2" Type="http://schemas.openxmlformats.org/officeDocument/2006/relationships/hyperlink" Target="http://data.europa.eu/eli/reg/2022/2496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s://www.oecd.org/en/publications/strengthening-performance-reporting-practices_bcea6d2d-en.html" TargetMode="External"/><Relationship Id="rId5" Type="http://schemas.openxmlformats.org/officeDocument/2006/relationships/hyperlink" Target="https://eur-lex.europa.eu/eli/reg/2024/2509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4498</Words>
  <Characters>29111</Characters>
  <Application>Microsoft Office Word</Application>
  <DocSecurity>0</DocSecurity>
  <Lines>242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SEMEDO Teresa</cp:lastModifiedBy>
  <cp:revision>3</cp:revision>
  <cp:lastPrinted>2004-11-19T15:42:00Z</cp:lastPrinted>
  <dcterms:created xsi:type="dcterms:W3CDTF">2026-02-25T10:45:00Z</dcterms:created>
  <dcterms:modified xsi:type="dcterms:W3CDTF">2026-05-27T07:42:00Z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A10-0268/2025</vt:lpwstr>
  </property>
  <property fmtid="{D5CDD505-2E9C-101B-9397-08002B2CF9AE}" pid="4" name="&lt;Type&gt;">
    <vt:lpwstr>RR</vt:lpwstr>
  </property>
</Properties>
</file>