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086B" w14:paraId="0958E5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EE4F68" w14:textId="77777777" w:rsidR="00751A4A" w:rsidRPr="00FB086B" w:rsidRDefault="00DA4423" w:rsidP="0010095E">
            <w:pPr>
              <w:pStyle w:val="EPName"/>
            </w:pPr>
            <w:r w:rsidRPr="00FB086B">
              <w:t>Parlament Ewropew</w:t>
            </w:r>
          </w:p>
          <w:p w14:paraId="49692A30" w14:textId="77777777" w:rsidR="00751A4A" w:rsidRPr="00FB08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086B">
              <w:t>2024</w:t>
            </w:r>
            <w:r w:rsidR="00817416" w:rsidRPr="00FB086B">
              <w:t>-202</w:t>
            </w:r>
            <w:r w:rsidRPr="00FB086B">
              <w:t>9</w:t>
            </w:r>
          </w:p>
        </w:tc>
        <w:tc>
          <w:tcPr>
            <w:tcW w:w="2268" w:type="dxa"/>
            <w:shd w:val="clear" w:color="auto" w:fill="auto"/>
          </w:tcPr>
          <w:p w14:paraId="6284525F" w14:textId="77777777" w:rsidR="00751A4A" w:rsidRPr="00FB086B" w:rsidRDefault="00187494" w:rsidP="0010095E">
            <w:pPr>
              <w:pStyle w:val="EPLogo"/>
            </w:pPr>
            <w:r w:rsidRPr="00FB086B">
              <w:rPr>
                <w:noProof/>
                <w:lang w:eastAsia="ja-JP"/>
              </w:rPr>
              <w:drawing>
                <wp:inline distT="0" distB="0" distL="0" distR="0" wp14:anchorId="520C78FC" wp14:editId="438A32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6FC530" w14:textId="77777777" w:rsidR="00D058B8" w:rsidRPr="00FB086B" w:rsidRDefault="00D058B8" w:rsidP="004C5D52">
      <w:pPr>
        <w:pStyle w:val="LineTop"/>
      </w:pPr>
    </w:p>
    <w:p w14:paraId="04EC83C7" w14:textId="77777777" w:rsidR="00680577" w:rsidRPr="00FB086B" w:rsidRDefault="00DA4423" w:rsidP="00680577">
      <w:pPr>
        <w:pStyle w:val="EPBodyTA1"/>
      </w:pPr>
      <w:r w:rsidRPr="00FB086B">
        <w:t>TESTI ADOTTATI</w:t>
      </w:r>
    </w:p>
    <w:p w14:paraId="00882BC2" w14:textId="77777777" w:rsidR="00D058B8" w:rsidRPr="00FB086B" w:rsidRDefault="00D058B8" w:rsidP="00D058B8">
      <w:pPr>
        <w:pStyle w:val="LineBottom"/>
      </w:pPr>
    </w:p>
    <w:p w14:paraId="03036961" w14:textId="1932E82E" w:rsidR="00DA4423" w:rsidRPr="00FB086B" w:rsidRDefault="00DA4423" w:rsidP="00DA4423">
      <w:pPr>
        <w:pStyle w:val="ATHeading1"/>
      </w:pPr>
      <w:bookmarkStart w:id="0" w:name="TANumber"/>
      <w:r w:rsidRPr="00FB086B">
        <w:t>P10_TA(2026)00</w:t>
      </w:r>
      <w:r w:rsidR="00FC0434">
        <w:t>21</w:t>
      </w:r>
      <w:bookmarkEnd w:id="0"/>
    </w:p>
    <w:p w14:paraId="34EE4EAF" w14:textId="7DE56462" w:rsidR="00DA4423" w:rsidRPr="00FB086B" w:rsidRDefault="006D1370" w:rsidP="006D1370">
      <w:pPr>
        <w:pStyle w:val="ATHeading2"/>
      </w:pPr>
      <w:r>
        <w:t>L-għażla tal-indikaturi tal-prestazzjoni għall-awditu u l-kontroll baġitarju fil-kuntest ta’ miżuri ta' finanzjament maħsuba biex jappoġġaw l-implimentazzjoni tal-kompetittività futura tal-Ewropa</w:t>
      </w:r>
    </w:p>
    <w:p w14:paraId="354D6780" w14:textId="77777777" w:rsidR="00DA4423" w:rsidRPr="006D1370" w:rsidRDefault="00DA4423" w:rsidP="00DA4423">
      <w:pPr>
        <w:rPr>
          <w:i/>
          <w:vanish/>
        </w:rPr>
      </w:pPr>
      <w:r w:rsidRPr="006D1370">
        <w:rPr>
          <w:i/>
        </w:rPr>
        <w:fldChar w:fldCharType="begin"/>
      </w:r>
      <w:r w:rsidRPr="006D1370">
        <w:rPr>
          <w:i/>
        </w:rPr>
        <w:instrText xml:space="preserve"> TC"(</w:instrText>
      </w:r>
      <w:bookmarkStart w:id="1" w:name="DocNumber"/>
      <w:r w:rsidRPr="006D1370">
        <w:rPr>
          <w:i/>
        </w:rPr>
        <w:instrText>A10-0268/2025</w:instrText>
      </w:r>
      <w:bookmarkEnd w:id="1"/>
      <w:r w:rsidRPr="006D1370">
        <w:rPr>
          <w:i/>
        </w:rPr>
        <w:instrText xml:space="preserve"> - Rapporteur: Olivier Chastel)"\l3 \n&gt; \* MERGEFORMAT </w:instrText>
      </w:r>
      <w:r w:rsidRPr="006D1370">
        <w:rPr>
          <w:i/>
        </w:rPr>
        <w:fldChar w:fldCharType="end"/>
      </w:r>
    </w:p>
    <w:p w14:paraId="75887579" w14:textId="77777777" w:rsidR="00DA4423" w:rsidRPr="006D1370" w:rsidRDefault="00DA4423" w:rsidP="00DA4423">
      <w:pPr>
        <w:rPr>
          <w:vanish/>
        </w:rPr>
      </w:pPr>
      <w:bookmarkStart w:id="2" w:name="Commission"/>
      <w:r w:rsidRPr="006D1370">
        <w:rPr>
          <w:vanish/>
        </w:rPr>
        <w:t>Kumitat għall-Kontroll tal-Baġit</w:t>
      </w:r>
      <w:bookmarkEnd w:id="2"/>
    </w:p>
    <w:p w14:paraId="0F0F8E98" w14:textId="77777777" w:rsidR="00DA4423" w:rsidRPr="00FB086B" w:rsidRDefault="00DA4423" w:rsidP="00DA4423">
      <w:pPr>
        <w:rPr>
          <w:vanish/>
        </w:rPr>
      </w:pPr>
      <w:bookmarkStart w:id="3" w:name="PE"/>
      <w:r w:rsidRPr="00FB086B">
        <w:rPr>
          <w:vanish/>
        </w:rPr>
        <w:t>PE778.327</w:t>
      </w:r>
      <w:bookmarkEnd w:id="3"/>
    </w:p>
    <w:p w14:paraId="62DE212D" w14:textId="051D1ED3" w:rsidR="00DA4423" w:rsidRPr="00FB086B" w:rsidRDefault="00DA4423" w:rsidP="00DA4423">
      <w:pPr>
        <w:pStyle w:val="ATHeading3"/>
      </w:pPr>
      <w:bookmarkStart w:id="4" w:name="Sujet"/>
      <w:r w:rsidRPr="00FB086B">
        <w:t xml:space="preserve">Riżoluzzjoni tal-Parlament Ewropew </w:t>
      </w:r>
      <w:r w:rsidR="006D1370">
        <w:t>tat-22 ta’ Jannar</w:t>
      </w:r>
      <w:r w:rsidRPr="00FB086B">
        <w:t xml:space="preserve"> 2026 dwar l-għażla tal-indikaturi tal-prestazzjoni għall-awditu u l-kontroll baġitarju fil-kuntest ta’ miżuri ta’ finanzjament maħsuba biex jappoġġjaw l-implimentazzjoni tal-kompetittività futura tal-Ewropa</w:t>
      </w:r>
      <w:bookmarkEnd w:id="4"/>
      <w:r w:rsidRPr="00FB086B">
        <w:t xml:space="preserve"> </w:t>
      </w:r>
      <w:bookmarkStart w:id="5" w:name="References"/>
      <w:r w:rsidRPr="00FB086B">
        <w:t>(2025/2034(INI))</w:t>
      </w:r>
      <w:bookmarkEnd w:id="5"/>
    </w:p>
    <w:p w14:paraId="45CF3AF7" w14:textId="77777777" w:rsidR="007D189B" w:rsidRPr="00FB086B" w:rsidRDefault="007D189B" w:rsidP="007D189B">
      <w:pPr>
        <w:pStyle w:val="Normal12"/>
      </w:pPr>
      <w:r w:rsidRPr="00FB086B">
        <w:rPr>
          <w:i/>
        </w:rPr>
        <w:t>Il-Parlament Ewropew</w:t>
      </w:r>
      <w:r w:rsidRPr="00FB086B">
        <w:t>,</w:t>
      </w:r>
    </w:p>
    <w:p w14:paraId="3A15DC9D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t-Trattat dwar l-Unjoni Ewropea,</w:t>
      </w:r>
    </w:p>
    <w:p w14:paraId="73BD466D" w14:textId="77777777" w:rsidR="007D189B" w:rsidRPr="00FB086B" w:rsidRDefault="007D189B" w:rsidP="007D189B">
      <w:pPr>
        <w:pStyle w:val="NormalHanging12a"/>
      </w:pPr>
      <w:r w:rsidRPr="00FB086B">
        <w:t>–</w:t>
      </w:r>
      <w:r w:rsidRPr="00FB086B">
        <w:tab/>
        <w:t>wara li kkunsidra t-Trattat dwar il-Funzjonament tal-Unjoni Ewropea (TFUE), u b’mod partikolari l-Artikolu 318 u l-Artikolu 322(1)(a) tiegħu,</w:t>
      </w:r>
    </w:p>
    <w:p w14:paraId="3F43CA2B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r-Regolament tal-Kunsill (UE, Euratom) 2020/2093 tas-17 ta’ Diċembru 2020 li jistabbilixxi l-qafas finanzjarju pluriennali għas-snin mill-2021 sal-2027</w:t>
      </w:r>
      <w:r w:rsidRPr="00FB086B">
        <w:rPr>
          <w:rStyle w:val="FootnoteReference"/>
        </w:rPr>
        <w:footnoteReference w:id="1"/>
      </w:r>
      <w:r w:rsidRPr="00FB086B">
        <w:t>,</w:t>
      </w:r>
    </w:p>
    <w:p w14:paraId="26AFB627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r-Regolament tal-Kunsill (UE, Euratom) 2022/2496 tal-15 ta’ Diċembru 2022 li jemenda r-Regolament (UE, Euratom) 2020/2093 li jistabbilixxi l-qafas finanzjarju pluriennali għas-snin mill-2021 sal-2027</w:t>
      </w:r>
      <w:r w:rsidRPr="00FB086B">
        <w:rPr>
          <w:rStyle w:val="FootnoteReference"/>
        </w:rPr>
        <w:footnoteReference w:id="2"/>
      </w:r>
      <w:r w:rsidRPr="00FB086B">
        <w:t>,</w:t>
      </w:r>
    </w:p>
    <w:p w14:paraId="3DEBCA8A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r-Regolament tal-Kunsill (UE, Euratom) 2024/765 tad-29 ta’ Frar 2024 li jemenda r-Regolament (UE, Euratom) 2020/2093 li jistabbilixxi l-qafas finanzjarju pluriennali għas-snin mill-2021 sal-2027</w:t>
      </w:r>
      <w:r w:rsidRPr="00FB086B">
        <w:rPr>
          <w:rStyle w:val="FootnoteReference"/>
        </w:rPr>
        <w:footnoteReference w:id="3"/>
      </w:r>
      <w:r w:rsidRPr="00FB086B">
        <w:t>,</w:t>
      </w:r>
    </w:p>
    <w:p w14:paraId="19C5D7D8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 xml:space="preserve">wara li kkunsidra l-Ftehim Interistituzzjonali tas-16 ta’ Diċembru 2020 bejn il-Parlament Ewropew, il-Kunsill tal-Unjoni Ewropea u l-Kummissjoni Ewropea dwar dixxiplina baġitarja, dwar kooperazzjoni f’materji baġitarji u dwar ġestjoni finanzjarja </w:t>
      </w:r>
      <w:r w:rsidRPr="00FB086B">
        <w:lastRenderedPageBreak/>
        <w:t>tajba, kif ukoll dwar riżorsi proprji ġodda, inkluż pjan direzzjonali lejn l-introduzzjoni ta’ riżorsi proprji ġodda</w:t>
      </w:r>
      <w:r w:rsidRPr="00FB086B">
        <w:rPr>
          <w:rStyle w:val="FootnoteReference"/>
        </w:rPr>
        <w:footnoteReference w:id="4"/>
      </w:r>
      <w:r w:rsidRPr="00FB086B">
        <w:t>,</w:t>
      </w:r>
    </w:p>
    <w:p w14:paraId="55F6266D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l-komunikazzjoni tal-Kummissjoni tat-8 ta’ Ġunju 2021 dwar il-qafas ta’ prestazzjoni tal-baġit tal-UE skont il-QFP 2021-2027 (COM(2021)0366) u d-dokument ta’ ħidma tal-persunal li jakkumpanjaha (SWD(2021)0133),</w:t>
      </w:r>
    </w:p>
    <w:p w14:paraId="5F2CFCD6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l-proposta tal-Kummissjoni tas-16 ta’ Lulju 2025 għal regolament tal-Kunsill li jistabbilixxi l-qafas finanzjarju pluriennali għas-snin mill-2028 sal-2034 (COM(2025)0571),</w:t>
      </w:r>
    </w:p>
    <w:p w14:paraId="5BEC8464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l-proposta tal-Kummissjoni tas-16 ta’ Lulju 2025 għal regolament tal-Parlament Ewropew u tal-Kunsill li jistabbilixxi qafas ta’ traċċar u ta’ prestazzjoni tan-nefqa baġitarja u regoli orizzontali oħra għall-programmi u għall-attivitajiet tal-Unjoni (COM(2025)0545) u r-rapport dwar il-valutazzjoni tal-impatt li jakkumpanjaha (SWD(2025)0590),</w:t>
      </w:r>
    </w:p>
    <w:p w14:paraId="1B9FEAB0" w14:textId="18CD639C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l-proposta tal-Kummissjoni tas-16 ta’ Lulju 2025 għal regolament tal-Parlament Ewropew u tal-Kunsill dwar l-istabbiliment tal-Fond Ewropew għall-Kompetittività (“FEK”), inkluż il-programm speċifiku għal attivitajiet ta’ riċerka u ta’ innovazzjoni fil-qasam tad-difiża, li jħassar ir-Regolamenti (UE) 2021/522, (UE) 2021/694, (UE) 2021/697, (UE) 2021/783, li jħassar id-dispożizzjonijiet tar-Regolamenti (UE) 2021/696, (UE) 2023/588, u li jemenda r-Regolament (UE) [EDIP] (COM(2025)</w:t>
      </w:r>
      <w:r w:rsidR="00064B99">
        <w:t>0</w:t>
      </w:r>
      <w:r w:rsidRPr="00FB086B">
        <w:t>555),</w:t>
      </w:r>
    </w:p>
    <w:p w14:paraId="60FB2D2A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r-Regolament (UE, Euratom) 2024/2509 tal-Parlament Ewropew u tal-Kunsill tat-23 ta’ Settembru 2024 dwar ir-regoli finanzjarji applikabbli għall-baġit ġenerali tal-Unjoni</w:t>
      </w:r>
      <w:r w:rsidRPr="00FB086B">
        <w:rPr>
          <w:rStyle w:val="FootnoteReference"/>
        </w:rPr>
        <w:footnoteReference w:id="5"/>
      </w:r>
      <w:r w:rsidRPr="00FB086B">
        <w:t xml:space="preserve"> (Regolament Finanzjarju), u b’mod partikolari l-Artikolu 33 tiegħu,</w:t>
      </w:r>
    </w:p>
    <w:p w14:paraId="1F008C30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 xml:space="preserve">wara li kkunsidra l-pubblikazzjoni tat-18 ta’ Lulju 2024 tal-President tal-Kummissjoni Ursula von der </w:t>
      </w:r>
      <w:proofErr w:type="spellStart"/>
      <w:r w:rsidRPr="00FB086B">
        <w:t>Leyen</w:t>
      </w:r>
      <w:proofErr w:type="spellEnd"/>
      <w:r w:rsidRPr="00FB086B">
        <w:t xml:space="preserve"> bit-titolu “L-għażla quddiem l-Ewropa: linji gwida politiċi għall-Kummissjoni Ewropea li jmiss 2024-2029”,</w:t>
      </w:r>
    </w:p>
    <w:p w14:paraId="730EBE70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 xml:space="preserve">wara li kkunsidra r-rapport tad-9 ta’ Settembru 2024 ta’ Mario </w:t>
      </w:r>
      <w:proofErr w:type="spellStart"/>
      <w:r w:rsidRPr="00FB086B">
        <w:t>Draghi</w:t>
      </w:r>
      <w:proofErr w:type="spellEnd"/>
      <w:r w:rsidRPr="00FB086B">
        <w:t xml:space="preserve"> bit-titolu “</w:t>
      </w:r>
      <w:proofErr w:type="spellStart"/>
      <w:r w:rsidRPr="00FB086B">
        <w:t>The</w:t>
      </w:r>
      <w:proofErr w:type="spellEnd"/>
      <w:r w:rsidRPr="00FB086B">
        <w:t xml:space="preserve"> </w:t>
      </w:r>
      <w:proofErr w:type="spellStart"/>
      <w:r w:rsidRPr="00FB086B">
        <w:t>future</w:t>
      </w:r>
      <w:proofErr w:type="spellEnd"/>
      <w:r w:rsidRPr="00FB086B">
        <w:t xml:space="preserve"> of </w:t>
      </w:r>
      <w:proofErr w:type="spellStart"/>
      <w:r w:rsidRPr="00FB086B">
        <w:t>European</w:t>
      </w:r>
      <w:proofErr w:type="spellEnd"/>
      <w:r w:rsidRPr="00FB086B">
        <w:t xml:space="preserve"> </w:t>
      </w:r>
      <w:proofErr w:type="spellStart"/>
      <w:r w:rsidRPr="00FB086B">
        <w:t>competitiveness</w:t>
      </w:r>
      <w:proofErr w:type="spellEnd"/>
      <w:r w:rsidRPr="00FB086B">
        <w:t xml:space="preserve">” (Il-futur tal-kompetittività Ewropea) (ir-rapport ta’ </w:t>
      </w:r>
      <w:proofErr w:type="spellStart"/>
      <w:r w:rsidRPr="00FB086B">
        <w:t>Draghi</w:t>
      </w:r>
      <w:proofErr w:type="spellEnd"/>
      <w:r w:rsidRPr="00FB086B">
        <w:t>),</w:t>
      </w:r>
    </w:p>
    <w:p w14:paraId="17ACC6F3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 xml:space="preserve">wara li kkunsidra r-rapport tas-17 ta’ April 2024 ta’ Enrico </w:t>
      </w:r>
      <w:proofErr w:type="spellStart"/>
      <w:r w:rsidRPr="00FB086B">
        <w:t>Letta</w:t>
      </w:r>
      <w:proofErr w:type="spellEnd"/>
      <w:r w:rsidRPr="00FB086B">
        <w:t xml:space="preserve"> bit-titolu “</w:t>
      </w:r>
      <w:proofErr w:type="spellStart"/>
      <w:r w:rsidRPr="00FB086B">
        <w:t>Much</w:t>
      </w:r>
      <w:proofErr w:type="spellEnd"/>
      <w:r w:rsidRPr="00FB086B">
        <w:t xml:space="preserve"> </w:t>
      </w:r>
      <w:proofErr w:type="spellStart"/>
      <w:r w:rsidRPr="00FB086B">
        <w:t>more</w:t>
      </w:r>
      <w:proofErr w:type="spellEnd"/>
      <w:r w:rsidRPr="00FB086B">
        <w:t xml:space="preserve"> </w:t>
      </w:r>
      <w:proofErr w:type="spellStart"/>
      <w:r w:rsidRPr="00FB086B">
        <w:t>than</w:t>
      </w:r>
      <w:proofErr w:type="spellEnd"/>
      <w:r w:rsidRPr="00FB086B">
        <w:t xml:space="preserve"> a </w:t>
      </w:r>
      <w:proofErr w:type="spellStart"/>
      <w:r w:rsidRPr="00FB086B">
        <w:t>market</w:t>
      </w:r>
      <w:proofErr w:type="spellEnd"/>
      <w:r w:rsidRPr="00FB086B">
        <w:t xml:space="preserve">” (Ħafna aktar milli suq) (ir-rapport ta’ </w:t>
      </w:r>
      <w:proofErr w:type="spellStart"/>
      <w:r w:rsidRPr="00FB086B">
        <w:t>Letta</w:t>
      </w:r>
      <w:proofErr w:type="spellEnd"/>
      <w:r w:rsidRPr="00FB086B">
        <w:t>),</w:t>
      </w:r>
    </w:p>
    <w:p w14:paraId="5A592048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l-komunikazzjoni tal-Kummissjoni tad-29 ta’ Jannar 2025 bit-titolu “Boxxla għall-Kompetittività tal-UE” (COM(2025)0030),</w:t>
      </w:r>
    </w:p>
    <w:p w14:paraId="2838595A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l-komunikazzjoni tal-Kummissjoni tal-11 ta’ Frar 2025 bit-titolu “Il-perkors lejn il-qafas finanzjarju pluriennali li jmiss” (COM(2025)0046),</w:t>
      </w:r>
    </w:p>
    <w:p w14:paraId="14C89A74" w14:textId="77777777" w:rsidR="007D189B" w:rsidRPr="00FB086B" w:rsidRDefault="007D189B" w:rsidP="007D189B">
      <w:pPr>
        <w:pStyle w:val="NormalHanging"/>
      </w:pPr>
      <w:r w:rsidRPr="00FB086B">
        <w:lastRenderedPageBreak/>
        <w:t>–</w:t>
      </w:r>
      <w:r w:rsidRPr="00FB086B">
        <w:tab/>
        <w:t>wara li kkunsidra r-riżoluzzjoni tiegħu tas-7 ta’ Mejju 2025 dwar baġit imġedded fit-tul għall-Unjoni f’dinja li qed tinbidel</w:t>
      </w:r>
      <w:r w:rsidRPr="00FB086B">
        <w:rPr>
          <w:rStyle w:val="FootnoteReference"/>
        </w:rPr>
        <w:footnoteReference w:id="6"/>
      </w:r>
      <w:r w:rsidRPr="00FB086B">
        <w:t>,</w:t>
      </w:r>
    </w:p>
    <w:p w14:paraId="6EDA15ED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l-pubblikazzjonijiet tal-Qorti Ewropea tal-Awdituri (QEA),</w:t>
      </w:r>
    </w:p>
    <w:p w14:paraId="3F88115F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l-istudju mitlub mill-Kumitat għall-Baġits tiegħu bit-titolu “</w:t>
      </w:r>
      <w:proofErr w:type="spellStart"/>
      <w:r w:rsidRPr="00FB086B">
        <w:t>Performance</w:t>
      </w:r>
      <w:proofErr w:type="spellEnd"/>
      <w:r w:rsidRPr="00FB086B">
        <w:t xml:space="preserve"> </w:t>
      </w:r>
      <w:proofErr w:type="spellStart"/>
      <w:r w:rsidRPr="00FB086B">
        <w:t>framework</w:t>
      </w:r>
      <w:proofErr w:type="spellEnd"/>
      <w:r w:rsidRPr="00FB086B">
        <w:t xml:space="preserve"> </w:t>
      </w:r>
      <w:proofErr w:type="spellStart"/>
      <w:r w:rsidRPr="00FB086B">
        <w:t>for</w:t>
      </w:r>
      <w:proofErr w:type="spellEnd"/>
      <w:r w:rsidRPr="00FB086B">
        <w:t xml:space="preserve"> </w:t>
      </w:r>
      <w:proofErr w:type="spellStart"/>
      <w:r w:rsidRPr="00FB086B">
        <w:t>the</w:t>
      </w:r>
      <w:proofErr w:type="spellEnd"/>
      <w:r w:rsidRPr="00FB086B">
        <w:t xml:space="preserve"> EU budget – </w:t>
      </w:r>
      <w:proofErr w:type="spellStart"/>
      <w:r w:rsidRPr="00FB086B">
        <w:t>Concepts</w:t>
      </w:r>
      <w:proofErr w:type="spellEnd"/>
      <w:r w:rsidRPr="00FB086B">
        <w:t xml:space="preserve"> </w:t>
      </w:r>
      <w:proofErr w:type="spellStart"/>
      <w:r w:rsidRPr="00FB086B">
        <w:t>and</w:t>
      </w:r>
      <w:proofErr w:type="spellEnd"/>
      <w:r w:rsidRPr="00FB086B">
        <w:t xml:space="preserve"> </w:t>
      </w:r>
      <w:proofErr w:type="spellStart"/>
      <w:r w:rsidRPr="00FB086B">
        <w:t>practices</w:t>
      </w:r>
      <w:proofErr w:type="spellEnd"/>
      <w:r w:rsidRPr="00FB086B">
        <w:t>” (Qafas ta’ prestazzjoni għall-baġit tal-UE – Kunċetti u prattiki), ippubblikat f’Marzu 2024</w:t>
      </w:r>
      <w:r w:rsidRPr="00FB086B">
        <w:rPr>
          <w:rStyle w:val="FootnoteReference"/>
        </w:rPr>
        <w:footnoteReference w:id="7"/>
      </w:r>
      <w:r w:rsidRPr="00FB086B">
        <w:t>,</w:t>
      </w:r>
    </w:p>
    <w:p w14:paraId="620F2F1E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l-Artikolu 55 tar-Regoli ta’ Proċedura tiegħu,</w:t>
      </w:r>
    </w:p>
    <w:p w14:paraId="7B8F8848" w14:textId="77777777" w:rsidR="007D189B" w:rsidRPr="00FB086B" w:rsidRDefault="007D189B" w:rsidP="007D189B">
      <w:pPr>
        <w:pStyle w:val="NormalHanging"/>
      </w:pPr>
      <w:r w:rsidRPr="00FB086B">
        <w:t>–</w:t>
      </w:r>
      <w:r w:rsidRPr="00FB086B">
        <w:tab/>
        <w:t>wara li kkunsidra r-rapport tal-Kumitat għall-Kontroll tal-Baġit (A10-0268/2025),</w:t>
      </w:r>
    </w:p>
    <w:p w14:paraId="4C6C320F" w14:textId="77777777" w:rsidR="007D189B" w:rsidRPr="00FB086B" w:rsidRDefault="007D189B" w:rsidP="007D189B">
      <w:pPr>
        <w:pStyle w:val="NormalHanging"/>
      </w:pPr>
      <w:r w:rsidRPr="00FB086B">
        <w:t>A.</w:t>
      </w:r>
      <w:r w:rsidRPr="00FB086B">
        <w:tab/>
        <w:t>billi ġestjoni finanzjarja tajba, kif definita fir-Regolament Finanzjarju, tirrikjedi li l-fondi tal-UE jiġu implimentati f’konformità mal-prinċipji tal-ekonomija, l-effiċjenza u l-effettività; billi l-kunċett ta’ prestazzjoni fir-rigward tal-baġit għandu jkun marbut mal-applikazzjoni diretta tal-prinċipju tal-ġestjoni finanzjarja tajba;</w:t>
      </w:r>
    </w:p>
    <w:p w14:paraId="6DC945AF" w14:textId="77777777" w:rsidR="007D189B" w:rsidRPr="00FB086B" w:rsidRDefault="007D189B" w:rsidP="007D189B">
      <w:pPr>
        <w:pStyle w:val="NormalHanging12a"/>
        <w:rPr>
          <w:bCs/>
          <w:iCs/>
        </w:rPr>
      </w:pPr>
      <w:r w:rsidRPr="00FB086B">
        <w:t>B.</w:t>
      </w:r>
      <w:r w:rsidRPr="00FB086B">
        <w:tab/>
        <w:t>billi l-Artikolu 318 tat-TFUE jirrikjedi li l-Kummissjoni kull sena tippreżenta lill-Parlament u lill-Kunsill il-kontijiet tas-sena finanzjarja preċedenti relatati mal-implimentazzjoni tal-baġit, flimkien ma’ rapport ta’ evalwazzjoni dwar il-finanzi tal-Unjoni bbażat fuq ir-riżultati miksuba; billi, barra minn hekk, skont l-Artikolu 322 tat-TFUE, għandhom jiġu adottati regoli finanzjarji li jiddeterminaw il-proċedura għall-implimentazzjoni tal-baġit u għall-preżentazzjoni u l-awditjar tal-kontijiet; billi l-użu ta’ indikaturi xierqa, affidabbli u trasparenti għall-kejl tal-kisba tar-riżultati u għall-finijiet tal-awditjar jista’ jtejjeb l-evalwazzjoni tal-implimentazzjoni u t-tqabbil tal-baġit imwettqa mill-Parlament u mill-Kunsill fuq bażi annwali;</w:t>
      </w:r>
    </w:p>
    <w:p w14:paraId="5D833B6A" w14:textId="77777777" w:rsidR="007D189B" w:rsidRPr="00FB086B" w:rsidRDefault="007D189B" w:rsidP="007D189B">
      <w:pPr>
        <w:pStyle w:val="NormalHanging12a"/>
      </w:pPr>
      <w:r w:rsidRPr="00FB086B">
        <w:t>C.</w:t>
      </w:r>
      <w:r w:rsidRPr="00FB086B">
        <w:tab/>
        <w:t>billi f’konformità mar-Regolament Finanzjarju, għandha tiġi stabbilita rabta bejn l-objettivi stabbiliti u l-indikaturi tal-prestazzjoni, ir-riżultati u l-prinċipji tal-ekonomija, tal-effiċjenza u tal-effettività; billi r-riformulazzjoni tal-2024 tar-Regolament Finanzjarju saħħet il-bażi legali tal-qafas ta’ prestazzjoni u kkonfermat li l-progress fl-ilħuq tal-objettivi għandu jiġi mmonitorjat bl-użu ta’ indikaturi tal-prestazzjoni li jissodisfaw il-kriterji RACER (</w:t>
      </w:r>
      <w:proofErr w:type="spellStart"/>
      <w:r w:rsidRPr="00FB086B">
        <w:t>relevant</w:t>
      </w:r>
      <w:proofErr w:type="spellEnd"/>
      <w:r w:rsidRPr="00FB086B">
        <w:t xml:space="preserve">, </w:t>
      </w:r>
      <w:proofErr w:type="spellStart"/>
      <w:r w:rsidRPr="00FB086B">
        <w:t>accepted</w:t>
      </w:r>
      <w:proofErr w:type="spellEnd"/>
      <w:r w:rsidRPr="00FB086B">
        <w:t xml:space="preserve">, </w:t>
      </w:r>
      <w:proofErr w:type="spellStart"/>
      <w:r w:rsidRPr="00FB086B">
        <w:t>credible</w:t>
      </w:r>
      <w:proofErr w:type="spellEnd"/>
      <w:r w:rsidRPr="00FB086B">
        <w:t xml:space="preserve">, </w:t>
      </w:r>
      <w:proofErr w:type="spellStart"/>
      <w:r w:rsidRPr="00FB086B">
        <w:t>easy</w:t>
      </w:r>
      <w:proofErr w:type="spellEnd"/>
      <w:r w:rsidRPr="00FB086B">
        <w:t>, robust – rilevanti, aċċettati, kredibbli, faċli, robusti), li huma bbażati fuq evidenza xjentifika rikonoxxuta sew, li għandhom definizzjonijiet ċari u li huma disponibbli f’format miftuħ u li jinqara mill-magni; billi, meta applikabbli, dawn l-indikaturi għandhom jiġu diżaggregati skont il-ġeneru u jkunu jistgħu jiġu aggregati; billi għandha tiġi definita metodoloġija effettiva, trasparenti u komprensiva, meta rilevanti;</w:t>
      </w:r>
    </w:p>
    <w:p w14:paraId="0E8B40A1" w14:textId="77777777" w:rsidR="007D189B" w:rsidRPr="00FB086B" w:rsidRDefault="007D189B" w:rsidP="007D189B">
      <w:pPr>
        <w:pStyle w:val="NormalHanging12a"/>
        <w:rPr>
          <w:bCs/>
          <w:iCs/>
        </w:rPr>
      </w:pPr>
      <w:r w:rsidRPr="00FB086B">
        <w:t>D.</w:t>
      </w:r>
      <w:r w:rsidRPr="00FB086B">
        <w:tab/>
        <w:t>billi l-proposta tal-Kummissjoni għal regolament li jistabbilixxi qafas għall-</w:t>
      </w:r>
      <w:proofErr w:type="spellStart"/>
      <w:r w:rsidRPr="00FB086B">
        <w:t>ittrekkjar</w:t>
      </w:r>
      <w:proofErr w:type="spellEnd"/>
      <w:r w:rsidRPr="00FB086B">
        <w:t xml:space="preserve"> tan-nefqa baġitarja u għall-prestazzjoni tal-baġit tistabbilixxi qafas uniku għall-ibbaġitjar abbażi tal-prestazzjoni; billi l-proposta tiddefinixxi “indikatur tal-</w:t>
      </w:r>
      <w:proofErr w:type="spellStart"/>
      <w:r w:rsidRPr="00FB086B">
        <w:t>output</w:t>
      </w:r>
      <w:proofErr w:type="spellEnd"/>
      <w:r w:rsidRPr="00FB086B">
        <w:t xml:space="preserve">” bħala indikatur tal-prestazzjoni kwantitattiva li jimmonitorja dak li jiġi prodott jew appoġġjat direttament mill-implimentazzjoni ta’ attività, u “indikatur tar-riżultati” bħala indikatur tal-prestazzjoni kwantitattiva li jimmonitorja l-effetti diretti tal-attivitajiet </w:t>
      </w:r>
      <w:r w:rsidRPr="00FB086B">
        <w:lastRenderedPageBreak/>
        <w:t>appoġġjati; billi l-“indikaturi tal-impatt” spiss jintużaw għall-kejl tax-xejriet fl-objettivi fit-tul indirizzati minn intervent; billi l-“indikaturi tal-input” spiss jintużaw għall-kejl tar-riżorsi finanzjarji, umani, materjali, amministrattivi jew regolatorji użati biex jiġi implimentat intervent;</w:t>
      </w:r>
    </w:p>
    <w:p w14:paraId="0F3B2247" w14:textId="77777777" w:rsidR="007D189B" w:rsidRPr="00FB086B" w:rsidRDefault="007D189B" w:rsidP="007D189B">
      <w:pPr>
        <w:pStyle w:val="NormalHanging12a"/>
      </w:pPr>
      <w:r w:rsidRPr="00FB086B">
        <w:t>E.</w:t>
      </w:r>
      <w:r w:rsidRPr="00FB086B">
        <w:tab/>
        <w:t>billi l-iżgurar tal-prosperità u l-kompetittività sostenibbli tal-UE, il-promozzjoni tal-ekwità soċjali u t-tisħiħ tal-koeżjoni reġjonali jifformaw parti mill-prijoritajiet politiċi tal-Kummissjoni għall-2024-2029; billi huwa meħtieġ li jiġi attirat u mobilizzat l-investiment privat biex dawn l-objettivi jintlaħqu b’mod effettiv, u t-tlestija tal-unjoni bankarja u l-iżvilupp tal-unjoni tat-tfaddil u tal-investimenti se jkunu essenzjali għal dan l-għan;</w:t>
      </w:r>
    </w:p>
    <w:p w14:paraId="6A9EC3B3" w14:textId="77777777" w:rsidR="007D189B" w:rsidRPr="00FB086B" w:rsidRDefault="007D189B" w:rsidP="007D189B">
      <w:pPr>
        <w:pStyle w:val="NormalHanging"/>
      </w:pPr>
      <w:r w:rsidRPr="00FB086B">
        <w:t>F.</w:t>
      </w:r>
      <w:r w:rsidRPr="00FB086B">
        <w:tab/>
        <w:t xml:space="preserve">billi r-rapport ta’ </w:t>
      </w:r>
      <w:proofErr w:type="spellStart"/>
      <w:r w:rsidRPr="00FB086B">
        <w:t>Draghi</w:t>
      </w:r>
      <w:proofErr w:type="spellEnd"/>
      <w:r w:rsidRPr="00FB086B">
        <w:t xml:space="preserve"> wissa li t-tnaqqis fil-kompetittività tal-UE, iggravat mill-ambjent ġeopolitiku dejjem aktar instabbli, flimkien mas-sensiela ta’ kriżijiet li l-UE ffaċċjat f’dawn l-aħħar snin, joħolqu theddida eżistenzjali għall-Unjoni; billi r-rapport jistma li l-UE jeħtieġ li timmobilizza investiment pubbliku u privat addizzjonali ekwivalenti għal 4,4-4,7 % tal-PDG tal-UE – madwar EUR 750-800 biljun fis-sena bejn l-2025 u l-2030 – biex tagħlaq id-diskrepanza fl-investiment;</w:t>
      </w:r>
    </w:p>
    <w:p w14:paraId="67C695EC" w14:textId="77777777" w:rsidR="007D189B" w:rsidRPr="00FB086B" w:rsidRDefault="007D189B" w:rsidP="007D189B">
      <w:pPr>
        <w:pStyle w:val="NormalHanging"/>
      </w:pPr>
      <w:r w:rsidRPr="00FB086B">
        <w:t>G.</w:t>
      </w:r>
      <w:r w:rsidRPr="00FB086B">
        <w:tab/>
        <w:t xml:space="preserve">billi l-Boxxla għall-Kompetittività, filwaqt li tibni wkoll fuq ir-rapport ta’ </w:t>
      </w:r>
      <w:proofErr w:type="spellStart"/>
      <w:r w:rsidRPr="00FB086B">
        <w:t>Draghi</w:t>
      </w:r>
      <w:proofErr w:type="spellEnd"/>
      <w:r w:rsidRPr="00FB086B">
        <w:t xml:space="preserve">, tistabbilixxi t-triq strateġika tal-UE biex tirrestawra l-kompetittività tagħha globalment u tiffoka fuq tliet pilastri ċentrali – l-innovazzjoni, id-dekarbonizzazzjoni u s-sigurtà ekonomika – ikkomplementati minn faċilitaturi orizzontali bħas-simplifikazzjoni, koordinazzjoni akbar fil-livell tal-UE u tal-Istati Membri u suq uniku msaħħaħ, f’konformità mar-rapport ta’ </w:t>
      </w:r>
      <w:proofErr w:type="spellStart"/>
      <w:r w:rsidRPr="00FB086B">
        <w:t>Letta</w:t>
      </w:r>
      <w:proofErr w:type="spellEnd"/>
      <w:r w:rsidRPr="00FB086B">
        <w:t>;</w:t>
      </w:r>
    </w:p>
    <w:p w14:paraId="48726E27" w14:textId="77777777" w:rsidR="007D189B" w:rsidRPr="00FB086B" w:rsidRDefault="007D189B" w:rsidP="007D189B">
      <w:pPr>
        <w:pStyle w:val="NormalHanging12a"/>
      </w:pPr>
      <w:r w:rsidRPr="00FB086B">
        <w:t>H.</w:t>
      </w:r>
      <w:r w:rsidRPr="00FB086B">
        <w:tab/>
        <w:t>billi l-QEA ripetutament sabet dgħufijiet fit-tfassil, fl-implimentazzjoni u fl-obbligu ta’ rendikont tas-sistemi li jkejlu l-prestazzjoni użati għall-programmi ta’ finanzjament tal-UE, u appellat għal użu akbar ta’ indikaturi tal-prestazzjoni li jkejlu u li jimmonitorjaw l-effetti fit-tul tal-infiq tal-UE; billi l-iżgurar tal-affidabbiltà tal-informazzjoni dwar il-prestazzjoni huwa indispensabbli għall-protezzjoni tal-interessi finanzjarji tal-UE u għat-tisħiħ tal-fiduċja pubblika fil-baġit tal-UE;</w:t>
      </w:r>
    </w:p>
    <w:p w14:paraId="68F8ABD3" w14:textId="77777777" w:rsidR="007D189B" w:rsidRPr="00FB086B" w:rsidRDefault="007D189B" w:rsidP="007D189B">
      <w:pPr>
        <w:pStyle w:val="NormalHanging12a"/>
        <w:rPr>
          <w:bCs/>
          <w:iCs/>
        </w:rPr>
      </w:pPr>
      <w:r w:rsidRPr="00FB086B">
        <w:t>I.</w:t>
      </w:r>
      <w:r w:rsidRPr="00FB086B">
        <w:tab/>
        <w:t>billi huma meħtieġa miżuri deċiżivi biex tiżdied il-kompetittività tal-Ewropa sabiex jiġu appoġġjati livelli ogħla ta’ produttività, ta’ impjieg u ta’ prosperità; billi s-suq uniku integrat jibqa’ l-pedament tas-saħħa ekonomika tal-UE u tal-prosperità fit-tul tagħha; billi l-innovazzjoni, l-iżvilupp tal-ħiliet u l-moviment liberu tal-merkanzija, tas-servizzi, tal-kapital u tal-ħaddiema huma muturi ewlenin tal-kompetittività u t-tkabbir;</w:t>
      </w:r>
    </w:p>
    <w:p w14:paraId="26E4BFCE" w14:textId="77777777" w:rsidR="007D189B" w:rsidRPr="00FB086B" w:rsidRDefault="007D189B" w:rsidP="007D189B">
      <w:pPr>
        <w:pStyle w:val="StyleBoldItalicAfter12pt"/>
      </w:pPr>
      <w:r w:rsidRPr="00FB086B">
        <w:t>Kummenti ġenerali dwar il-qafas tal-prestazzjoni għall-baġit tal-UE u l-użu tal-indikaturi tal-prestazzjoni</w:t>
      </w:r>
    </w:p>
    <w:p w14:paraId="309F08DF" w14:textId="77777777" w:rsidR="007D189B" w:rsidRPr="00FB086B" w:rsidRDefault="007D189B" w:rsidP="007D189B">
      <w:pPr>
        <w:pStyle w:val="NormalHanging12a"/>
      </w:pPr>
      <w:r w:rsidRPr="00FB086B">
        <w:t>1.</w:t>
      </w:r>
      <w:r w:rsidRPr="00FB086B">
        <w:tab/>
        <w:t>Ifakkar fil-ħtieġa li jiġi żgurat li l-baġit tal-UE jwettaq il-prijoritajiet tal-politika tal-UE, inkluż li jagħti spinta lill-kompetittività, irawwem prosperità sostenibbli u inklużiva u jiżgura s-sovranità u l-indipendenza tal-UE bħala attur ġeopolitiku; jenfasizza li l-bidliet regolatorji huma importanti daqs il-miżuri ta’ finanzjament biex jintlaħqu dawn l-għanijiet; jissottolinja li l-infiq tal-UE għandu jikseb riżultati tanġibbli f’konformità mal-prinċipji ta’ ġestjoni finanzjarja tajba u għandu jiġi investit f’oqsma fejn l-azzjoni konġunta tal-UE għandha impatt u valur miżjud akbar mill-azzjoni politika nazzjonali jew sottonazzjonali;</w:t>
      </w:r>
    </w:p>
    <w:p w14:paraId="60240DFB" w14:textId="651DE82B" w:rsidR="007D189B" w:rsidRPr="00FB086B" w:rsidRDefault="007D189B" w:rsidP="007D189B">
      <w:pPr>
        <w:pStyle w:val="NormalHanging12a"/>
      </w:pPr>
      <w:r w:rsidRPr="00FB086B">
        <w:lastRenderedPageBreak/>
        <w:t xml:space="preserve">2. </w:t>
      </w:r>
      <w:r w:rsidRPr="00FB086B">
        <w:tab/>
        <w:t xml:space="preserve">Jisħaq li l-miżuri biex tissaħħaħ il-kompetittività </w:t>
      </w:r>
      <w:r w:rsidR="00931B1D" w:rsidRPr="00931B1D">
        <w:t>jistgħu jikkontribwixxu għal benefiċċji soċjetali usa’, dment li dawk il-miżuri jibqgħu ffukati fuq il-produttività, it-tkabbir u l-ħolqien tal-impjiegi</w:t>
      </w:r>
      <w:r w:rsidRPr="00FB086B">
        <w:t xml:space="preserve">; jinsisti li kwalunkwe qafas ta’ prestazzjoni ġenerali għall-baġit tal-UE għandu </w:t>
      </w:r>
      <w:r w:rsidR="00931B1D" w:rsidRPr="00931B1D">
        <w:t>primarjament jipprovdi riżultati ekonomiċi u eżiti ta’ politika li jistgħu jitkejlu, filwaqt li jqis, meta rilevanti, effetti soċjetali usa’, mingħajr ma jimmina l-prinċipji tal-effiċjenza u tal-effettività;</w:t>
      </w:r>
      <w:r w:rsidRPr="00FB086B">
        <w:t>;</w:t>
      </w:r>
    </w:p>
    <w:p w14:paraId="62392E26" w14:textId="77777777" w:rsidR="007D189B" w:rsidRPr="00FB086B" w:rsidRDefault="007D189B" w:rsidP="007D189B">
      <w:pPr>
        <w:pStyle w:val="NormalHanging12a"/>
      </w:pPr>
      <w:r w:rsidRPr="00FB086B">
        <w:t>3.</w:t>
      </w:r>
      <w:r w:rsidRPr="00FB086B">
        <w:tab/>
        <w:t xml:space="preserve">Iqis li huwa imperattiv li l-baġit tal-UE għandu jiffoka aktar fuq ir-riżultati u li kull euro li </w:t>
      </w:r>
      <w:proofErr w:type="spellStart"/>
      <w:r w:rsidRPr="00FB086B">
        <w:t>jintnefaq</w:t>
      </w:r>
      <w:proofErr w:type="spellEnd"/>
      <w:r w:rsidRPr="00FB086B">
        <w:t xml:space="preserve"> għandu jagħti valur li jista’ jitkejjel liċ-ċittadini u lin-negozji; jafferma mill-ġdid il-ħtieġa li jiġu stabbiliti u użati indikaturi tal-prestazzjoni li huma speċifiċi, jistgħu jitkejlu, jistgħu jinkisbu, huma rilevanti u marbuta mal-ħin (SMART), filwaqt li jiġi żgurat li r-riżorsi tal-UE </w:t>
      </w:r>
      <w:proofErr w:type="spellStart"/>
      <w:r w:rsidRPr="00FB086B">
        <w:t>jintnefqu</w:t>
      </w:r>
      <w:proofErr w:type="spellEnd"/>
      <w:r w:rsidRPr="00FB086B">
        <w:t xml:space="preserve"> b’mod effiċjenti, effettiv u sostenibbli sabiex jiġi mmonitorjat u evalwat il-progress biex jintlaħqu l-objettivi tal-politika tal-UE; iqis li kull tip ta’ indikatur huwa essenzjali għall-valutazzjoni tal-prestazzjoni tal-programm u li, għalhekk, għandu jinstab bilanċ bejn l-indikaturi tal-input, tal-output, tar-riżultati u tal-impatt; jissottolinja li l-indikaturi tal-prestazzjoni jridu jkunu derivati b’mod espliċitu mill-objettivi ta’ kull programm; jenfasizza li l-piż amministrattiv involut, il-kost tal-ġbir tad-data, u l-komparabbiltà u l-</w:t>
      </w:r>
      <w:proofErr w:type="spellStart"/>
      <w:r w:rsidRPr="00FB086B">
        <w:t>aggregabbiltà</w:t>
      </w:r>
      <w:proofErr w:type="spellEnd"/>
      <w:r w:rsidRPr="00FB086B">
        <w:t xml:space="preserve"> wkoll għandhom jiġu kkunsidrati meta jintgħażlu l-indikaturi xierqa;</w:t>
      </w:r>
    </w:p>
    <w:p w14:paraId="46AC4B16" w14:textId="77777777" w:rsidR="007D189B" w:rsidRPr="00FB086B" w:rsidRDefault="007D189B" w:rsidP="007D189B">
      <w:pPr>
        <w:pStyle w:val="NormalHanging12a"/>
      </w:pPr>
      <w:r w:rsidRPr="00FB086B">
        <w:t>4.</w:t>
      </w:r>
      <w:r w:rsidRPr="00FB086B">
        <w:tab/>
        <w:t>Jinnota bi tħassib li l-QEA, fl-awditi tagħha, ripetutament sabet li l-biċċa l-kbira tal-indikaturi tal-prestazzjoni użati għall-programmi ta’ finanzjament tal-UE huma indikaturi tal-input u tal-output, li ma jipprovdux informazzjoni rilevanti dwar il-progress biex jintlaħqu l-objettivi tal-azzjonijiet iffinanzjati mill-UE; jesprimi dispjaċir ukoll għall-fatt li f’ħafna każijiet instab li d-data tax-xenarju ta’ referenza għall-indikaturi kienet nieqsa u li d-data sottostanti użata għall-indikaturi la kienet traċċabbli u lanqas affidabbli; jinsab imħasseb li d-definizzjonijiet tal-indikaturi tal-prestazzjoni jvarjaw bejn il-programmi ta’ finanzjament; jistieden lill-Kummissjoni u lill-Istati Membri jiżguraw li l-indikaturi użati għall-proġetti ffinanzjati mill-UE jkunu jistgħu jitkejlu, jiġu vverifikati u jkunu bbażati fuq sorsi ta’ data affidabbli li jiżguraw it-traċċabbiltà tad-data sottostanti sal-livell tal-kuntratt u tal-benefiċjarju finali, b’xenarji ta’ referenza u definizzjonijiet ċari biex jiġu pprevenuti interpretazzjonijiet diverġenti;</w:t>
      </w:r>
    </w:p>
    <w:p w14:paraId="5AC95851" w14:textId="77777777" w:rsidR="007D189B" w:rsidRPr="00FB086B" w:rsidRDefault="007D189B" w:rsidP="007D189B">
      <w:pPr>
        <w:pStyle w:val="NormalHanging12a"/>
      </w:pPr>
      <w:r w:rsidRPr="00FB086B">
        <w:t>5.</w:t>
      </w:r>
      <w:r w:rsidRPr="00FB086B">
        <w:tab/>
        <w:t>Jesprimi dispjaċir għall-fatt li l-qafas tal-prestazzjoni għall-baġit tal-UE għall-2021-2027 għadu kumpless u frammentat iżżejjed; jinnota b’dispjaċir il-valutazzjoni tal-Kummissjoni</w:t>
      </w:r>
      <w:r w:rsidRPr="00FB086B">
        <w:rPr>
          <w:rStyle w:val="FootnoteReference"/>
        </w:rPr>
        <w:footnoteReference w:id="8"/>
      </w:r>
      <w:r w:rsidRPr="00FB086B">
        <w:t xml:space="preserve"> li qed jintużaw aktar minn 5 000 indikatur tal-prestazzjoni eteroġenju u mhux </w:t>
      </w:r>
      <w:proofErr w:type="spellStart"/>
      <w:r w:rsidRPr="00FB086B">
        <w:t>aggregabbli</w:t>
      </w:r>
      <w:proofErr w:type="spellEnd"/>
      <w:r w:rsidRPr="00FB086B">
        <w:t xml:space="preserve"> fl-ambitu tal-qafas finanzjarju pluriennali (QFP) 2021-2027, li jagħmilha itqal biex tiġi evalwata b’mod komprensiv l-effettività tal-infiq tal-UE fi strumenti ta’ finanzjament differenti, u li ġew stabbiliti madwar 7 000 stadju importanti u mira fl-ambitu tal-Faċilità għall-Irkupru u r-Reżiljenza (Faċilità għall-Irkupru u r-Reżiljenza) li jindirizzaw ħtiġijiet differenti, bħall-valutazzjoni tal-prestazzjoni fil-kuntest tal-abbozz tal-baġit, u l-monitoraġġ u l-evalwazzjoni tal-programmi, il-pjanijiet tal-Istati Membri u l-iżborżi tal-pagamenti;</w:t>
      </w:r>
    </w:p>
    <w:p w14:paraId="794E06A5" w14:textId="77777777" w:rsidR="007D189B" w:rsidRPr="00FB086B" w:rsidRDefault="007D189B" w:rsidP="007D189B">
      <w:pPr>
        <w:pStyle w:val="NormalHanging12a"/>
      </w:pPr>
      <w:r w:rsidRPr="00FB086B">
        <w:t xml:space="preserve">6. </w:t>
      </w:r>
      <w:r w:rsidRPr="00FB086B">
        <w:tab/>
        <w:t>Jisħaq, b’mod partikolari, li t-tfassil tal-Faċilità għall-Irkupru u r-Reżiljenza ma jiżgurax biżżejjed traċċabbiltà, trasparenza u possibbiltà ta’ awditjar tal-użu tal-fondi tal-UE jew il-komparabbiltà tar-riżultati ma’ dawk ta’ strumenti oħra ta’ nfiq tal-UE; jistieden lill-</w:t>
      </w:r>
      <w:r w:rsidRPr="00FB086B">
        <w:lastRenderedPageBreak/>
        <w:t>Kummissjoni tistabbilixxi qafas ta’ indikaturi tal-prestazzjoni aktar komprensiv, armonizzat, trasparenti u verifikabbli għall-istrumenti futuri, filwaqt li tiżgura li l-Parlament u l-QEA jkunu jistgħu jeżerċitaw bis-sħiħ ir-responsabbiltajiet ta’ sorveljanza tagħhom; jistieden lill-Kummissjoni tanalizza l-implimentazzjoni tal-istrumenti bbażati fuq il-prestazzjoni f’kuntesti ta’ pajjiżi u reġjuni oħra, filwaqt li tidentifika t-tagħlimiet meħuda;</w:t>
      </w:r>
    </w:p>
    <w:p w14:paraId="4161E55F" w14:textId="77777777" w:rsidR="007D189B" w:rsidRPr="00FB086B" w:rsidRDefault="007D189B" w:rsidP="007D189B">
      <w:pPr>
        <w:pStyle w:val="NormalHanging12a"/>
      </w:pPr>
      <w:r w:rsidRPr="00FB086B">
        <w:t>7.</w:t>
      </w:r>
      <w:r w:rsidRPr="00FB086B">
        <w:tab/>
        <w:t>Jinnota l-proposta tal-Kummissjoni li l-QFP 2028-2034, inkluż il-Fond Ewropew għall-Kompetittività (FEK), jiġi mmonitorjat permezz ta’ sett standardizzat ta’ indikaturi tal-prestazzjoni applikabbli għall-programmi baġitarji kollha tal-UE, kif stabbilit fil-proposta tagħha għal regolament dwar il-prestazzjoni</w:t>
      </w:r>
      <w:r w:rsidRPr="00FB086B">
        <w:rPr>
          <w:rStyle w:val="FootnoteReference"/>
        </w:rPr>
        <w:footnoteReference w:id="9"/>
      </w:r>
      <w:r w:rsidRPr="00FB086B">
        <w:t>; jinnota li ġiet proposta applikazzjoni simplifikata tal-qafas tal-prestazzjoni għall-garanziji baġitarji u għall-istrumenti finanzjarji fl-ambitu tal-FEK;</w:t>
      </w:r>
    </w:p>
    <w:p w14:paraId="63A94A0C" w14:textId="77777777" w:rsidR="007D189B" w:rsidRPr="00FB086B" w:rsidRDefault="007D189B" w:rsidP="007D189B">
      <w:pPr>
        <w:pStyle w:val="NormalHanging12a"/>
      </w:pPr>
      <w:r w:rsidRPr="00FB086B">
        <w:t>8.</w:t>
      </w:r>
      <w:r w:rsidRPr="00FB086B">
        <w:tab/>
        <w:t xml:space="preserve">Iqis li l-qafas tal-prestazzjoni għall-baġit tal-UE għandu jiġi ssimplifikat sabiex jiġi żgurat approċċ armonizzat u proporzjonat biex jitkejlu l-effetti tal-infiq tal-UE madwar l-Istati Membri b’mod preċiż, jiġu </w:t>
      </w:r>
      <w:proofErr w:type="spellStart"/>
      <w:r w:rsidRPr="00FB086B">
        <w:t>rrazzjonalizzati</w:t>
      </w:r>
      <w:proofErr w:type="spellEnd"/>
      <w:r w:rsidRPr="00FB086B">
        <w:t xml:space="preserve"> l-piż amministrattiv ġenerali u l-obbligi ta’ rapportar, speċjalment għall-intrapriżi żgħar u ta’ daqs medju (SMEs) u għall-awtoritajiet lokali, u tiżdied it-trasparenza billi jitnaqqas il-piż żejjed ta’ informazzjoni, filwaqt li xorta jkun permess li l-effetti tal-finanzjament tal-UE jinqabdu bis-sħiħ, inkluż il-valur miżjud tal-interventi tal-UE li ma setgħux jinkisbu mill-Istati Membri waħedhom; jistieden lill-Kummissjoni tirrazzjonalizza l-indikaturi, tissimplifika l-mudelli, tevita talbiet duplikati għad-data u tapplika l-prinċipju ta’ “darba biss”;</w:t>
      </w:r>
    </w:p>
    <w:p w14:paraId="708A94B5" w14:textId="77777777" w:rsidR="007D189B" w:rsidRPr="00FB086B" w:rsidRDefault="007D189B" w:rsidP="007D189B">
      <w:pPr>
        <w:pStyle w:val="NormalHanging12a"/>
      </w:pPr>
      <w:r w:rsidRPr="00FB086B">
        <w:t>9.</w:t>
      </w:r>
      <w:r w:rsidRPr="00FB086B">
        <w:tab/>
        <w:t>Iqis li l-impatt jista’ jiġi vvalutat bl-aħjar mod permezz ta’ evalwazzjonijiet; jisħaq li l-FEK u l-istrumenti futuri kollha jridu jinkludu evalwazzjonijiet ta’ nofs it-terminu mill-Kummissjoni; jistieden lill-Kummissjoni tiżgura li jiġu introdotti miżuri korrettivi, inklużi dawk rakkomandati mill-QEA wara l-awditi tagħha, mingħajr dewmien jekk ir-riżultati ma jilħqux l-objettivi;</w:t>
      </w:r>
    </w:p>
    <w:p w14:paraId="0F77E89B" w14:textId="77777777" w:rsidR="007D189B" w:rsidRPr="00FB086B" w:rsidRDefault="007D189B" w:rsidP="007D189B">
      <w:pPr>
        <w:pStyle w:val="NormalHanging12a"/>
      </w:pPr>
      <w:r w:rsidRPr="00FB086B">
        <w:t xml:space="preserve">10. </w:t>
      </w:r>
      <w:r w:rsidRPr="00FB086B">
        <w:tab/>
        <w:t>Jissottolinja li s-simplifikazzjoni ma għandhiex tkun għad-detriment tat-trasparenza, tal-obbligu ta’ rendikont u tal-possibbiltà tal-awditjar, iżda għandha tgħin fir-razzjonalizzazzjoni tar-rapportar u tagħmel l-informazzjoni dwar il-prestazzjoni tal-finanzjament tal-UE aktar aċċessibbli u utli; jissottolinja, barra minn hekk, li tnaqqis fl-għadd ta’ indikaturi għandu jkun akkumpanjat minn analiżi tal-kostijiet u l-benefiċċji u tar-riskju; jenfasizza l-ħtieġa ta’ rabtiet aktar ċari bejn l-infiq u eżiti tal-politika li jistgħu jitkejlu;</w:t>
      </w:r>
    </w:p>
    <w:p w14:paraId="062337BC" w14:textId="77777777" w:rsidR="007D189B" w:rsidRPr="00FB086B" w:rsidRDefault="007D189B" w:rsidP="007D189B">
      <w:pPr>
        <w:pStyle w:val="NormalHanging12a"/>
      </w:pPr>
      <w:r w:rsidRPr="00FB086B">
        <w:t>11.</w:t>
      </w:r>
      <w:r w:rsidRPr="00FB086B">
        <w:tab/>
        <w:t>Ifakkar li l-approċċi għall-ġbir tad-data jvarjaw bejn l-Istati Membri kif ukoll fl-Istati Membri, u dan jagħmilha diffiċli li tiġi aggregata u mqabbla d-data dwar il-prestazzjoni fil-livell tal-UE; itenni t-talba tiegħu lill-Kummissjoni biex tiżviluppa infrastruttura tal-IT sigura u interoperabbli, filwaqt li tisfrutta wkoll l-intelliġenza artifiċjali, it-tagħlim awtomatiku u l-kapaċitajiet tal-estrazzjoni tad-data biex ittejjeb it-twettiq tal-politika u tiffaċilita l-monitoraġġ, ir-rapportar u s-sorveljanza; jisħaq li l-użu tal-intelliġenza artifiċjali fil-monitoraġġ u l-ipproċessar tad-data jrid ikun akkumpanjat minn sorveljanza robusta mill-bniedem u rregolat minn prinċipji etiċi biex jiġu pprevenuti l-użu ħażin u d-diskriminazzjoni jew il-preġudizzju algoritmiċi u jiġu żgurati t-</w:t>
      </w:r>
      <w:r w:rsidRPr="00FB086B">
        <w:lastRenderedPageBreak/>
        <w:t>trasparenza u l-obbligu ta’ rendikont, filwaqt li jiġu ggarantiti l-protezzjoni tad-data u r-rispett sħiħ għad-drittijiet fundamentali;</w:t>
      </w:r>
    </w:p>
    <w:p w14:paraId="101DEE55" w14:textId="3A580F9D" w:rsidR="007D189B" w:rsidRPr="00FB086B" w:rsidRDefault="007D189B" w:rsidP="007D189B">
      <w:pPr>
        <w:pStyle w:val="NormalHanging12a"/>
      </w:pPr>
      <w:r w:rsidRPr="00FB086B">
        <w:t xml:space="preserve">12. </w:t>
      </w:r>
      <w:r w:rsidRPr="00FB086B">
        <w:tab/>
        <w:t xml:space="preserve">Jinsisti li d-data u l-metodoloġiji tal-indikaturi għandhom ikunu disponibbli għall-pubbliku f’ħin reali permezz ta’ sistema interoperabbli ta’ monitoraġġ, rapportar u awditjar, u b’hekk tiżdied it-trasparenza u tiġi żgurata t-traċċabbiltà sal-livell tal-proġetti u tal-benefiċjarju finali; ifakkar fl-importanza ta’ “trasparenza tal-benefiċjarju aħħari” għall-fondi tal-UE; jisħaq li l-finanzjament tal-UE, inkluż dak b’ġestjoni indiretta, irid ikun trasparenti u għandu jippermetti l-awditjar effettiv u l-prevenzjoni tal-finanzjament doppju; jinsisti wkoll li din id-data għandha tinkludi informazzjoni komprensiva dwar </w:t>
      </w:r>
      <w:r w:rsidR="0063303D">
        <w:t>il-</w:t>
      </w:r>
      <w:r w:rsidRPr="00FB086B">
        <w:t>proġetti ffinanzjati;</w:t>
      </w:r>
    </w:p>
    <w:p w14:paraId="674CEDD8" w14:textId="77777777" w:rsidR="007D189B" w:rsidRPr="00FB086B" w:rsidRDefault="007D189B" w:rsidP="007D189B">
      <w:pPr>
        <w:pStyle w:val="NormalHanging12a"/>
      </w:pPr>
      <w:r w:rsidRPr="00FB086B">
        <w:t xml:space="preserve">13. </w:t>
      </w:r>
      <w:r w:rsidRPr="00FB086B">
        <w:tab/>
        <w:t xml:space="preserve">Jistieden lill-Kummissjoni ssaħħaħ ir-rapportar tagħha dwar il-prestazzjoni billi tintegra l-informazzjoni finanzjarja u dwar il-prestazzjoni relatata mal-fondi tal-UE u tippubblika sommarji ċari u faċli għall-utent dwar il-prestazzjoni u l-infiq, li jinkludu ħarsiet ġenerali ta’ paġna waħda u </w:t>
      </w:r>
      <w:proofErr w:type="spellStart"/>
      <w:r w:rsidRPr="00FB086B">
        <w:t>dashboards</w:t>
      </w:r>
      <w:proofErr w:type="spellEnd"/>
      <w:r w:rsidRPr="00FB086B">
        <w:t xml:space="preserve"> interattivi b’settijiet ta’ data li jinqraw mill-magni, f’konformità mar-rakkomandazzjonijiet tal-OECD</w:t>
      </w:r>
      <w:r w:rsidRPr="00FB086B">
        <w:rPr>
          <w:rStyle w:val="FootnoteReference"/>
        </w:rPr>
        <w:footnoteReference w:id="10"/>
      </w:r>
      <w:r w:rsidRPr="00FB086B">
        <w:t>;</w:t>
      </w:r>
    </w:p>
    <w:p w14:paraId="0D4D75CD" w14:textId="77777777" w:rsidR="007D189B" w:rsidRPr="00FB086B" w:rsidRDefault="007D189B" w:rsidP="007D189B">
      <w:pPr>
        <w:pStyle w:val="NormalHanging12a"/>
      </w:pPr>
      <w:r w:rsidRPr="00FB086B">
        <w:t>14.</w:t>
      </w:r>
      <w:r w:rsidRPr="00FB086B">
        <w:tab/>
        <w:t xml:space="preserve">Iqis li huwa essenzjali li tiġi vverifikata u żgurata l-affidabbiltà tad-data użata biex jiġu stabbiliti l-indikaturi tal-prestazzjoni; jinnota bi tħassib li, minħabba l-introduzzjoni u ż-żieda fl-użu ta’ mudelli tal-implimentazzjoni, bħall-Faċilità għall-Irkupru u r-Reżiljenza, li huma bbażati fuq finanzjament mhux marbut mal-kostijiet – fejn l-iżborżi jsiru meta jintlaħqu l-istadji importanti u l-miri stabbiliti preċedentement – id-dgħufijiet fl-affidabbiltà tad-data jagħmluha diffiċli biex jitħarsu l-interessi finanzjarji tal-UE; jinsisti, għalhekk, fuq verifika </w:t>
      </w:r>
      <w:r w:rsidRPr="00FB086B">
        <w:rPr>
          <w:i/>
          <w:iCs/>
        </w:rPr>
        <w:t>ex ante</w:t>
      </w:r>
      <w:r w:rsidRPr="00FB086B">
        <w:t xml:space="preserve"> u </w:t>
      </w:r>
      <w:r w:rsidRPr="00FB086B">
        <w:rPr>
          <w:i/>
          <w:iCs/>
        </w:rPr>
        <w:t>ex post</w:t>
      </w:r>
      <w:r w:rsidRPr="00FB086B">
        <w:t xml:space="preserve"> obbligatorja tal-istadji importanti u l-miri, fuq riferiment sistematiku ta’ suspetti ta’ frodi jew irregolaritajiet serji lill-Uffiċċju Ewropew ta’ Kontra l-Frodi u lill-Uffiċċju tal-Prosekutur Pubbliku Ewropew, u l-possibbiltà li jiġu sospiżi l-pagamenti;</w:t>
      </w:r>
    </w:p>
    <w:p w14:paraId="6FACF663" w14:textId="77777777" w:rsidR="007D189B" w:rsidRPr="00FB086B" w:rsidRDefault="007D189B" w:rsidP="007D189B">
      <w:pPr>
        <w:pStyle w:val="NormalHanging12a"/>
      </w:pPr>
      <w:r w:rsidRPr="00FB086B">
        <w:t>15.</w:t>
      </w:r>
      <w:r w:rsidRPr="00FB086B">
        <w:tab/>
        <w:t>Jistieden lill-Kummissjoni tinkludi fir-rapportar tal-prestazzjoni tagħha informazzjoni sostantiva dwar il-miżuri tal-assigurazzjoni tal-kwalità użati għall-indikaturi tal-prestazzjoni; jissottolinja li rieżami regolari u trasparenti tar-rilevanza u l-affidabbiltà tal-indikaturi huwa essenzjali biex jiġu żgurati l-kredibbiltà u l-fiduċja pubblika fl-infiq tal-UE; jesiġi li d-data dwar il-prestazzjoni rrapportata mill-Istati Membri tkun soġġetta għal verifika indipendenti, inkluż mill-korpi nazzjonali tal-awditjar u mill-QEA, bir-riżultati jitqiegħdu għad-dispożizzjoni tal-Parlament; jitlob ukoll li r-rapporti ta’ verifika u s-settijiet tad-data jkunu disponibbli għall-awtoritajiet ta’ sorveljanza kompetenti f’format li jkun aċċessibbli, komparabbli u verifikabbli, biex b’hekk jiġi żgurat li ċ-ċittadini jkollhom aċċess għall-eżitu tal-iskrutinju tal-użu tal-fondi tal-UE, filwaqt li tiġi żgurata l-aderenza mar-regoli dwar il-protezzjoni tad-data u l-kunfidenzjalità;</w:t>
      </w:r>
    </w:p>
    <w:p w14:paraId="597527A7" w14:textId="77777777" w:rsidR="007D189B" w:rsidRPr="00FB086B" w:rsidRDefault="007D189B" w:rsidP="007D189B">
      <w:pPr>
        <w:pStyle w:val="NormalHanging12a"/>
      </w:pPr>
      <w:r w:rsidRPr="00FB086B">
        <w:t>16.</w:t>
      </w:r>
      <w:r w:rsidRPr="00FB086B">
        <w:tab/>
        <w:t>Jisħaq li ġestjoni effettiva tal-prestazzjoni tippresupponi r-rispett għall-istat tad-dritt u l-protezzjoni tal-interessi finanzjarji tal-UE; ifakkar li fejn jippersistu nuqqasijiet serji fis-sistemi ta’ kontroll, il-pagamenti jridu jiġu sospiżi u jridu jiġu applikati korrezzjonijiet finanzjarji;</w:t>
      </w:r>
    </w:p>
    <w:p w14:paraId="7E7F1CE3" w14:textId="77777777" w:rsidR="007D189B" w:rsidRPr="00FB086B" w:rsidRDefault="007D189B" w:rsidP="007D189B">
      <w:pPr>
        <w:spacing w:after="240"/>
        <w:ind w:left="566" w:hanging="566"/>
        <w:rPr>
          <w:bCs/>
          <w:iCs/>
        </w:rPr>
      </w:pPr>
      <w:r w:rsidRPr="00FB086B">
        <w:t>17.</w:t>
      </w:r>
      <w:r w:rsidRPr="00FB086B">
        <w:tab/>
        <w:t xml:space="preserve">Iqis l-istat tad-dritt bħala prekundizzjoni essenzjali għat-tisħiħ tal-kompetittività tal-UE; </w:t>
      </w:r>
      <w:r w:rsidRPr="00FB086B">
        <w:lastRenderedPageBreak/>
        <w:t>jissottolinja li l-isfidi għall-istat tad-dritt għandhom impatt negattiv fuq il-fiduċja tal-investituri, il-fiduċja tal-konsumaturi u l-integrità tas-suq uniku, kif innotat fir-Rapport tal-Kummissjoni dwar l-Istat tad-Dritt tal-2025; iqis, għalhekk, li l-qafas tal-prestazzjoni għall-baġit tal-UE għandu jinkludi wkoll indikaturi relatati mal-istat tad-dritt, bħall-funzjonament tas-sistema ġudizzjarja, il-ġlieda kontra l-korruzzjoni u sistema ta’ kontrokontrolli effettiva, li jikkontribwixxu għaċ-ċertezza tad-dritt u għal ambjent prevedibbli biex in-negozji joperaw fih;</w:t>
      </w:r>
    </w:p>
    <w:p w14:paraId="6D842DE4" w14:textId="77777777" w:rsidR="007D189B" w:rsidRPr="00FB086B" w:rsidRDefault="007D189B" w:rsidP="007D189B">
      <w:pPr>
        <w:pStyle w:val="StyleBoldItalicAfter12pt"/>
      </w:pPr>
      <w:r w:rsidRPr="00FB086B">
        <w:t>Indikaturi tal-prestazzjoni relatati mat-trawwim tal-kompetittività tal-UE</w:t>
      </w:r>
    </w:p>
    <w:p w14:paraId="02E186BB" w14:textId="77777777" w:rsidR="007D189B" w:rsidRPr="00FB086B" w:rsidRDefault="007D189B" w:rsidP="007D189B">
      <w:pPr>
        <w:pStyle w:val="NormalHanging12a"/>
      </w:pPr>
      <w:r w:rsidRPr="00FB086B">
        <w:t>18.</w:t>
      </w:r>
      <w:r w:rsidRPr="00FB086B">
        <w:tab/>
        <w:t xml:space="preserve">Ifakkar li r-rapport ta’ </w:t>
      </w:r>
      <w:proofErr w:type="spellStart"/>
      <w:r w:rsidRPr="00FB086B">
        <w:t>Draghi</w:t>
      </w:r>
      <w:proofErr w:type="spellEnd"/>
      <w:r w:rsidRPr="00FB086B">
        <w:t xml:space="preserve"> jħeġġeġ lill-UE ssegwi riformi profondi biex tagħti spinta lill-kompetittività, b’enfasi fuq l-innovazzjoni, id-dekarbonizzazzjoni u d-difiża, u jappella għal investiment massiv f’setturi strateġiċi bħall-enerġija ekoloġika, l-infrastruttura diġitali u l-manifattura avvanzata, appoġġjati minn simplifikazzjoni regolatorja u koordinazzjoni aktar b’saħħitha fil-livell tal-UE; iqis, f’dan ir-rigward, li qafas tal-prestazzjoni robust u sistema ta’ indikaturi huma essenzjali biex jiġi segwit il-progress u jitkejjel l-impatt fuq il-kompetittività, is-saħħa ekonomika, is-sostenibbiltà u r-reżiljenza tal-UE, filwaqt li l-prestazzjoni tintrabat direttament mal-prinċipji tal-ekonomija, l-effiċjenza u l-effettività;</w:t>
      </w:r>
    </w:p>
    <w:p w14:paraId="20FA7400" w14:textId="77777777" w:rsidR="007D189B" w:rsidRPr="00FB086B" w:rsidRDefault="007D189B" w:rsidP="007D189B">
      <w:pPr>
        <w:pStyle w:val="NormalHanging12a"/>
      </w:pPr>
      <w:r w:rsidRPr="00FB086B">
        <w:t>19.</w:t>
      </w:r>
      <w:r w:rsidRPr="00FB086B">
        <w:tab/>
        <w:t>Jisħaq li l-infiq orjentat lejn il-kompetittività għandu jagħti prijorità lill-effiċjenza u l-gwadanji fil-produttività fit-tul aktar milli r-ridistribuzzjoni fuq terminu qasir; jissottolinja li r-riżorsi tal-UE għandhom ikunu orjentati lejn il-korrezzjoni tal-ineffiċjenzi tas-suq, il-katalizzazzjoni tal-investiment privat u l-appoġġ ta’ proġetti b’impatt ekonomiku li jista’ jitkejjel u b’valur miżjud ċar;</w:t>
      </w:r>
    </w:p>
    <w:p w14:paraId="4340E318" w14:textId="7935511D" w:rsidR="007D189B" w:rsidRPr="00FB086B" w:rsidRDefault="007D189B" w:rsidP="007D189B">
      <w:pPr>
        <w:pStyle w:val="NormalHanging12a"/>
      </w:pPr>
      <w:r w:rsidRPr="00FB086B">
        <w:t>20.</w:t>
      </w:r>
      <w:r w:rsidRPr="00FB086B">
        <w:tab/>
        <w:t xml:space="preserve">Jissottolinja li l-implimentazzjoni tar-rakkomandazzjonijiet tar-rapport ta’ </w:t>
      </w:r>
      <w:proofErr w:type="spellStart"/>
      <w:r w:rsidRPr="00FB086B">
        <w:t>Draghi</w:t>
      </w:r>
      <w:proofErr w:type="spellEnd"/>
      <w:r w:rsidRPr="00FB086B">
        <w:t xml:space="preserve"> għandha tiġi mmonitorjata b’indikaturi tal-prestazzjoni rilevanti, robusti u trasparenti li jirriflettu l-progress tal-UE fit-tisħiħ tal-kompetittività u t-tkabbir ekonomiku tagħha permezz tal-innovazzjoni, it-tmexxija teknoloġika u r-reżiljenza industrijali, filwaqt li tiġi żgurata l-ekwità soċjali; jisħaq li l-indikaturi jridu jitfasslu bir-reqqa u għandhom jaqbdu mhux biss l-outputs (eż. l-għadd ta’ proġetti ffinanzjati), iżda wkoll ir-riżultati u l-impatti (eż. iż-żieda fil-produttività, it-tnaqqis fl-emissjonijiet, il-ħolqien ta’ impjiegi sostenibbli u siguri, it-titjib fil-koeżjoni soċjali u territorjali, il-bidliet fil-bilanċ kummerċjali, iż-żieda fid-diversifikazzjoni tal-esportazzjoni, l-effett ta’ ingranaġġ tal-programmi tal-UE, speċjalment f’termini tal-mobilizzazzjoni tal-investiment privat, u l-awtonomija strateġika msaħħa), sabiex jitkejlu l-effiċjenza u l-effettività tal-infiq tal-UE; ifakkar li r-riformi huma integrali biex jintlaħqu l-objettivi tal-kompetittività u jridu jiġu riflessi fl-oqfsa tal-kejl tal-prestazzjoni;</w:t>
      </w:r>
    </w:p>
    <w:p w14:paraId="2B54D7F4" w14:textId="77777777" w:rsidR="007D189B" w:rsidRPr="00FB086B" w:rsidRDefault="007D189B" w:rsidP="007D189B">
      <w:pPr>
        <w:pStyle w:val="NormalHanging12a"/>
      </w:pPr>
      <w:r w:rsidRPr="00FB086B">
        <w:t>21.</w:t>
      </w:r>
      <w:r w:rsidRPr="00FB086B">
        <w:tab/>
        <w:t>Ifakkar li l-indikaturi dwar l-assorbiment tal-fondi jew ir-rata ta’ eżekuzzjoni tal-baġit jipprovdu informazzjoni dwar il-progress amministrattiv aktar milli dwar l-impatt reali ekonomiku jew fuq is-soċjetà tal-infiq tal-UE; jenfasizza li tali indikaturi jistgħu joħolqu perċezzjoni qarrieqa ta’ suċċess meta l-fondi jintefqu kompletament iżda jonqsu milli jiġġeneraw titjib li jista’ jitkejjel fl-innovazzjoni, l-investiment jew l-impjiegi; ifakkar li l-QEA ripetutament ikkritikat id-dipendenza eċċessiva mir-rati ta’ nfiq u l-istadji importanti tal-pagamenti fil-qafas tal-prestazzjoni għall-programmi tal-UE; jappella għal bidla lejn indikaturi tar-riżultati u indikaturi tal-impatt li jaqbdu l-effetti reali tal-infiq tal-UE fuq il-kompetittività;</w:t>
      </w:r>
    </w:p>
    <w:p w14:paraId="70ED6303" w14:textId="77777777" w:rsidR="007D189B" w:rsidRPr="00FB086B" w:rsidRDefault="007D189B" w:rsidP="007D189B">
      <w:pPr>
        <w:pStyle w:val="NormalHanging12a"/>
      </w:pPr>
      <w:r w:rsidRPr="00FB086B">
        <w:lastRenderedPageBreak/>
        <w:t>22.</w:t>
      </w:r>
      <w:r w:rsidRPr="00FB086B">
        <w:tab/>
        <w:t>Jissottolinja li l-kompetittività tiddependi minn sett koerenti ta’ kundizzjonijiet abilitanti, inklużi forza tax-xogħol bil-ħiliet meħtieġa u b’saħħitha, infrastruttura strateġika effiċjenti, settur finanzjarju robust li kapaċi jipprovdi finanzjament imfassal apposta għall-innovazzjoni, u istituzzjonijiet u swieq li jiffunzjonaw tajjeb li jippremjaw il-prestazzjoni u l-intraprenditorija; jistieden lill-Kummissjoni tiżviluppa indikaturi tal-prestazzjoni speċifiċi li jirriflettu dawn il-faċilitaturi strutturali u l-kontribut tagħhom għall-produttività u t-tkabbir;</w:t>
      </w:r>
    </w:p>
    <w:p w14:paraId="5DFC4CD8" w14:textId="77777777" w:rsidR="007D189B" w:rsidRPr="00FB086B" w:rsidRDefault="007D189B" w:rsidP="007D189B">
      <w:pPr>
        <w:pStyle w:val="NormalHanging12a"/>
      </w:pPr>
      <w:r w:rsidRPr="00FB086B">
        <w:t>23.</w:t>
      </w:r>
      <w:r w:rsidRPr="00FB086B">
        <w:tab/>
        <w:t xml:space="preserve">Ifakkar li r-rapport ta’ </w:t>
      </w:r>
      <w:proofErr w:type="spellStart"/>
      <w:r w:rsidRPr="00FB086B">
        <w:t>Draghi</w:t>
      </w:r>
      <w:proofErr w:type="spellEnd"/>
      <w:r w:rsidRPr="00FB086B">
        <w:t xml:space="preserve"> jissottolinja li l-eċċellenza fir-riċerka u l-innovazzjoni hija fundamentali għall-kompetittività tal-UE u li għandu jkun hemm biss kriterju tal-għażla wieħed, jiġifieri l-eċċellenza, fis-sistema ta’ riċerka u innovazzjoni tal-UE, inkluż il-programm Orizzont Ewropa; itenni, f’dan ir-rigward, il-pożizzjoni tiegħu li l-finanzjament għar-riċerka u l-innovazzjoni għandu jibqa’ ggwidat mill-prinċipju tal-eċċellenza u għandu jibqa’ bbażat fuq il-mertu;</w:t>
      </w:r>
    </w:p>
    <w:p w14:paraId="331CE3E5" w14:textId="77777777" w:rsidR="007D189B" w:rsidRPr="00FB086B" w:rsidRDefault="007D189B" w:rsidP="007D189B">
      <w:pPr>
        <w:pStyle w:val="NormalHanging12a"/>
      </w:pPr>
      <w:r w:rsidRPr="00FB086B">
        <w:t>24.</w:t>
      </w:r>
      <w:r w:rsidRPr="00FB086B">
        <w:tab/>
        <w:t>Jisħaq li d-data fil-livell tal-proġetti għandha tkun il-bażi għal rapportar aħjar dwar il-prestazzjoni għall-istrumenti finanzjarji implimentati b’ġestjoni indiretta, bħal InvestEU; jinnota, madankollu, li din għandha tkun f’format standardizzat u limitata għall-informazzjoni ewlenija meħtieġa biex jitkejjel is-suċċess tal-programm, bħall-mobilizzazzjoni tal-investimenti pubbliċi u privati li ma setgħux iseħħu mingħajr il-programm; jirrikonoxxi li, minħabba n-natura mmexxija mis-suq u mid-domanda tal-istrumenti finanzjarji, il-prestazzjoni ta’ tali programmi tiddependi mill-adozzjoni tagħhom mis-suq, li jillimita l-kapaċità tal-Kummissjoni li tistabbilixxi stadji importanti u miri definiti minn qabel;</w:t>
      </w:r>
    </w:p>
    <w:p w14:paraId="765F9178" w14:textId="77777777" w:rsidR="007D189B" w:rsidRPr="00FB086B" w:rsidRDefault="007D189B" w:rsidP="007D189B">
      <w:pPr>
        <w:pStyle w:val="NormalHanging12a"/>
      </w:pPr>
      <w:r w:rsidRPr="00FB086B">
        <w:t xml:space="preserve">25. </w:t>
      </w:r>
      <w:r w:rsidRPr="00FB086B">
        <w:tab/>
        <w:t>Jisħaq li t-tisħiħ tal-kompetittività tal-UE jirrikjedi bidla mill-ġestjoni tal-kriżijiet fuq terminu qasir lejn strateġija fit-tul ibbażata fuq l-innovazzjoni, l-effiċjenza, is-sostenibbiltà, l-awtonomija strateġika u l-ftuħ globali; jappella għal impenn imġedded biex jissaħħaħ is-suq uniku, titnaqqas il-frammentazzjoni regolatorja u jiġi żgurat li l-programmi tal-UE jappoġġjaw l-ekonomija reali; jenfasizza li s-suċċess tal-proġetti tal-kompetittività Ewropea jiddependi mill-mobilizzazzjoni tal-kapital pubbliku u privat; jistieden lill-Kummissjoni tintroduċi indikaturi speċifiċi li jkejlu l-effett ta’ ingranaġġ tal-fondi tal-UE fil-mobilizzazzjoni tal-investiment pubbliku u privat, il-proporzjon ta’ finanzjament pubbliku ma’ dak privat u r-redditu fuq l-investiment miksub;</w:t>
      </w:r>
    </w:p>
    <w:p w14:paraId="4B5C9B29" w14:textId="77777777" w:rsidR="007D189B" w:rsidRPr="00FB086B" w:rsidRDefault="007D189B" w:rsidP="007D189B">
      <w:pPr>
        <w:pStyle w:val="NormalHanging12a"/>
      </w:pPr>
      <w:r w:rsidRPr="00FB086B">
        <w:t>26.</w:t>
      </w:r>
      <w:r w:rsidRPr="00FB086B">
        <w:tab/>
        <w:t xml:space="preserve">Iqis li huwa meħtieġ li jiġi stabbilit qafas komprensiv ta’ valutazzjoni tar-riskju </w:t>
      </w:r>
      <w:r w:rsidRPr="00FB086B">
        <w:rPr>
          <w:i/>
          <w:iCs/>
        </w:rPr>
        <w:t>ex ante</w:t>
      </w:r>
      <w:r w:rsidRPr="00FB086B">
        <w:t>, b’mod partikolari għal proġetti kkaratterizzati minn profil ta’ riskju għoli u gwadann għoli, sabiex tiġi żgurata evalwazzjoni bbilanċjata tal-valur miżjud, il-kostijiet u l-benefiċċji tagħhom; jissottolinja li l-ilħuq tal-objettivi tal-politika tal-UE dwar il-kompetittività jirrikjedi sistema robusta ta’ awditjar u kontroll appoġġjata minn metodoloġija koerenti ta’ valutazzjoni tar-riskju; jisħaq li tali metodoloġija għandha tippermetti livelli proporzjonati ta’ riskju essenzjali għat-trawwim tal-innovazzjoni, filwaqt li tiżgura salvagwardji adegwati għall-protezzjoni tal-baġit tal-UE, speċjalment kontra l-frodi u r-riskji mhux finanzjarji;</w:t>
      </w:r>
    </w:p>
    <w:p w14:paraId="705B48D0" w14:textId="0D75B2DC" w:rsidR="007D189B" w:rsidRPr="00FB086B" w:rsidRDefault="007D189B" w:rsidP="007D189B">
      <w:pPr>
        <w:pStyle w:val="NormalHanging12a"/>
      </w:pPr>
      <w:r w:rsidRPr="00FB086B">
        <w:t>27.</w:t>
      </w:r>
      <w:r w:rsidRPr="00FB086B">
        <w:tab/>
        <w:t xml:space="preserve">Jissuġġerixxi li, sabiex jiġi evalwat aħjar l-impatt tal-finanzjament tal-UE fuq il-kompetittività, għandu jintuża mmudellar makroekonomiku aktar bir-reqqa, li jintegra l-aħħar avvanzi fir-riċerka ekonomika; jinnota li l-mudelli li jirriflettu l-eteroġeneità u l-effetti distributtivi tal-unitajiet domestiċi u tad-ditti jippermettu valutazzjoni </w:t>
      </w:r>
      <w:r w:rsidRPr="00FB086B">
        <w:rPr>
          <w:i/>
          <w:iCs/>
        </w:rPr>
        <w:t>ex ante</w:t>
      </w:r>
      <w:r w:rsidRPr="00FB086B">
        <w:t xml:space="preserve"> aktar komprensiva tal-impatt tal-finanzjament tal-UE fuq il-produttività, fuq l-imġiba tal-investiment u fuq il-kompetittività reġjonali; jissuġġerixxi li dan l-approċċ jiġi </w:t>
      </w:r>
      <w:r w:rsidRPr="00FB086B">
        <w:lastRenderedPageBreak/>
        <w:t xml:space="preserve">kkomplementat bl-użu ta’ </w:t>
      </w:r>
      <w:proofErr w:type="spellStart"/>
      <w:r w:rsidRPr="00FB086B">
        <w:t>mikrodata</w:t>
      </w:r>
      <w:proofErr w:type="spellEnd"/>
      <w:r w:rsidRPr="00FB086B">
        <w:t xml:space="preserve"> u ta’ indikaturi tal-prestazzjoni reġjonali biex tittejjeb il-bażi tal-evidenza għat-tfassil tal-politika u l-immirar tal-fondi;</w:t>
      </w:r>
    </w:p>
    <w:p w14:paraId="79054C92" w14:textId="775B55FE" w:rsidR="007D189B" w:rsidRPr="00FB086B" w:rsidRDefault="007D189B" w:rsidP="007D189B">
      <w:pPr>
        <w:pStyle w:val="NormalHanging12a"/>
      </w:pPr>
      <w:r w:rsidRPr="00FB086B">
        <w:t>28.</w:t>
      </w:r>
      <w:r w:rsidRPr="00FB086B">
        <w:tab/>
        <w:t>Jistieden lill-Kummissjoni u lill-Istati Membri jistabbilixxu u jużaw b’mod konsistenti, tul il-QFP li jmiss, sett armonizzat ta’ indikaturi ewlenin bħal dawk li diġà jagħmlu parti mit-Tabella ta’ Valutazzjoni Ewropea tal-Innovazzjoni, bil-għan li jrawmu l-kompetittività fl-Istati Membri kollha sabiex jippermettu l-komparabbiltà, il-valutazzjoni komparattiva u l-aggregazzjoni tad-data fil-livell tal-UE, filwaqt li jippermettu wkoll l-użu ta’ indikaturi mfassla apposta għall-ħtiġijiet nazzjonali jew reġjonali, fejn xieraq; jisħaq li l-partijiet ikkonċernati rilevanti kollha għandhom jiġu kkonsultati fid-definizzjoni u r-rieżami tal-indikaturi sabiex jiġi żgurat li jirriflettu l-ħtiġijiet reali tal-kompetittività, filwaqt li jaderixxu ma’ standards soċjali u tax-xogħol għoljin;</w:t>
      </w:r>
    </w:p>
    <w:p w14:paraId="5B57645D" w14:textId="77777777" w:rsidR="007D189B" w:rsidRPr="00FB086B" w:rsidRDefault="007D189B" w:rsidP="007D189B">
      <w:pPr>
        <w:pStyle w:val="NormalHanging12a"/>
      </w:pPr>
      <w:r w:rsidRPr="00FB086B">
        <w:t>29.</w:t>
      </w:r>
      <w:r w:rsidRPr="00FB086B">
        <w:tab/>
        <w:t xml:space="preserve">Iqis li, fil-każ ta’ proġetti li jrawmu l-innovazzjoni u jappoġġjaw it-teknoloġiji strateġiċi, jistgħu jintużaw l-indikaturi tal-output li ġejjin: il-volum ta’ finanzjament tal-UE u tas-settur privat mobilizzat, l-għadd ta’ proġetti ffinanzjati għal kull settur (jiġifieri l-intelliġenza artifiċjali, il-kwantistika, il-bijoteknoloġija), u l-għadd ta’ </w:t>
      </w:r>
      <w:proofErr w:type="spellStart"/>
      <w:r w:rsidRPr="00FB086B">
        <w:t>unicorns</w:t>
      </w:r>
      <w:proofErr w:type="spellEnd"/>
      <w:r w:rsidRPr="00FB086B">
        <w:t>, start-</w:t>
      </w:r>
      <w:proofErr w:type="spellStart"/>
      <w:r w:rsidRPr="00FB086B">
        <w:t>ups</w:t>
      </w:r>
      <w:proofErr w:type="spellEnd"/>
      <w:r w:rsidRPr="00FB086B">
        <w:t xml:space="preserve"> u </w:t>
      </w:r>
      <w:proofErr w:type="spellStart"/>
      <w:r w:rsidRPr="00FB086B">
        <w:t>scale-ups</w:t>
      </w:r>
      <w:proofErr w:type="spellEnd"/>
      <w:r w:rsidRPr="00FB086B">
        <w:t xml:space="preserve"> maħluqa jew li jespandu fl-UE li rċevew finanzjament mill-UE, filwaqt li jitkejjel ukoll il-perċentwal ta’ start-</w:t>
      </w:r>
      <w:proofErr w:type="spellStart"/>
      <w:r w:rsidRPr="00FB086B">
        <w:t>ups</w:t>
      </w:r>
      <w:proofErr w:type="spellEnd"/>
      <w:r w:rsidRPr="00FB086B">
        <w:t xml:space="preserve"> immexxija min-nisa ffinanzjati, fejn xieraq; iqis li l-indikaturi tar-riżultati jistgħu jinkludu l-għadd ta’ applikazzjonijiet għal privattivi ppreżentati minn proġetti ffinanzjati mill-UE, ir-redditu fuq l-investiment tal-UE skont is-settur, il-bidla fir-rata tal-impjieg, ir-rata ta’ sopravivenza tal-kumpaniji ffinanzjati mill-UE wara tliet snin, iż-żieda fl-għadd ta’ offerti pubbliċi inizjali (</w:t>
      </w:r>
      <w:proofErr w:type="spellStart"/>
      <w:r w:rsidRPr="00FB086B">
        <w:t>IPOs</w:t>
      </w:r>
      <w:proofErr w:type="spellEnd"/>
      <w:r w:rsidRPr="00FB086B">
        <w:t>) Ewropej, iż-żieda fl-għadd ta’ kumpaniji esportaturi, u l-għadd ta’ intrapriżi li jiksbu intensità diġitali għolja; iqis li huwa meħtieġ li jiġu traċċati u rrapportati indikaturi tal-impatt bħaż-żieda fil-kapaċità (output fis-sena) fil-manifattura ta’ teknoloġiji profondi u diġitali (eż. tipi speċifiċi ta’ tagħmir), iż-żieda fil-volum ta’ kapital ta’ riskju investit fl-UE, iż-żieda fil-kapitalizzazzjoni tas-suq tal-kumpaniji tal-UE, u l-adozzjoni mis-suq u t-tkabbir tad-dħul attribwibbli għal innovazzjonijiet iffinanzjati mill-UE;</w:t>
      </w:r>
    </w:p>
    <w:p w14:paraId="42B23035" w14:textId="77777777" w:rsidR="007D189B" w:rsidRPr="00FB086B" w:rsidRDefault="007D189B" w:rsidP="007D189B">
      <w:pPr>
        <w:pStyle w:val="NormalHanging12a"/>
      </w:pPr>
      <w:r w:rsidRPr="00FB086B">
        <w:t>30.</w:t>
      </w:r>
      <w:r w:rsidRPr="00FB086B">
        <w:tab/>
        <w:t xml:space="preserve">Iqis li r-rilokazzjoni industrijali u l-awtosuffiċjenza fil-materja prima kritika għandhom jiġu appoġġjati sabiex jitnaqqsu d-dipendenzi strateġiċi tal-UE; jipproponi li l-progress jista’ jitkejjel b’indikaturi tal-output bħall-għadd ta’ proġetti u SMEs li </w:t>
      </w:r>
      <w:proofErr w:type="spellStart"/>
      <w:r w:rsidRPr="00FB086B">
        <w:t>rrilokaw</w:t>
      </w:r>
      <w:proofErr w:type="spellEnd"/>
      <w:r w:rsidRPr="00FB086B">
        <w:t xml:space="preserve"> lejn l-UE, l-għadd ta’ start-</w:t>
      </w:r>
      <w:proofErr w:type="spellStart"/>
      <w:r w:rsidRPr="00FB086B">
        <w:t>ups</w:t>
      </w:r>
      <w:proofErr w:type="spellEnd"/>
      <w:r w:rsidRPr="00FB086B">
        <w:t xml:space="preserve"> u </w:t>
      </w:r>
      <w:proofErr w:type="spellStart"/>
      <w:r w:rsidRPr="00FB086B">
        <w:t>scale-ups</w:t>
      </w:r>
      <w:proofErr w:type="spellEnd"/>
      <w:r w:rsidRPr="00FB086B">
        <w:t xml:space="preserve"> maħluqa jew li jespandu – filwaqt li jitkejjel ukoll il-perċentwal ta’ start-</w:t>
      </w:r>
      <w:proofErr w:type="spellStart"/>
      <w:r w:rsidRPr="00FB086B">
        <w:t>ups</w:t>
      </w:r>
      <w:proofErr w:type="spellEnd"/>
      <w:r w:rsidRPr="00FB086B">
        <w:t xml:space="preserve"> u </w:t>
      </w:r>
      <w:proofErr w:type="spellStart"/>
      <w:r w:rsidRPr="00FB086B">
        <w:t>scale-ups</w:t>
      </w:r>
      <w:proofErr w:type="spellEnd"/>
      <w:r w:rsidRPr="00FB086B">
        <w:t xml:space="preserve"> immexxija min-nisa meta xieraq – u l-livell ta’ ħolqien ta’ impjiegi industrijali f’reġjuni fil-mira; iqis li l-indikaturi tar-riżultati jistgħu jinkludu ż-żieda fis-sehem tal-materja prima kritika importata minn sħab strateġiċi ġodda jew miksuba mill-UE u ż-żieda fil-volum (tunnellati) ta’ materja prima kritika riċiklata, produttività ogħla u valur miżjud gross fi ktajjen tal-valur fil-mira, reżiljenza akbar tal-provvista, u prestazzjoni kummerċjali mtejba;</w:t>
      </w:r>
    </w:p>
    <w:p w14:paraId="48F034B9" w14:textId="77777777" w:rsidR="007D189B" w:rsidRPr="00FB086B" w:rsidRDefault="007D189B" w:rsidP="007D189B">
      <w:pPr>
        <w:pStyle w:val="NormalHanging12a"/>
      </w:pPr>
      <w:r w:rsidRPr="00FB086B">
        <w:t>31.</w:t>
      </w:r>
      <w:r w:rsidRPr="00FB086B">
        <w:tab/>
        <w:t>Jisħaq fuq il-ħtieġa li jsir investiment fi grilji intelliġenti, fil-ħżin tal-enerġija u f’kurituri tal-idroġenu biex tiġi ffaċilitata sistema tal-enerġija reżiljenti u kompetittiva; jissottolinja li l-miżuri f’dan ir-rigward huma essenzjali biex titnaqqas il-volatilità tal-prezzijiet tal-enerġija, tissaħħaħ il-kompetittività industrijali u tiġi żgurata t-tranżizzjoni sigura tal-Ewropa lejn ekonomija sostenibbli u b’livell baxx ta’ emissjonijiet tal-karbonju;</w:t>
      </w:r>
    </w:p>
    <w:p w14:paraId="42238462" w14:textId="77777777" w:rsidR="007D189B" w:rsidRPr="00FB086B" w:rsidRDefault="007D189B" w:rsidP="007D189B">
      <w:pPr>
        <w:pStyle w:val="NormalHanging12a"/>
      </w:pPr>
      <w:r w:rsidRPr="00FB086B">
        <w:lastRenderedPageBreak/>
        <w:t>32.</w:t>
      </w:r>
      <w:r w:rsidRPr="00FB086B">
        <w:tab/>
        <w:t xml:space="preserve">Iqis li għandhom </w:t>
      </w:r>
      <w:proofErr w:type="spellStart"/>
      <w:r w:rsidRPr="00FB086B">
        <w:t>jitfittxu</w:t>
      </w:r>
      <w:proofErr w:type="spellEnd"/>
      <w:r w:rsidRPr="00FB086B">
        <w:t xml:space="preserve"> x-xiri konġunt tal-enerġija industrijali u d-dekarbonizzazzjoni industrijali għandhom sabiex jitnaqqsu l-kostijiet tal-enerġija u tissaħħaħ is-sigurtà tal-provvista, filwaqt li jiġi żgurat li l-miżuri li jirriżultaw ma jkollhomx impatt mhux xieraq fuq is-sigurtà tal-enerġija ta’ kwalunkwe Stat Membru; jipproponi li l-progress jista’ jitkejjel b’indikaturi tal-output bħall-għadd ta’ kumpaniji parteċipanti, il-volum tal-enerġija mixtrija u s-sehem tal-enerġija rinnovabbli f’kuntratti konġunti; iqis li jistgħu jintużaw indikaturi tar-riżultati bħall-kapaċità tal-enerġija addizzjonali installata fil-produzzjoni tal-elettriku (MW); iqis ukoll li l-indikaturi tal-impatt jistgħu jinkludu l-bidliet fil-prezzijiet medji tal-enerġija fl-industriji fil-mira, it-tnaqqis fl-interruzzjoni tal-provvista, iż-żieda fl-użu tal-enerġija nadifa u t-tnaqqis tal-emissjonijiet ta’ gassijiet serra (eż. f’tCO2e);</w:t>
      </w:r>
    </w:p>
    <w:p w14:paraId="679A8202" w14:textId="77777777" w:rsidR="007D189B" w:rsidRPr="00FB086B" w:rsidRDefault="007D189B" w:rsidP="007D189B">
      <w:pPr>
        <w:pStyle w:val="NormalHanging12a"/>
      </w:pPr>
      <w:r w:rsidRPr="00FB086B">
        <w:t>33.</w:t>
      </w:r>
      <w:r w:rsidRPr="00FB086B">
        <w:tab/>
        <w:t>Iqis li l-UE għandha tinvesti fit-talent f’setturi strateġiċi u kritiċi biex iżżid il-kompetittività fit-tul tagħha permezz ta’ forza tax-xogħol kapaċi, inkluż billi tappoġġja l-parteċipazzjoni fit-taħriġ vokazzjonali, fit-tagħlim tul il-ħajja u fl-iżvilupp tal-ħiliet; jissuġġerixxi li l-progress jista’ jitkejjel b’indikaturi tal-output bħall-għadd ta’ persuni mħarrġa kull sena (b’enfasi speċifika fuq il-bilanċ bejn il-ġeneri u l-inklużjoni soċjali), l-għadd ta’ persuni li ggradwaw b’lawrja universitarja fix-xjenza, it-teknoloġija, l-inġinerija jew il-matematika (STEM) jew li għamlu korsijiet ta’ edukazzjoni u taħriġ vokazzjonali b’enfasi STEM, ir-rata ta’ parteċipazzjoni fil-programmi ta’ tagħlim għall-adulti u ta’ tagħlim tul il-ħajja u r-rata ta’ sodisfazzjon tal-kumpaniji sħab u s-sħab soċjali; iqis li l-indikaturi tar-riżultati jistgħu jinkludu bidliet fir-rata ta’ impjieg, ir-rata ta’ tranżizzjoni minn taħriġ jew impjieg temporanju għal impjieg permanenti, ir-rata ta’ okkupazzjoni, ir-rata ta’ progressjoni tal-pagi u r-rata ta’ żamma fis-setturi fil-mira;</w:t>
      </w:r>
    </w:p>
    <w:p w14:paraId="2D7A81D6" w14:textId="77777777" w:rsidR="007D189B" w:rsidRPr="00FB086B" w:rsidRDefault="007D189B" w:rsidP="007D189B">
      <w:pPr>
        <w:pStyle w:val="NormalHanging12a"/>
        <w:rPr>
          <w:bCs/>
          <w:iCs/>
        </w:rPr>
      </w:pPr>
      <w:r w:rsidRPr="00FB086B">
        <w:t>34.</w:t>
      </w:r>
      <w:r w:rsidRPr="00FB086B">
        <w:tab/>
        <w:t>Jinnota bi tħassib li piżijiet regolatorji u amministrattivi eċċessivi jkomplu jimminaw il-kompetittività tal-kumpaniji tal-UE meta mqabbla ma’ blokok ekonomiċi globali oħra; jisħaq li tali piżijiet iżidu l-kostijiet operazzjonali, inaqqsu l-produttività settorjali u joħolqu ostakli għad-dħul fis-suq għal ditti ġodda, u b’hekk jiskoraġġixxu l-kompetizzjoni u l-innovazzjoni; jinnota, barra minn hekk, li dawn l-ineffiċjenzi jistgħu jissarrfu wkoll fi prezzijiet ogħla għall-konsumaturi;</w:t>
      </w:r>
    </w:p>
    <w:p w14:paraId="4FD3B2ED" w14:textId="6249199F" w:rsidR="007D189B" w:rsidRDefault="007D189B" w:rsidP="007D189B">
      <w:pPr>
        <w:pStyle w:val="NormalHanging12a"/>
      </w:pPr>
      <w:r w:rsidRPr="00FB086B">
        <w:t>35.</w:t>
      </w:r>
      <w:r w:rsidRPr="00FB086B">
        <w:tab/>
        <w:t xml:space="preserve">Iqis li sabiex jiġu aċċelerati kemm it-tranżizzjoni ekoloġika kif ukoll dik diġitali, għandha tingħata attenzjoni partikolari lill-SMEs innovattivi, li għalihom is-simplifikazzjoni hija kritika; jisħaq li s-simplifikazzjoni  </w:t>
      </w:r>
      <w:r w:rsidR="00931B1D" w:rsidRPr="00931B1D">
        <w:t xml:space="preserve">għandha tiffoka fuq it-tnaqqis tal-burokrazija żejda u tal-kostijiet amministrattivi għall-SMEs; jenfasizza li s-simplifikazzjoni trid titwettaq filwaqt li jiġi żgurat qafas regolatorju proporzjonat u effiċjenti, </w:t>
      </w:r>
      <w:r w:rsidRPr="00FB086B">
        <w:t>li jiggarantixxi ċ-ċertezza regolatorja kif ukoll valutazzjoni tal-impatt xierqa; jissuġġerixxi li l-progress fit-tnaqqis tal-piż amministrattiv ikun jista’ jitkejjel b’indikaturi bħall-għadd ta’ proġetti approvati u l-għadd ta’ proġetti konklużi kull sena mal-SMEs, it-tnaqqis fir-rata ta’ appelli jew tilwim relatat</w:t>
      </w:r>
      <w:r w:rsidR="00931B1D">
        <w:t>i</w:t>
      </w:r>
      <w:r w:rsidRPr="00FB086B">
        <w:t xml:space="preserve"> mal-proċeduri ta’ applikazzjoni u t-tnaqqis fiż-żmien meħtieġ biex jiġi aċċessat il-finanzjament tal-UE, mill-applikazzjoni sal-iżborż;</w:t>
      </w:r>
    </w:p>
    <w:p w14:paraId="28EDA3D2" w14:textId="473DED71" w:rsidR="00931B1D" w:rsidRPr="00FB086B" w:rsidRDefault="00931B1D" w:rsidP="007D189B">
      <w:pPr>
        <w:pStyle w:val="NormalHanging12a"/>
      </w:pPr>
      <w:r w:rsidRPr="00931B1D">
        <w:t>3</w:t>
      </w:r>
      <w:r>
        <w:t>6</w:t>
      </w:r>
      <w:r w:rsidRPr="00931B1D">
        <w:t>.</w:t>
      </w:r>
      <w:r w:rsidRPr="00931B1D">
        <w:tab/>
        <w:t>Jistieden lill-Kummissjoni tkompli żżid l-isforzi biex tnaqqas il-piż regolatorju u tiżgura li l-leġiżlazzjoni tal-UE tkun proporzjonata, ibbażata fuq l-evidenza u toffri valur miżjud ċar liċ-ċittadini u lin-negozji; iqis li l-approċċ attwali ta’ “</w:t>
      </w:r>
      <w:proofErr w:type="spellStart"/>
      <w:r w:rsidRPr="00931B1D">
        <w:t>one</w:t>
      </w:r>
      <w:proofErr w:type="spellEnd"/>
      <w:r w:rsidRPr="00931B1D">
        <w:t xml:space="preserve"> in, </w:t>
      </w:r>
      <w:proofErr w:type="spellStart"/>
      <w:r w:rsidRPr="00931B1D">
        <w:t>one</w:t>
      </w:r>
      <w:proofErr w:type="spellEnd"/>
      <w:r w:rsidRPr="00931B1D">
        <w:t xml:space="preserve"> </w:t>
      </w:r>
      <w:proofErr w:type="spellStart"/>
      <w:r w:rsidRPr="00931B1D">
        <w:t>out</w:t>
      </w:r>
      <w:proofErr w:type="spellEnd"/>
      <w:r w:rsidRPr="00931B1D">
        <w:t>” mhuwiex biżżejjed f’dan ir-rigward; jappella, għalhekk, għall-applikazzjoni ta’ prinċipju ta’ “</w:t>
      </w:r>
      <w:proofErr w:type="spellStart"/>
      <w:r w:rsidRPr="00931B1D">
        <w:t>one</w:t>
      </w:r>
      <w:proofErr w:type="spellEnd"/>
      <w:r w:rsidRPr="00931B1D">
        <w:t xml:space="preserve"> in, </w:t>
      </w:r>
      <w:proofErr w:type="spellStart"/>
      <w:r w:rsidRPr="00931B1D">
        <w:t>two</w:t>
      </w:r>
      <w:proofErr w:type="spellEnd"/>
      <w:r w:rsidRPr="00931B1D">
        <w:t xml:space="preserve"> </w:t>
      </w:r>
      <w:proofErr w:type="spellStart"/>
      <w:r w:rsidRPr="00931B1D">
        <w:t>out</w:t>
      </w:r>
      <w:proofErr w:type="spellEnd"/>
      <w:r w:rsidRPr="00931B1D">
        <w:t xml:space="preserve">”, fejn l-introduzzjoni ta’ kwalunkwe kost ġdid permezz ta’ obbligi regolatorji tiġi kkumpensata minn tnaqqis fil-kostijiet regolatorji li jirriżulta minn leġiżlazzjoni oħra tal-UE tal-anqas bid-doppju tal-ammont ekwivalenti, bl-objettiv </w:t>
      </w:r>
      <w:r w:rsidRPr="00931B1D">
        <w:lastRenderedPageBreak/>
        <w:t>li jinkiseb tnaqqis nett fil-piż regolatorju, filwaqt li l-piż fuq il-kumpaniji u l-amministrazzjoni pubblika jiġi ttrattat separatament.</w:t>
      </w:r>
    </w:p>
    <w:p w14:paraId="0784132E" w14:textId="77777777" w:rsidR="007D189B" w:rsidRPr="00FB086B" w:rsidRDefault="007D189B" w:rsidP="007D189B">
      <w:pPr>
        <w:pStyle w:val="NormalCenter12a"/>
      </w:pPr>
      <w:r w:rsidRPr="00FB086B">
        <w:t>°</w:t>
      </w:r>
    </w:p>
    <w:p w14:paraId="70E08075" w14:textId="77777777" w:rsidR="007D189B" w:rsidRPr="00FB086B" w:rsidRDefault="007D189B" w:rsidP="007D189B">
      <w:pPr>
        <w:pStyle w:val="NormalCenter12a"/>
      </w:pPr>
      <w:r w:rsidRPr="00FB086B">
        <w:t>°</w:t>
      </w:r>
      <w:r w:rsidRPr="00FB086B">
        <w:tab/>
        <w:t>°</w:t>
      </w:r>
    </w:p>
    <w:p w14:paraId="6FAD03E9" w14:textId="2968CFDD" w:rsidR="00FB086B" w:rsidRPr="00FB086B" w:rsidRDefault="007D189B" w:rsidP="00FB086B">
      <w:pPr>
        <w:pStyle w:val="NormalHanging12a"/>
      </w:pPr>
      <w:r w:rsidRPr="00FB086B">
        <w:t>3</w:t>
      </w:r>
      <w:r w:rsidR="00931B1D">
        <w:t>7</w:t>
      </w:r>
      <w:r w:rsidRPr="00FB086B">
        <w:t>.</w:t>
      </w:r>
      <w:r w:rsidRPr="00FB086B">
        <w:tab/>
        <w:t>Jagħti istruzzjonijiet lill-President tiegħu biex tgħaddi din ir-riżoluzzjoni lill-Kunsill u lill-Kummissjoni.</w:t>
      </w:r>
    </w:p>
    <w:p w14:paraId="31D98BC3" w14:textId="21DC1C72" w:rsidR="00E365E1" w:rsidRPr="00FB086B" w:rsidRDefault="00E365E1" w:rsidP="00DA4423"/>
    <w:sectPr w:rsidR="00E365E1" w:rsidRPr="00FB086B" w:rsidSect="00FB08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1E932" w14:textId="77777777" w:rsidR="00DA4423" w:rsidRPr="00FB086B" w:rsidRDefault="00DA4423">
      <w:r w:rsidRPr="00FB086B">
        <w:separator/>
      </w:r>
    </w:p>
  </w:endnote>
  <w:endnote w:type="continuationSeparator" w:id="0">
    <w:p w14:paraId="0BFFA92B" w14:textId="77777777" w:rsidR="00DA4423" w:rsidRPr="00FB086B" w:rsidRDefault="00DA4423">
      <w:r w:rsidRPr="00FB08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0C46" w14:textId="77777777" w:rsidR="00064002" w:rsidRPr="00FB08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5838A" w14:textId="77777777" w:rsidR="00064002" w:rsidRPr="00FB08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DA666" w14:textId="77777777" w:rsidR="00064002" w:rsidRPr="00FB08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240A7" w14:textId="77777777" w:rsidR="00DA4423" w:rsidRPr="00FB086B" w:rsidRDefault="00DA4423">
      <w:r w:rsidRPr="00FB086B">
        <w:separator/>
      </w:r>
    </w:p>
  </w:footnote>
  <w:footnote w:type="continuationSeparator" w:id="0">
    <w:p w14:paraId="104598DF" w14:textId="77777777" w:rsidR="00DA4423" w:rsidRPr="00FB086B" w:rsidRDefault="00DA4423">
      <w:r w:rsidRPr="00FB086B">
        <w:continuationSeparator/>
      </w:r>
    </w:p>
  </w:footnote>
  <w:footnote w:id="1">
    <w:p w14:paraId="3A916AEE" w14:textId="752705D5" w:rsidR="007D189B" w:rsidRPr="00FB086B" w:rsidRDefault="007D189B" w:rsidP="00FB086B">
      <w:pPr>
        <w:pStyle w:val="FootnoteText"/>
        <w:ind w:left="567" w:hanging="567"/>
        <w:rPr>
          <w:sz w:val="24"/>
          <w:lang w:val="mt-MT"/>
        </w:rPr>
      </w:pPr>
      <w:r w:rsidRPr="00FB086B">
        <w:rPr>
          <w:rStyle w:val="FootnoteReference"/>
          <w:sz w:val="24"/>
          <w:lang w:val="mt-MT"/>
        </w:rPr>
        <w:footnoteRef/>
      </w:r>
      <w:r w:rsidR="00FB086B" w:rsidRPr="00FB086B">
        <w:rPr>
          <w:sz w:val="24"/>
          <w:lang w:val="mt-MT"/>
        </w:rPr>
        <w:t xml:space="preserve"> </w:t>
      </w:r>
      <w:r w:rsidR="00FB086B" w:rsidRPr="00FB086B">
        <w:rPr>
          <w:sz w:val="24"/>
          <w:lang w:val="mt-MT"/>
        </w:rPr>
        <w:tab/>
      </w:r>
      <w:r w:rsidRPr="00FB086B">
        <w:rPr>
          <w:sz w:val="24"/>
          <w:lang w:val="mt-MT"/>
        </w:rPr>
        <w:t xml:space="preserve">ĠU L 433 I, 22.12.2020, p. 11, ELI: </w:t>
      </w:r>
      <w:hyperlink r:id="rId1" w:tgtFrame="http://data.europa.eu/eli/reg/2020/2093/oj" w:history="1">
        <w:r w:rsidRPr="00FB086B">
          <w:rPr>
            <w:rStyle w:val="Hyperlink"/>
            <w:sz w:val="24"/>
            <w:lang w:val="mt-MT"/>
          </w:rPr>
          <w:t>http://data.europa.eu/eli/reg/2020/2093/oj</w:t>
        </w:r>
      </w:hyperlink>
      <w:r w:rsidRPr="00FB086B">
        <w:rPr>
          <w:sz w:val="24"/>
          <w:lang w:val="mt-MT"/>
        </w:rPr>
        <w:t>.</w:t>
      </w:r>
    </w:p>
  </w:footnote>
  <w:footnote w:id="2">
    <w:p w14:paraId="77C00BEB" w14:textId="27C4D33E" w:rsidR="007D189B" w:rsidRPr="00FB086B" w:rsidRDefault="007D189B" w:rsidP="00FB086B">
      <w:pPr>
        <w:pStyle w:val="FootnoteText"/>
        <w:ind w:left="567" w:hanging="567"/>
        <w:rPr>
          <w:sz w:val="24"/>
          <w:lang w:val="mt-MT"/>
        </w:rPr>
      </w:pPr>
      <w:r w:rsidRPr="00FB086B">
        <w:rPr>
          <w:rStyle w:val="FootnoteReference"/>
          <w:sz w:val="24"/>
          <w:lang w:val="mt-MT"/>
        </w:rPr>
        <w:footnoteRef/>
      </w:r>
      <w:r w:rsidR="00FB086B" w:rsidRPr="00FB086B">
        <w:rPr>
          <w:sz w:val="24"/>
          <w:lang w:val="mt-MT"/>
        </w:rPr>
        <w:t xml:space="preserve"> </w:t>
      </w:r>
      <w:r w:rsidR="00FB086B" w:rsidRPr="00FB086B">
        <w:rPr>
          <w:sz w:val="24"/>
          <w:lang w:val="mt-MT"/>
        </w:rPr>
        <w:tab/>
      </w:r>
      <w:r w:rsidRPr="00FB086B">
        <w:rPr>
          <w:sz w:val="24"/>
          <w:lang w:val="mt-MT"/>
        </w:rPr>
        <w:t xml:space="preserve">ĠU L 325, 20.12.2022, p. 11, ELI: </w:t>
      </w:r>
      <w:hyperlink r:id="rId2" w:tgtFrame="http://data.europa.eu/eli/reg/2022/2496/oj" w:history="1">
        <w:r w:rsidRPr="00FB086B">
          <w:rPr>
            <w:rStyle w:val="Hyperlink"/>
            <w:sz w:val="24"/>
            <w:lang w:val="mt-MT"/>
          </w:rPr>
          <w:t>http://data.europa.eu/eli/reg/2022/2496/oj</w:t>
        </w:r>
      </w:hyperlink>
      <w:r w:rsidRPr="00FB086B">
        <w:rPr>
          <w:sz w:val="24"/>
          <w:lang w:val="mt-MT"/>
        </w:rPr>
        <w:t>.</w:t>
      </w:r>
    </w:p>
  </w:footnote>
  <w:footnote w:id="3">
    <w:p w14:paraId="1D961FF3" w14:textId="3127C7F6" w:rsidR="007D189B" w:rsidRPr="00FB086B" w:rsidRDefault="007D189B" w:rsidP="00FB086B">
      <w:pPr>
        <w:pStyle w:val="FootnoteText"/>
        <w:ind w:left="567" w:hanging="567"/>
        <w:rPr>
          <w:sz w:val="24"/>
          <w:lang w:val="mt-MT"/>
        </w:rPr>
      </w:pPr>
      <w:r w:rsidRPr="00FB086B">
        <w:rPr>
          <w:rStyle w:val="FootnoteReference"/>
          <w:sz w:val="24"/>
          <w:lang w:val="mt-MT"/>
        </w:rPr>
        <w:footnoteRef/>
      </w:r>
      <w:r w:rsidR="00FB086B" w:rsidRPr="00FB086B">
        <w:rPr>
          <w:sz w:val="24"/>
          <w:lang w:val="mt-MT"/>
        </w:rPr>
        <w:t xml:space="preserve"> </w:t>
      </w:r>
      <w:r w:rsidR="00FB086B" w:rsidRPr="00FB086B">
        <w:rPr>
          <w:sz w:val="24"/>
          <w:lang w:val="mt-MT"/>
        </w:rPr>
        <w:tab/>
      </w:r>
      <w:r w:rsidRPr="00FB086B">
        <w:rPr>
          <w:sz w:val="24"/>
          <w:lang w:val="mt-MT"/>
        </w:rPr>
        <w:t xml:space="preserve">ĠU L, 2024/765, 29.2.2024, ELI: </w:t>
      </w:r>
      <w:hyperlink r:id="rId3" w:history="1">
        <w:r w:rsidRPr="00FB086B">
          <w:rPr>
            <w:rStyle w:val="Hyperlink"/>
            <w:sz w:val="24"/>
            <w:lang w:val="mt-MT"/>
          </w:rPr>
          <w:t>https://eur-lex.europa.eu/eli/reg/2024/765/oj</w:t>
        </w:r>
      </w:hyperlink>
      <w:r w:rsidRPr="00FB086B">
        <w:rPr>
          <w:sz w:val="24"/>
          <w:lang w:val="mt-MT"/>
        </w:rPr>
        <w:t>.</w:t>
      </w:r>
    </w:p>
  </w:footnote>
  <w:footnote w:id="4">
    <w:p w14:paraId="23545E35" w14:textId="47F6B0A8" w:rsidR="007D189B" w:rsidRPr="00FB086B" w:rsidRDefault="007D189B" w:rsidP="00FB086B">
      <w:pPr>
        <w:pStyle w:val="FootnoteText"/>
        <w:ind w:left="567" w:hanging="567"/>
        <w:rPr>
          <w:sz w:val="24"/>
          <w:lang w:val="mt-MT"/>
        </w:rPr>
      </w:pPr>
      <w:r w:rsidRPr="00FB086B">
        <w:rPr>
          <w:rStyle w:val="FootnoteReference"/>
          <w:sz w:val="24"/>
          <w:lang w:val="mt-MT"/>
        </w:rPr>
        <w:footnoteRef/>
      </w:r>
      <w:r w:rsidR="00FB086B" w:rsidRPr="00FB086B">
        <w:rPr>
          <w:sz w:val="24"/>
          <w:lang w:val="mt-MT"/>
        </w:rPr>
        <w:t xml:space="preserve"> </w:t>
      </w:r>
      <w:r w:rsidR="00FB086B" w:rsidRPr="00FB086B">
        <w:rPr>
          <w:sz w:val="24"/>
          <w:lang w:val="mt-MT"/>
        </w:rPr>
        <w:tab/>
      </w:r>
      <w:r w:rsidRPr="00FB086B">
        <w:rPr>
          <w:sz w:val="24"/>
          <w:lang w:val="mt-MT"/>
        </w:rPr>
        <w:t xml:space="preserve">ĠU L 433 I, 22.12.2020, p. 28, ELI: </w:t>
      </w:r>
      <w:hyperlink r:id="rId4" w:tgtFrame="http://data.europa.eu/eli/agree_interinstit/2020/1222/oj" w:history="1">
        <w:r w:rsidRPr="00FB086B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FB086B">
        <w:rPr>
          <w:sz w:val="24"/>
          <w:lang w:val="mt-MT"/>
        </w:rPr>
        <w:t>.</w:t>
      </w:r>
    </w:p>
  </w:footnote>
  <w:footnote w:id="5">
    <w:p w14:paraId="76AEE22E" w14:textId="0D435D88" w:rsidR="007D189B" w:rsidRPr="00FB086B" w:rsidRDefault="007D189B" w:rsidP="00FB086B">
      <w:pPr>
        <w:pStyle w:val="FootnoteText"/>
        <w:ind w:left="567" w:hanging="567"/>
        <w:rPr>
          <w:sz w:val="24"/>
          <w:lang w:val="mt-MT"/>
        </w:rPr>
      </w:pPr>
      <w:r w:rsidRPr="00FB086B">
        <w:rPr>
          <w:rStyle w:val="FootnoteReference"/>
          <w:sz w:val="24"/>
          <w:lang w:val="mt-MT"/>
        </w:rPr>
        <w:footnoteRef/>
      </w:r>
      <w:r w:rsidR="00FB086B" w:rsidRPr="00FB086B">
        <w:rPr>
          <w:sz w:val="24"/>
          <w:lang w:val="mt-MT"/>
        </w:rPr>
        <w:t xml:space="preserve"> </w:t>
      </w:r>
      <w:r w:rsidR="00FB086B" w:rsidRPr="00FB086B">
        <w:rPr>
          <w:sz w:val="24"/>
          <w:lang w:val="mt-MT"/>
        </w:rPr>
        <w:tab/>
      </w:r>
      <w:r w:rsidRPr="00FB086B">
        <w:rPr>
          <w:sz w:val="24"/>
          <w:lang w:val="mt-MT"/>
        </w:rPr>
        <w:t xml:space="preserve">ĠU L, 2024/2509, 26.9.2024, ELI: </w:t>
      </w:r>
      <w:hyperlink r:id="rId5" w:history="1">
        <w:r w:rsidRPr="00FB086B">
          <w:rPr>
            <w:rStyle w:val="Hyperlink"/>
            <w:sz w:val="24"/>
            <w:lang w:val="mt-MT"/>
          </w:rPr>
          <w:t>https://eur-lex.europa.eu/eli/reg/2024/2509/oj</w:t>
        </w:r>
      </w:hyperlink>
      <w:r w:rsidRPr="00FB086B">
        <w:rPr>
          <w:sz w:val="24"/>
          <w:lang w:val="mt-MT"/>
        </w:rPr>
        <w:t>.</w:t>
      </w:r>
    </w:p>
  </w:footnote>
  <w:footnote w:id="6">
    <w:p w14:paraId="2E27F121" w14:textId="69BD617E" w:rsidR="007D189B" w:rsidRPr="00FB086B" w:rsidRDefault="007D189B" w:rsidP="00FB086B">
      <w:pPr>
        <w:pStyle w:val="FootnoteText"/>
        <w:ind w:left="567" w:hanging="567"/>
        <w:rPr>
          <w:sz w:val="24"/>
          <w:lang w:val="mt-MT"/>
        </w:rPr>
      </w:pPr>
      <w:r w:rsidRPr="00FB086B">
        <w:rPr>
          <w:rStyle w:val="FootnoteReference"/>
          <w:sz w:val="24"/>
          <w:lang w:val="mt-MT"/>
        </w:rPr>
        <w:footnoteRef/>
      </w:r>
      <w:r w:rsidR="00FB086B" w:rsidRPr="00FB086B">
        <w:rPr>
          <w:sz w:val="24"/>
          <w:lang w:val="mt-MT"/>
        </w:rPr>
        <w:t xml:space="preserve"> </w:t>
      </w:r>
      <w:r w:rsidR="00FB086B" w:rsidRPr="00FB086B">
        <w:rPr>
          <w:sz w:val="24"/>
          <w:lang w:val="mt-MT"/>
        </w:rPr>
        <w:tab/>
      </w:r>
      <w:r w:rsidRPr="00FB086B">
        <w:rPr>
          <w:sz w:val="24"/>
          <w:lang w:val="mt-MT"/>
        </w:rPr>
        <w:t>Testi adottati, P10_TA(2025)0090.</w:t>
      </w:r>
    </w:p>
  </w:footnote>
  <w:footnote w:id="7">
    <w:p w14:paraId="4D5A408D" w14:textId="64814540" w:rsidR="007D189B" w:rsidRPr="00FB086B" w:rsidRDefault="007D189B" w:rsidP="00FB086B">
      <w:pPr>
        <w:pStyle w:val="FootnoteText"/>
        <w:ind w:left="567" w:hanging="567"/>
        <w:rPr>
          <w:sz w:val="24"/>
          <w:lang w:val="mt-MT"/>
        </w:rPr>
      </w:pPr>
      <w:r w:rsidRPr="00FB086B">
        <w:rPr>
          <w:rStyle w:val="FootnoteReference"/>
          <w:sz w:val="24"/>
          <w:lang w:val="mt-MT"/>
        </w:rPr>
        <w:footnoteRef/>
      </w:r>
      <w:r w:rsidR="00FB086B" w:rsidRPr="00FB086B">
        <w:rPr>
          <w:sz w:val="24"/>
          <w:lang w:val="mt-MT"/>
        </w:rPr>
        <w:t xml:space="preserve"> </w:t>
      </w:r>
      <w:r w:rsidR="00FB086B" w:rsidRPr="00FB086B">
        <w:rPr>
          <w:sz w:val="24"/>
          <w:lang w:val="mt-MT"/>
        </w:rPr>
        <w:tab/>
      </w:r>
      <w:r w:rsidRPr="00FB086B">
        <w:rPr>
          <w:sz w:val="24"/>
          <w:lang w:val="mt-MT"/>
        </w:rPr>
        <w:t>Studju – “</w:t>
      </w:r>
      <w:proofErr w:type="spellStart"/>
      <w:r w:rsidRPr="00FB086B">
        <w:rPr>
          <w:sz w:val="24"/>
          <w:lang w:val="mt-MT"/>
        </w:rPr>
        <w:t>Performance</w:t>
      </w:r>
      <w:proofErr w:type="spellEnd"/>
      <w:r w:rsidRPr="00FB086B">
        <w:rPr>
          <w:sz w:val="24"/>
          <w:lang w:val="mt-MT"/>
        </w:rPr>
        <w:t xml:space="preserve"> </w:t>
      </w:r>
      <w:proofErr w:type="spellStart"/>
      <w:r w:rsidRPr="00FB086B">
        <w:rPr>
          <w:sz w:val="24"/>
          <w:lang w:val="mt-MT"/>
        </w:rPr>
        <w:t>framework</w:t>
      </w:r>
      <w:proofErr w:type="spellEnd"/>
      <w:r w:rsidRPr="00FB086B">
        <w:rPr>
          <w:sz w:val="24"/>
          <w:lang w:val="mt-MT"/>
        </w:rPr>
        <w:t xml:space="preserve"> </w:t>
      </w:r>
      <w:proofErr w:type="spellStart"/>
      <w:r w:rsidRPr="00FB086B">
        <w:rPr>
          <w:sz w:val="24"/>
          <w:lang w:val="mt-MT"/>
        </w:rPr>
        <w:t>for</w:t>
      </w:r>
      <w:proofErr w:type="spellEnd"/>
      <w:r w:rsidRPr="00FB086B">
        <w:rPr>
          <w:sz w:val="24"/>
          <w:lang w:val="mt-MT"/>
        </w:rPr>
        <w:t xml:space="preserve"> </w:t>
      </w:r>
      <w:proofErr w:type="spellStart"/>
      <w:r w:rsidRPr="00FB086B">
        <w:rPr>
          <w:sz w:val="24"/>
          <w:lang w:val="mt-MT"/>
        </w:rPr>
        <w:t>the</w:t>
      </w:r>
      <w:proofErr w:type="spellEnd"/>
      <w:r w:rsidRPr="00FB086B">
        <w:rPr>
          <w:sz w:val="24"/>
          <w:lang w:val="mt-MT"/>
        </w:rPr>
        <w:t xml:space="preserve"> EU budget – </w:t>
      </w:r>
      <w:proofErr w:type="spellStart"/>
      <w:r w:rsidRPr="00FB086B">
        <w:rPr>
          <w:sz w:val="24"/>
          <w:lang w:val="mt-MT"/>
        </w:rPr>
        <w:t>Concepts</w:t>
      </w:r>
      <w:proofErr w:type="spellEnd"/>
      <w:r w:rsidRPr="00FB086B">
        <w:rPr>
          <w:sz w:val="24"/>
          <w:lang w:val="mt-MT"/>
        </w:rPr>
        <w:t xml:space="preserve"> </w:t>
      </w:r>
      <w:proofErr w:type="spellStart"/>
      <w:r w:rsidRPr="00FB086B">
        <w:rPr>
          <w:sz w:val="24"/>
          <w:lang w:val="mt-MT"/>
        </w:rPr>
        <w:t>and</w:t>
      </w:r>
      <w:proofErr w:type="spellEnd"/>
      <w:r w:rsidRPr="00FB086B">
        <w:rPr>
          <w:sz w:val="24"/>
          <w:lang w:val="mt-MT"/>
        </w:rPr>
        <w:t xml:space="preserve"> </w:t>
      </w:r>
      <w:proofErr w:type="spellStart"/>
      <w:r w:rsidRPr="00FB086B">
        <w:rPr>
          <w:sz w:val="24"/>
          <w:lang w:val="mt-MT"/>
        </w:rPr>
        <w:t>practices</w:t>
      </w:r>
      <w:proofErr w:type="spellEnd"/>
      <w:r w:rsidRPr="00FB086B">
        <w:rPr>
          <w:sz w:val="24"/>
          <w:lang w:val="mt-MT"/>
        </w:rPr>
        <w:t>” (Qafas ta’ prestazzjoni għall-baġit tal-UE – Kunċetti u prattiki), il-Parlament Ewropew, id-Direttorat Ġenerali għall-Politiki Interni, Dipartiment Tematiku għall-Affarijiet Baġitarji, Marzu 2024.</w:t>
      </w:r>
    </w:p>
  </w:footnote>
  <w:footnote w:id="8">
    <w:p w14:paraId="1A6B3897" w14:textId="209202CC" w:rsidR="007D189B" w:rsidRPr="00FB086B" w:rsidRDefault="007D189B" w:rsidP="00FB086B">
      <w:pPr>
        <w:pStyle w:val="FootnoteText"/>
        <w:ind w:left="567" w:hanging="567"/>
        <w:rPr>
          <w:sz w:val="24"/>
          <w:lang w:val="mt-MT"/>
        </w:rPr>
      </w:pPr>
      <w:r w:rsidRPr="00FB086B">
        <w:rPr>
          <w:rStyle w:val="FootnoteReference"/>
          <w:sz w:val="24"/>
          <w:lang w:val="mt-MT"/>
        </w:rPr>
        <w:footnoteRef/>
      </w:r>
      <w:r w:rsidR="00FB086B" w:rsidRPr="00FB086B">
        <w:rPr>
          <w:sz w:val="24"/>
          <w:lang w:val="mt-MT"/>
        </w:rPr>
        <w:t xml:space="preserve"> </w:t>
      </w:r>
      <w:r w:rsidR="00FB086B" w:rsidRPr="00FB086B">
        <w:rPr>
          <w:sz w:val="24"/>
          <w:lang w:val="mt-MT"/>
        </w:rPr>
        <w:tab/>
      </w:r>
      <w:r w:rsidRPr="00FB086B">
        <w:rPr>
          <w:sz w:val="24"/>
          <w:lang w:val="mt-MT"/>
        </w:rPr>
        <w:t>Rapport tal-valutazzjoni tal-impatt (SWD(2025)0590) li jakkumpanja l-proposta tal-Kummissjoni għal regolament li jistabbilixxi qafas ta’ traċċar u ta’ prestazzjoni tan-nefqa baġitarja (COM(2025)0545).</w:t>
      </w:r>
    </w:p>
  </w:footnote>
  <w:footnote w:id="9">
    <w:p w14:paraId="1E66CAC1" w14:textId="46C03AEB" w:rsidR="007D189B" w:rsidRPr="00FB086B" w:rsidRDefault="007D189B" w:rsidP="00FB086B">
      <w:pPr>
        <w:pStyle w:val="FootnoteText"/>
        <w:ind w:left="567" w:hanging="567"/>
        <w:rPr>
          <w:sz w:val="24"/>
          <w:lang w:val="mt-MT"/>
        </w:rPr>
      </w:pPr>
      <w:r w:rsidRPr="00FB086B">
        <w:rPr>
          <w:rStyle w:val="FootnoteReference"/>
          <w:sz w:val="24"/>
          <w:lang w:val="mt-MT"/>
        </w:rPr>
        <w:footnoteRef/>
      </w:r>
      <w:r w:rsidR="00FB086B" w:rsidRPr="00FB086B">
        <w:rPr>
          <w:sz w:val="24"/>
          <w:lang w:val="mt-MT"/>
        </w:rPr>
        <w:t xml:space="preserve"> </w:t>
      </w:r>
      <w:r w:rsidR="00FB086B" w:rsidRPr="00FB086B">
        <w:rPr>
          <w:sz w:val="24"/>
          <w:lang w:val="mt-MT"/>
        </w:rPr>
        <w:tab/>
      </w:r>
      <w:r w:rsidRPr="00FB086B">
        <w:rPr>
          <w:sz w:val="24"/>
          <w:lang w:val="mt-MT"/>
        </w:rPr>
        <w:t>COM(2025)0545.</w:t>
      </w:r>
    </w:p>
  </w:footnote>
  <w:footnote w:id="10">
    <w:p w14:paraId="687D160B" w14:textId="5974FB72" w:rsidR="007D189B" w:rsidRPr="00FB086B" w:rsidRDefault="007D189B" w:rsidP="00FB086B">
      <w:pPr>
        <w:pStyle w:val="FootnoteText"/>
        <w:ind w:left="567" w:hanging="567"/>
        <w:rPr>
          <w:sz w:val="24"/>
          <w:lang w:val="mt-MT"/>
        </w:rPr>
      </w:pPr>
      <w:r w:rsidRPr="00FB086B">
        <w:rPr>
          <w:rStyle w:val="FootnoteReference"/>
          <w:sz w:val="24"/>
          <w:lang w:val="mt-MT"/>
        </w:rPr>
        <w:footnoteRef/>
      </w:r>
      <w:r w:rsidR="00FB086B" w:rsidRPr="00FB086B">
        <w:rPr>
          <w:sz w:val="24"/>
          <w:lang w:val="mt-MT"/>
        </w:rPr>
        <w:t xml:space="preserve"> </w:t>
      </w:r>
      <w:r w:rsidR="00FB086B" w:rsidRPr="00FB086B">
        <w:rPr>
          <w:sz w:val="24"/>
          <w:lang w:val="mt-MT"/>
        </w:rPr>
        <w:tab/>
      </w:r>
      <w:r w:rsidRPr="00FB086B">
        <w:rPr>
          <w:sz w:val="24"/>
          <w:lang w:val="mt-MT"/>
        </w:rPr>
        <w:t>OECD (2025), “</w:t>
      </w:r>
      <w:proofErr w:type="spellStart"/>
      <w:r w:rsidR="006D1370">
        <w:fldChar w:fldCharType="begin"/>
      </w:r>
      <w:r w:rsidR="006D1370" w:rsidRPr="00FC0434">
        <w:rPr>
          <w:lang w:val="mt-MT"/>
        </w:rPr>
        <w:instrText>HYPERLINK "https://www.oecd.org/en/publications/strengthening-performance-reporting-practices_bcea6d2d-en.html"</w:instrText>
      </w:r>
      <w:r w:rsidR="006D1370">
        <w:fldChar w:fldCharType="separate"/>
      </w:r>
      <w:r w:rsidRPr="00FB086B">
        <w:rPr>
          <w:rStyle w:val="Hyperlink"/>
          <w:sz w:val="24"/>
          <w:lang w:val="mt-MT"/>
        </w:rPr>
        <w:t>Strengthening</w:t>
      </w:r>
      <w:proofErr w:type="spellEnd"/>
      <w:r w:rsidRPr="00FB086B">
        <w:rPr>
          <w:rStyle w:val="Hyperlink"/>
          <w:sz w:val="24"/>
          <w:lang w:val="mt-MT"/>
        </w:rPr>
        <w:t xml:space="preserve"> </w:t>
      </w:r>
      <w:proofErr w:type="spellStart"/>
      <w:r w:rsidRPr="00FB086B">
        <w:rPr>
          <w:rStyle w:val="Hyperlink"/>
          <w:sz w:val="24"/>
          <w:lang w:val="mt-MT"/>
        </w:rPr>
        <w:t>performance</w:t>
      </w:r>
      <w:proofErr w:type="spellEnd"/>
      <w:r w:rsidRPr="00FB086B">
        <w:rPr>
          <w:rStyle w:val="Hyperlink"/>
          <w:sz w:val="24"/>
          <w:lang w:val="mt-MT"/>
        </w:rPr>
        <w:t xml:space="preserve"> </w:t>
      </w:r>
      <w:proofErr w:type="spellStart"/>
      <w:r w:rsidRPr="00FB086B">
        <w:rPr>
          <w:rStyle w:val="Hyperlink"/>
          <w:sz w:val="24"/>
          <w:lang w:val="mt-MT"/>
        </w:rPr>
        <w:t>reporting</w:t>
      </w:r>
      <w:proofErr w:type="spellEnd"/>
      <w:r w:rsidRPr="00FB086B">
        <w:rPr>
          <w:rStyle w:val="Hyperlink"/>
          <w:sz w:val="24"/>
          <w:lang w:val="mt-MT"/>
        </w:rPr>
        <w:t xml:space="preserve"> </w:t>
      </w:r>
      <w:proofErr w:type="spellStart"/>
      <w:r w:rsidRPr="00FB086B">
        <w:rPr>
          <w:rStyle w:val="Hyperlink"/>
          <w:sz w:val="24"/>
          <w:lang w:val="mt-MT"/>
        </w:rPr>
        <w:t>practices</w:t>
      </w:r>
      <w:proofErr w:type="spellEnd"/>
      <w:r w:rsidR="006D1370">
        <w:rPr>
          <w:rStyle w:val="Hyperlink"/>
          <w:sz w:val="24"/>
          <w:lang w:val="mt-MT"/>
        </w:rPr>
        <w:fldChar w:fldCharType="end"/>
      </w:r>
      <w:r w:rsidRPr="00FB086B">
        <w:rPr>
          <w:sz w:val="24"/>
          <w:lang w:val="mt-MT"/>
        </w:rPr>
        <w:t xml:space="preserve">” (It-tisħiħ tal-prattiki ta’ rapportar dwar il-prestazzjoni), </w:t>
      </w:r>
      <w:r w:rsidRPr="00FB086B">
        <w:rPr>
          <w:i/>
          <w:sz w:val="24"/>
          <w:lang w:val="mt-MT"/>
        </w:rPr>
        <w:t xml:space="preserve">OECD </w:t>
      </w:r>
      <w:proofErr w:type="spellStart"/>
      <w:r w:rsidRPr="00FB086B">
        <w:rPr>
          <w:i/>
          <w:sz w:val="24"/>
          <w:lang w:val="mt-MT"/>
        </w:rPr>
        <w:t>Papers</w:t>
      </w:r>
      <w:proofErr w:type="spellEnd"/>
      <w:r w:rsidRPr="00FB086B">
        <w:rPr>
          <w:i/>
          <w:sz w:val="24"/>
          <w:lang w:val="mt-MT"/>
        </w:rPr>
        <w:t xml:space="preserve"> on </w:t>
      </w:r>
      <w:proofErr w:type="spellStart"/>
      <w:r w:rsidRPr="00FB086B">
        <w:rPr>
          <w:i/>
          <w:sz w:val="24"/>
          <w:lang w:val="mt-MT"/>
        </w:rPr>
        <w:t>Budgeting</w:t>
      </w:r>
      <w:proofErr w:type="spellEnd"/>
      <w:r w:rsidRPr="00FB086B">
        <w:rPr>
          <w:sz w:val="24"/>
          <w:lang w:val="mt-MT"/>
        </w:rPr>
        <w:t xml:space="preserve">, Nru 2025/07, OECD </w:t>
      </w:r>
      <w:proofErr w:type="spellStart"/>
      <w:r w:rsidRPr="00FB086B">
        <w:rPr>
          <w:sz w:val="24"/>
          <w:lang w:val="mt-MT"/>
        </w:rPr>
        <w:t>Publishing</w:t>
      </w:r>
      <w:proofErr w:type="spellEnd"/>
      <w:r w:rsidRPr="00FB086B">
        <w:rPr>
          <w:sz w:val="24"/>
          <w:lang w:val="mt-MT"/>
        </w:rPr>
        <w:t>, Pariġi.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C4C38" w14:textId="77777777" w:rsidR="00064002" w:rsidRPr="00FB08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0D284" w14:textId="77777777" w:rsidR="00064002" w:rsidRPr="00FB08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4A0A1" w14:textId="77777777" w:rsidR="00064002" w:rsidRPr="00FB08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6104542">
    <w:abstractNumId w:val="9"/>
  </w:num>
  <w:num w:numId="2" w16cid:durableId="879321453">
    <w:abstractNumId w:val="9"/>
  </w:num>
  <w:num w:numId="3" w16cid:durableId="2130970753">
    <w:abstractNumId w:val="7"/>
  </w:num>
  <w:num w:numId="4" w16cid:durableId="29037023">
    <w:abstractNumId w:val="7"/>
  </w:num>
  <w:num w:numId="5" w16cid:durableId="742067085">
    <w:abstractNumId w:val="6"/>
  </w:num>
  <w:num w:numId="6" w16cid:durableId="385878231">
    <w:abstractNumId w:val="6"/>
  </w:num>
  <w:num w:numId="7" w16cid:durableId="1839884720">
    <w:abstractNumId w:val="5"/>
  </w:num>
  <w:num w:numId="8" w16cid:durableId="265618659">
    <w:abstractNumId w:val="5"/>
  </w:num>
  <w:num w:numId="9" w16cid:durableId="2133621868">
    <w:abstractNumId w:val="4"/>
  </w:num>
  <w:num w:numId="10" w16cid:durableId="140736019">
    <w:abstractNumId w:val="4"/>
  </w:num>
  <w:num w:numId="11" w16cid:durableId="84531">
    <w:abstractNumId w:val="8"/>
  </w:num>
  <w:num w:numId="12" w16cid:durableId="1488008872">
    <w:abstractNumId w:val="8"/>
  </w:num>
  <w:num w:numId="13" w16cid:durableId="169224527">
    <w:abstractNumId w:val="3"/>
  </w:num>
  <w:num w:numId="14" w16cid:durableId="1214732766">
    <w:abstractNumId w:val="3"/>
  </w:num>
  <w:num w:numId="15" w16cid:durableId="1948389581">
    <w:abstractNumId w:val="2"/>
  </w:num>
  <w:num w:numId="16" w16cid:durableId="1326471132">
    <w:abstractNumId w:val="2"/>
  </w:num>
  <w:num w:numId="17" w16cid:durableId="2077589071">
    <w:abstractNumId w:val="1"/>
  </w:num>
  <w:num w:numId="18" w16cid:durableId="143813788">
    <w:abstractNumId w:val="1"/>
  </w:num>
  <w:num w:numId="19" w16cid:durableId="54276473">
    <w:abstractNumId w:val="0"/>
  </w:num>
  <w:num w:numId="20" w16cid:durableId="2125418360">
    <w:abstractNumId w:val="0"/>
  </w:num>
  <w:num w:numId="21" w16cid:durableId="455833275">
    <w:abstractNumId w:val="9"/>
  </w:num>
  <w:num w:numId="22" w16cid:durableId="775753023">
    <w:abstractNumId w:val="7"/>
  </w:num>
  <w:num w:numId="23" w16cid:durableId="1955090344">
    <w:abstractNumId w:val="6"/>
  </w:num>
  <w:num w:numId="24" w16cid:durableId="1782338341">
    <w:abstractNumId w:val="5"/>
  </w:num>
  <w:num w:numId="25" w16cid:durableId="1506508420">
    <w:abstractNumId w:val="4"/>
  </w:num>
  <w:num w:numId="26" w16cid:durableId="1402558663">
    <w:abstractNumId w:val="8"/>
  </w:num>
  <w:num w:numId="27" w16cid:durableId="575743597">
    <w:abstractNumId w:val="3"/>
  </w:num>
  <w:num w:numId="28" w16cid:durableId="1749495490">
    <w:abstractNumId w:val="2"/>
  </w:num>
  <w:num w:numId="29" w16cid:durableId="721294820">
    <w:abstractNumId w:val="1"/>
  </w:num>
  <w:num w:numId="30" w16cid:durableId="707921439">
    <w:abstractNumId w:val="0"/>
  </w:num>
  <w:num w:numId="31" w16cid:durableId="888497982">
    <w:abstractNumId w:val="9"/>
  </w:num>
  <w:num w:numId="32" w16cid:durableId="2046103712">
    <w:abstractNumId w:val="7"/>
  </w:num>
  <w:num w:numId="33" w16cid:durableId="1190988954">
    <w:abstractNumId w:val="6"/>
  </w:num>
  <w:num w:numId="34" w16cid:durableId="2061853501">
    <w:abstractNumId w:val="5"/>
  </w:num>
  <w:num w:numId="35" w16cid:durableId="935597071">
    <w:abstractNumId w:val="4"/>
  </w:num>
  <w:num w:numId="36" w16cid:durableId="1267814347">
    <w:abstractNumId w:val="8"/>
  </w:num>
  <w:num w:numId="37" w16cid:durableId="1640106835">
    <w:abstractNumId w:val="3"/>
  </w:num>
  <w:num w:numId="38" w16cid:durableId="494340022">
    <w:abstractNumId w:val="2"/>
  </w:num>
  <w:num w:numId="39" w16cid:durableId="307519808">
    <w:abstractNumId w:val="1"/>
  </w:num>
  <w:num w:numId="40" w16cid:durableId="1783987210">
    <w:abstractNumId w:val="0"/>
  </w:num>
  <w:num w:numId="41" w16cid:durableId="2032761569">
    <w:abstractNumId w:val="10"/>
  </w:num>
  <w:num w:numId="42" w16cid:durableId="1717007585">
    <w:abstractNumId w:val="10"/>
  </w:num>
  <w:num w:numId="43" w16cid:durableId="886182581">
    <w:abstractNumId w:val="10"/>
  </w:num>
  <w:num w:numId="44" w16cid:durableId="8435872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8/2025"/>
    <w:docVar w:name="dvlangue" w:val="MT"/>
    <w:docVar w:name="dvnumam" w:val="0"/>
    <w:docVar w:name="dvpe" w:val="778.327"/>
    <w:docVar w:name="dvrapporteur" w:val="Rapporteur: "/>
    <w:docVar w:name="dvstar" w:val=" "/>
    <w:docVar w:name="dvtitre" w:val="Riżoluzzjoni tal-Parlament Ewropew xx xx xxxx 2026 dwar l-għażla tal-indikaturi tal-prestazzjoni għall-awditu u l-kontroll baġitarju fil-kuntest ta’ miżuri ta’ finanzjament maħsuba biex jappoġġjaw l-implimentazzjoni tal-kompetittività futura tal-Ewropa(2025/2034(INI))"/>
  </w:docVars>
  <w:rsids>
    <w:rsidRoot w:val="00DA4423"/>
    <w:rsid w:val="00002272"/>
    <w:rsid w:val="00064002"/>
    <w:rsid w:val="00064B99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034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303D"/>
    <w:rsid w:val="0064372F"/>
    <w:rsid w:val="006631B6"/>
    <w:rsid w:val="00680577"/>
    <w:rsid w:val="006D137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89B"/>
    <w:rsid w:val="007E22AD"/>
    <w:rsid w:val="00817416"/>
    <w:rsid w:val="00824B67"/>
    <w:rsid w:val="00842779"/>
    <w:rsid w:val="00865F67"/>
    <w:rsid w:val="008816C0"/>
    <w:rsid w:val="00881A7B"/>
    <w:rsid w:val="008840E5"/>
    <w:rsid w:val="00887B3E"/>
    <w:rsid w:val="008C2AC6"/>
    <w:rsid w:val="00930C23"/>
    <w:rsid w:val="0093193B"/>
    <w:rsid w:val="00931B1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D1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4423"/>
    <w:rsid w:val="00DA7FCD"/>
    <w:rsid w:val="00E26FC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86B"/>
    <w:rsid w:val="00FB4360"/>
    <w:rsid w:val="00FC043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AEBC62"/>
  <w15:chartTrackingRefBased/>
  <w15:docId w15:val="{E534BBBD-DB54-4789-B65B-AA9CD47F4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D189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7D189B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7D189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7D189B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7D189B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D189B"/>
    <w:rPr>
      <w:sz w:val="24"/>
      <w:szCs w:val="24"/>
      <w:lang w:val="mt-MT" w:eastAsia="en-US"/>
    </w:rPr>
  </w:style>
  <w:style w:type="paragraph" w:customStyle="1" w:styleId="StyleBoldItalicAfter12pt">
    <w:name w:val="Style Bold Italic After:  12 pt"/>
    <w:basedOn w:val="Normal"/>
    <w:rsid w:val="007D189B"/>
    <w:pPr>
      <w:spacing w:after="240"/>
    </w:pPr>
    <w:rPr>
      <w:b/>
      <w:bCs/>
      <w:i/>
      <w:iCs/>
      <w:lang w:eastAsia="en-US"/>
    </w:rPr>
  </w:style>
  <w:style w:type="paragraph" w:styleId="Revision">
    <w:name w:val="Revision"/>
    <w:hidden/>
    <w:uiPriority w:val="99"/>
    <w:semiHidden/>
    <w:rsid w:val="00931B1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4/765/oj" TargetMode="External"/><Relationship Id="rId2" Type="http://schemas.openxmlformats.org/officeDocument/2006/relationships/hyperlink" Target="http://data.europa.eu/eli/reg/2022/2496/oj" TargetMode="External"/><Relationship Id="rId1" Type="http://schemas.openxmlformats.org/officeDocument/2006/relationships/hyperlink" Target="http://data.europa.eu/eli/reg/2020/2093/oj" TargetMode="External"/><Relationship Id="rId5" Type="http://schemas.openxmlformats.org/officeDocument/2006/relationships/hyperlink" Target="https://eur-lex.europa.eu/eli/reg/2024/2509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4275</Words>
  <Characters>32804</Characters>
  <Application>Microsoft Office Word</Application>
  <DocSecurity>0</DocSecurity>
  <Lines>273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2026-02-27T08:58:00Z</dcterms:created>
  <dcterms:modified xsi:type="dcterms:W3CDTF">2026-02-27T08:58:00Z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A10-0268/2025</vt:lpwstr>
  </property>
  <property fmtid="{D5CDD505-2E9C-101B-9397-08002B2CF9AE}" pid="4" name="&lt;Type&gt;">
    <vt:lpwstr>RR</vt:lpwstr>
  </property>
</Properties>
</file>