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3416" w14:paraId="5ED645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087E82" w14:textId="77777777" w:rsidR="00751A4A" w:rsidRPr="004F3416" w:rsidRDefault="00EA0283" w:rsidP="0010095E">
            <w:pPr>
              <w:pStyle w:val="EPName"/>
            </w:pPr>
            <w:r w:rsidRPr="004F3416">
              <w:t>Parlament Europejski</w:t>
            </w:r>
          </w:p>
          <w:p w14:paraId="53EA003E" w14:textId="77777777" w:rsidR="00751A4A" w:rsidRPr="004F34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3416">
              <w:t>2024</w:t>
            </w:r>
            <w:r w:rsidR="00817416" w:rsidRPr="004F3416">
              <w:t>-202</w:t>
            </w:r>
            <w:r w:rsidRPr="004F3416">
              <w:t>9</w:t>
            </w:r>
          </w:p>
        </w:tc>
        <w:tc>
          <w:tcPr>
            <w:tcW w:w="2268" w:type="dxa"/>
            <w:shd w:val="clear" w:color="auto" w:fill="auto"/>
          </w:tcPr>
          <w:p w14:paraId="53181B25" w14:textId="77777777" w:rsidR="00751A4A" w:rsidRPr="004F3416" w:rsidRDefault="00187494" w:rsidP="0010095E">
            <w:pPr>
              <w:pStyle w:val="EPLogo"/>
            </w:pPr>
            <w:r w:rsidRPr="004F3416">
              <w:rPr>
                <w:noProof/>
                <w:lang w:eastAsia="ja-JP"/>
              </w:rPr>
              <w:drawing>
                <wp:inline distT="0" distB="0" distL="0" distR="0" wp14:anchorId="5786D2C5" wp14:editId="6A50A4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FE257" w14:textId="77777777" w:rsidR="00D058B8" w:rsidRPr="004F3416" w:rsidRDefault="00D058B8" w:rsidP="004C5D52">
      <w:pPr>
        <w:pStyle w:val="LineTop"/>
      </w:pPr>
    </w:p>
    <w:p w14:paraId="110B107B" w14:textId="77777777" w:rsidR="00680577" w:rsidRPr="004F3416" w:rsidRDefault="00EA0283" w:rsidP="00680577">
      <w:pPr>
        <w:pStyle w:val="EPBodyTA1"/>
      </w:pPr>
      <w:r w:rsidRPr="004F3416">
        <w:t>TEKSTY PRZYJĘTE</w:t>
      </w:r>
    </w:p>
    <w:p w14:paraId="7083EF3C" w14:textId="77777777" w:rsidR="00D058B8" w:rsidRPr="004F3416" w:rsidRDefault="00D058B8" w:rsidP="00D058B8">
      <w:pPr>
        <w:pStyle w:val="LineBottom"/>
      </w:pPr>
    </w:p>
    <w:p w14:paraId="107DC59D" w14:textId="0EA51F6C" w:rsidR="00EA0283" w:rsidRPr="004F3416" w:rsidRDefault="00EA0283" w:rsidP="00EA0283">
      <w:pPr>
        <w:pStyle w:val="ATHeading1"/>
      </w:pPr>
      <w:r w:rsidRPr="004F3416">
        <w:t>P10_</w:t>
      </w:r>
      <w:proofErr w:type="gramStart"/>
      <w:r w:rsidRPr="004F3416">
        <w:t>TA(</w:t>
      </w:r>
      <w:proofErr w:type="gramEnd"/>
      <w:r w:rsidRPr="004F3416">
        <w:t>2026)00</w:t>
      </w:r>
      <w:r w:rsidR="008C0B1D">
        <w:t>21</w:t>
      </w:r>
    </w:p>
    <w:p w14:paraId="4412D268" w14:textId="77777777" w:rsidR="00EA0283" w:rsidRPr="004F3416" w:rsidRDefault="00EA0283" w:rsidP="00EA0283">
      <w:pPr>
        <w:pStyle w:val="ATHeading2"/>
      </w:pPr>
      <w:bookmarkStart w:id="0" w:name="title"/>
      <w:r w:rsidRPr="004F3416">
        <w:t>Wybór wskaźników wykonania audytu i kontroli budżetowej w kontekście środków finansowych wspierających wdrażanie przyszłej europejskiej konkurencyjności</w:t>
      </w:r>
      <w:bookmarkEnd w:id="0"/>
    </w:p>
    <w:p w14:paraId="211EA65E" w14:textId="77777777" w:rsidR="00EA0283" w:rsidRPr="004F3416" w:rsidRDefault="00EA0283" w:rsidP="00EA0283">
      <w:pPr>
        <w:rPr>
          <w:i/>
          <w:vanish/>
        </w:rPr>
      </w:pPr>
      <w:r w:rsidRPr="004F3416">
        <w:rPr>
          <w:i/>
        </w:rPr>
        <w:fldChar w:fldCharType="begin"/>
      </w:r>
      <w:r w:rsidRPr="004F3416">
        <w:rPr>
          <w:i/>
        </w:rPr>
        <w:instrText xml:space="preserve"> TC"(</w:instrText>
      </w:r>
      <w:bookmarkStart w:id="1" w:name="DocNumber"/>
      <w:r w:rsidRPr="004F3416">
        <w:rPr>
          <w:i/>
        </w:rPr>
        <w:instrText>A10-0268/2025</w:instrText>
      </w:r>
      <w:bookmarkEnd w:id="1"/>
      <w:r w:rsidRPr="004F3416">
        <w:rPr>
          <w:i/>
        </w:rPr>
        <w:instrText xml:space="preserve"> - Sprawozdawca: Olivier </w:instrText>
      </w:r>
      <w:proofErr w:type="spellStart"/>
      <w:r w:rsidRPr="004F3416">
        <w:rPr>
          <w:i/>
        </w:rPr>
        <w:instrText>Chastel</w:instrText>
      </w:r>
      <w:proofErr w:type="spellEnd"/>
      <w:r w:rsidRPr="004F3416">
        <w:rPr>
          <w:i/>
        </w:rPr>
        <w:instrText xml:space="preserve">)"\l3 \n&gt; \* MERGEFORMAT </w:instrText>
      </w:r>
      <w:r w:rsidRPr="004F3416">
        <w:rPr>
          <w:i/>
        </w:rPr>
        <w:fldChar w:fldCharType="end"/>
      </w:r>
    </w:p>
    <w:p w14:paraId="2FE11BAC" w14:textId="77777777" w:rsidR="00EA0283" w:rsidRPr="004F3416" w:rsidRDefault="00EA0283" w:rsidP="00EA0283">
      <w:pPr>
        <w:rPr>
          <w:vanish/>
        </w:rPr>
      </w:pPr>
      <w:bookmarkStart w:id="2" w:name="Commission"/>
      <w:r w:rsidRPr="004F3416">
        <w:rPr>
          <w:vanish/>
        </w:rPr>
        <w:t>Komisja Kontroli Budżetowej</w:t>
      </w:r>
      <w:bookmarkEnd w:id="2"/>
    </w:p>
    <w:p w14:paraId="69EF5FD0" w14:textId="77777777" w:rsidR="00EA0283" w:rsidRPr="004F3416" w:rsidRDefault="00EA0283" w:rsidP="00EA0283">
      <w:pPr>
        <w:rPr>
          <w:vanish/>
        </w:rPr>
      </w:pPr>
      <w:bookmarkStart w:id="3" w:name="PE"/>
      <w:r w:rsidRPr="004F3416">
        <w:rPr>
          <w:vanish/>
        </w:rPr>
        <w:t>PE778.327</w:t>
      </w:r>
      <w:bookmarkEnd w:id="3"/>
    </w:p>
    <w:p w14:paraId="1F3B8F99" w14:textId="0986A23C" w:rsidR="00EA0283" w:rsidRPr="004F3416" w:rsidRDefault="00EA0283" w:rsidP="00EA0283">
      <w:pPr>
        <w:pStyle w:val="ATHeading3"/>
      </w:pPr>
      <w:bookmarkStart w:id="4" w:name="Sujet"/>
      <w:r w:rsidRPr="004F3416">
        <w:t xml:space="preserve">Rezolucja Parlamentu Europejskiego z dnia </w:t>
      </w:r>
      <w:r w:rsidR="00237D04">
        <w:t>22 stycznia</w:t>
      </w:r>
      <w:r w:rsidRPr="004F3416">
        <w:t xml:space="preserve"> 2026 r. w sprawie wyboru wskaźników wykonania audytu i kontroli budżetowej w kontekście środków finansowych wspierających wdrażanie przyszłej europejskiej konkurencyjności</w:t>
      </w:r>
      <w:bookmarkEnd w:id="4"/>
      <w:r w:rsidRPr="004F3416">
        <w:t xml:space="preserve"> </w:t>
      </w:r>
      <w:bookmarkStart w:id="5" w:name="References"/>
      <w:r w:rsidRPr="004F3416">
        <w:t>(2025/2034(INI))</w:t>
      </w:r>
      <w:bookmarkEnd w:id="5"/>
    </w:p>
    <w:p w14:paraId="450C5B34" w14:textId="77777777" w:rsidR="007A01B3" w:rsidRPr="004F3416" w:rsidRDefault="007A01B3" w:rsidP="000C648E">
      <w:pPr>
        <w:pStyle w:val="Normal12"/>
        <w:spacing w:before="480"/>
      </w:pPr>
      <w:r w:rsidRPr="004F3416">
        <w:rPr>
          <w:i/>
        </w:rPr>
        <w:t>Parlament Europejski</w:t>
      </w:r>
      <w:r w:rsidRPr="004F3416">
        <w:t>,</w:t>
      </w:r>
    </w:p>
    <w:p w14:paraId="0613B1EF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Traktat o Unii Europejskiej,</w:t>
      </w:r>
    </w:p>
    <w:p w14:paraId="3C9DE1B6" w14:textId="77777777" w:rsidR="007A01B3" w:rsidRPr="004F3416" w:rsidRDefault="007A01B3" w:rsidP="007A01B3">
      <w:pPr>
        <w:pStyle w:val="NormalHanging12a"/>
      </w:pPr>
      <w:r w:rsidRPr="004F3416">
        <w:t>–</w:t>
      </w:r>
      <w:r w:rsidRPr="004F3416">
        <w:tab/>
        <w:t>uwzględniając Traktat o funkcjonowaniu Unii Europejskiej (TFUE), w szczególności jego art. 318 i art. 322 ust. 1 lit. a),</w:t>
      </w:r>
    </w:p>
    <w:p w14:paraId="0FE8CC53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rozporządzenie Rady (UE, </w:t>
      </w:r>
      <w:proofErr w:type="spellStart"/>
      <w:r w:rsidRPr="004F3416">
        <w:t>Euratom</w:t>
      </w:r>
      <w:proofErr w:type="spellEnd"/>
      <w:r w:rsidRPr="004F3416">
        <w:t>) 2020/2093 z dnia 17 grudnia 2020 r. określające wieloletnie ramy finansowe na lata 2021–2027</w:t>
      </w:r>
      <w:r w:rsidRPr="004F3416">
        <w:rPr>
          <w:rStyle w:val="FootnoteReference"/>
        </w:rPr>
        <w:footnoteReference w:id="1"/>
      </w:r>
      <w:r w:rsidRPr="004F3416">
        <w:t>,</w:t>
      </w:r>
    </w:p>
    <w:p w14:paraId="70F35162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rozporządzenie Rady (UE, </w:t>
      </w:r>
      <w:proofErr w:type="spellStart"/>
      <w:r w:rsidRPr="004F3416">
        <w:t>Euratom</w:t>
      </w:r>
      <w:proofErr w:type="spellEnd"/>
      <w:r w:rsidRPr="004F3416">
        <w:t xml:space="preserve">) 2022/2496 z dnia 15 grudnia 2022 r. w sprawie zmiany rozporządzenia (UE, </w:t>
      </w:r>
      <w:proofErr w:type="spellStart"/>
      <w:r w:rsidRPr="004F3416">
        <w:t>Euratom</w:t>
      </w:r>
      <w:proofErr w:type="spellEnd"/>
      <w:r w:rsidRPr="004F3416">
        <w:t>) 2020/2093 określającego wieloletnie ramy finansowe na lata 2021–2027</w:t>
      </w:r>
      <w:r w:rsidRPr="004F3416">
        <w:rPr>
          <w:rStyle w:val="FootnoteReference"/>
        </w:rPr>
        <w:footnoteReference w:id="2"/>
      </w:r>
      <w:r w:rsidRPr="004F3416">
        <w:t>,</w:t>
      </w:r>
    </w:p>
    <w:p w14:paraId="41861683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rozporządzenie Rady (UE, </w:t>
      </w:r>
      <w:proofErr w:type="spellStart"/>
      <w:r w:rsidRPr="004F3416">
        <w:t>Euratom</w:t>
      </w:r>
      <w:proofErr w:type="spellEnd"/>
      <w:r w:rsidRPr="004F3416">
        <w:t xml:space="preserve">) 2024/765 z dnia 29 lutego 2024 r. w sprawie zmiany rozporządzenia (UE, </w:t>
      </w:r>
      <w:proofErr w:type="spellStart"/>
      <w:r w:rsidRPr="004F3416">
        <w:t>Euratom</w:t>
      </w:r>
      <w:proofErr w:type="spellEnd"/>
      <w:r w:rsidRPr="004F3416">
        <w:t>) 2020/2093 określającego wieloletnie ramy finansowe na lata 2021–2027</w:t>
      </w:r>
      <w:r w:rsidRPr="004F3416">
        <w:rPr>
          <w:rStyle w:val="FootnoteReference"/>
        </w:rPr>
        <w:footnoteReference w:id="3"/>
      </w:r>
      <w:r w:rsidRPr="004F3416">
        <w:t>,</w:t>
      </w:r>
    </w:p>
    <w:p w14:paraId="501A6772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Porozumienie międzyinstytucjonalne z dnia 16 grudnia 2020 r. między Parlamentem Europejskim, Radą Unii Europejskiej i Komisją Europejską w sprawie dyscypliny budżetowej, współpracy w kwestiach budżetowych i należytego zarządzania </w:t>
      </w:r>
      <w:r w:rsidRPr="004F3416">
        <w:lastRenderedPageBreak/>
        <w:t>finansami oraz w sprawie nowych zasobów własnych, w tym również harmonogramu wprowadzania nowych zasobów własnych</w:t>
      </w:r>
      <w:r w:rsidRPr="004F3416">
        <w:rPr>
          <w:rStyle w:val="FootnoteReference"/>
        </w:rPr>
        <w:footnoteReference w:id="4"/>
      </w:r>
      <w:r w:rsidRPr="004F3416">
        <w:t>,</w:t>
      </w:r>
    </w:p>
    <w:p w14:paraId="1FFF61AC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komunikat Komisji z 8 czerwca 2021 r. w sprawie ram wykonania na potrzeby budżetu UE w obrębie WRF na lata 2021–2027 (</w:t>
      </w:r>
      <w:proofErr w:type="gramStart"/>
      <w:r w:rsidRPr="004F3416">
        <w:t>COM(</w:t>
      </w:r>
      <w:proofErr w:type="gramEnd"/>
      <w:r w:rsidRPr="004F3416">
        <w:t>2021)0366) oraz towarzyszący mu dokument roboczy służb Komisji (SWD(2021)0133),</w:t>
      </w:r>
    </w:p>
    <w:p w14:paraId="2352D47C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wniosek Komisji z 16 lipca 2025 r. dotyczący rozporządzenia Rady określającego wieloletnie ramy finansowe na lata 2028–2034 (</w:t>
      </w:r>
      <w:proofErr w:type="gramStart"/>
      <w:r w:rsidRPr="004F3416">
        <w:t>COM(</w:t>
      </w:r>
      <w:proofErr w:type="gramEnd"/>
      <w:r w:rsidRPr="004F3416">
        <w:t>2025)0571),</w:t>
      </w:r>
    </w:p>
    <w:p w14:paraId="3BAE5A16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wniosek Komisji z 16 lipca 2025 r. dotyczący rozporządzenia Parlamentu Europejskiego i Rady ustanawiającego ramy monitorowania wydatków budżetowych i ramy wykonania budżetu oraz inne przepisy horyzontalne dla programów i działań Unii (</w:t>
      </w:r>
      <w:proofErr w:type="gramStart"/>
      <w:r w:rsidRPr="004F3416">
        <w:t>COM(</w:t>
      </w:r>
      <w:proofErr w:type="gramEnd"/>
      <w:r w:rsidRPr="004F3416">
        <w:t>2025)0545) oraz towarzyszące mu sprawozdanie z oceny skutków (SWD(2025)0590),</w:t>
      </w:r>
    </w:p>
    <w:p w14:paraId="2AC2CAF2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wniosek Komisji z 16 lipca 2025 r. dotyczący rozporządzenia Parlamentu Europejskiego i Rady w sprawie ustanowienia Europejskiego Funduszu Konkurencyjności („EFK”), w tym programu szczegółowego działań na rzecz badań naukowych i innowacji w dziedzinie obronności, uchylenia rozporządzeń (UE) 2021/522, (UE) 2021/694, (UE) 2021/697, (UE) 2021/783, uchylenia przepisów rozporządzeń (UE) 2021/696 i (UE) 2023/588 oraz zmiany rozporządzenia (UE) [EDIP] (</w:t>
      </w:r>
      <w:proofErr w:type="gramStart"/>
      <w:r w:rsidRPr="004F3416">
        <w:t>COM(</w:t>
      </w:r>
      <w:proofErr w:type="gramEnd"/>
      <w:r w:rsidRPr="004F3416">
        <w:t>2025)0555),</w:t>
      </w:r>
    </w:p>
    <w:p w14:paraId="0DF06E4C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rozporządzenie Parlamentu Europejskiego i Rady (UE, </w:t>
      </w:r>
      <w:proofErr w:type="spellStart"/>
      <w:r w:rsidRPr="004F3416">
        <w:t>Euratom</w:t>
      </w:r>
      <w:proofErr w:type="spellEnd"/>
      <w:r w:rsidRPr="004F3416">
        <w:t>) 2024/2509 z dnia 23 września 2024 r. w sprawie zasad finansowych mających zastosowanie do budżetu ogólnego Unii</w:t>
      </w:r>
      <w:r w:rsidRPr="004F3416">
        <w:rPr>
          <w:rStyle w:val="FootnoteReference"/>
        </w:rPr>
        <w:footnoteReference w:id="5"/>
      </w:r>
      <w:r w:rsidRPr="004F3416">
        <w:t xml:space="preserve"> (rozporządzenie finansowe), w szczególności jego art. 33,</w:t>
      </w:r>
    </w:p>
    <w:p w14:paraId="5BC41EEB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publikację z 18 lipca 2024 r. przewodniczącej Komisji Ursuli von der </w:t>
      </w:r>
      <w:proofErr w:type="spellStart"/>
      <w:r w:rsidRPr="004F3416">
        <w:t>Leyen</w:t>
      </w:r>
      <w:proofErr w:type="spellEnd"/>
      <w:r w:rsidRPr="004F3416">
        <w:t xml:space="preserve"> pt. „Wybór Europy – Wytyczne polityczne na następną kadencję Komisji Europejskiej 2024−2029”,</w:t>
      </w:r>
    </w:p>
    <w:p w14:paraId="0DE2F7E3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raport Maria </w:t>
      </w:r>
      <w:proofErr w:type="spellStart"/>
      <w:r w:rsidRPr="004F3416">
        <w:t>Draghiego</w:t>
      </w:r>
      <w:proofErr w:type="spellEnd"/>
      <w:r w:rsidRPr="004F3416">
        <w:t xml:space="preserve"> z 9 września 2024 r. na temat przyszłości europejskiej konkurencyjności (raport </w:t>
      </w:r>
      <w:proofErr w:type="spellStart"/>
      <w:r w:rsidRPr="004F3416">
        <w:t>Draghiego</w:t>
      </w:r>
      <w:proofErr w:type="spellEnd"/>
      <w:r w:rsidRPr="004F3416">
        <w:t>),</w:t>
      </w:r>
    </w:p>
    <w:p w14:paraId="574C8320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 xml:space="preserve">uwzględniając raport Enrica </w:t>
      </w:r>
      <w:proofErr w:type="spellStart"/>
      <w:r w:rsidRPr="004F3416">
        <w:t>Letty</w:t>
      </w:r>
      <w:proofErr w:type="spellEnd"/>
      <w:r w:rsidRPr="004F3416">
        <w:t xml:space="preserve"> z 17 kwietnia 2024 r. pt. „Much </w:t>
      </w:r>
      <w:proofErr w:type="spellStart"/>
      <w:r w:rsidRPr="004F3416">
        <w:t>more</w:t>
      </w:r>
      <w:proofErr w:type="spellEnd"/>
      <w:r w:rsidRPr="004F3416">
        <w:t xml:space="preserve"> </w:t>
      </w:r>
      <w:proofErr w:type="spellStart"/>
      <w:r w:rsidRPr="004F3416">
        <w:t>than</w:t>
      </w:r>
      <w:proofErr w:type="spellEnd"/>
      <w:r w:rsidRPr="004F3416">
        <w:t xml:space="preserve"> a market” [Znacznie więcej niż rynek] (raport </w:t>
      </w:r>
      <w:proofErr w:type="spellStart"/>
      <w:r w:rsidRPr="004F3416">
        <w:t>Letty</w:t>
      </w:r>
      <w:proofErr w:type="spellEnd"/>
      <w:r w:rsidRPr="004F3416">
        <w:t>),</w:t>
      </w:r>
    </w:p>
    <w:p w14:paraId="2D4F3D4A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komunikat Komisji z 29 stycznia 2025 r. pt. „Kompas konkurencyjności dla UE” (</w:t>
      </w:r>
      <w:proofErr w:type="gramStart"/>
      <w:r w:rsidRPr="004F3416">
        <w:t>COM(</w:t>
      </w:r>
      <w:proofErr w:type="gramEnd"/>
      <w:r w:rsidRPr="004F3416">
        <w:t>2025)0030),</w:t>
      </w:r>
    </w:p>
    <w:p w14:paraId="53EF117B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komunikat Komisji z 11 lutego 2025 r. pt. „Droga ku następnym wieloletnim ramom finansowym” (</w:t>
      </w:r>
      <w:proofErr w:type="gramStart"/>
      <w:r w:rsidRPr="004F3416">
        <w:t>COM(</w:t>
      </w:r>
      <w:proofErr w:type="gramEnd"/>
      <w:r w:rsidRPr="004F3416">
        <w:t>2025)0046),</w:t>
      </w:r>
    </w:p>
    <w:p w14:paraId="157E6E1C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swoją rezolucję z dnia 7 maja 2025 r. w sprawie zmienionego budżetu długoterminowego dla Unii w zmieniającym się świecie</w:t>
      </w:r>
      <w:r w:rsidRPr="004F3416">
        <w:rPr>
          <w:rStyle w:val="FootnoteReference"/>
        </w:rPr>
        <w:footnoteReference w:id="6"/>
      </w:r>
      <w:r w:rsidRPr="004F3416">
        <w:t>,</w:t>
      </w:r>
    </w:p>
    <w:p w14:paraId="2E52D428" w14:textId="77777777" w:rsidR="007A01B3" w:rsidRPr="004F3416" w:rsidRDefault="007A01B3" w:rsidP="007A01B3">
      <w:pPr>
        <w:pStyle w:val="NormalHanging"/>
      </w:pPr>
      <w:r w:rsidRPr="004F3416">
        <w:lastRenderedPageBreak/>
        <w:t>–</w:t>
      </w:r>
      <w:r w:rsidRPr="004F3416">
        <w:tab/>
        <w:t>uwzględniając publikacje Europejskiego Trybunału Obrachunkowego (ETO),</w:t>
      </w:r>
    </w:p>
    <w:p w14:paraId="3AA1CDE9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badanie zlecone przez Komisję Budżetową pt. „Ramy wykonania budżetu UE – koncepcje i praktyki” opublikowane w marcu 2024 r.</w:t>
      </w:r>
      <w:r w:rsidRPr="004F3416">
        <w:rPr>
          <w:rStyle w:val="FootnoteReference"/>
        </w:rPr>
        <w:footnoteReference w:id="7"/>
      </w:r>
      <w:r w:rsidRPr="004F3416">
        <w:t>,</w:t>
      </w:r>
    </w:p>
    <w:p w14:paraId="6C653324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art. 55 Regulaminu,</w:t>
      </w:r>
    </w:p>
    <w:p w14:paraId="0167E192" w14:textId="77777777" w:rsidR="007A01B3" w:rsidRPr="004F3416" w:rsidRDefault="007A01B3" w:rsidP="007A01B3">
      <w:pPr>
        <w:pStyle w:val="NormalHanging"/>
      </w:pPr>
      <w:r w:rsidRPr="004F3416">
        <w:t>–</w:t>
      </w:r>
      <w:r w:rsidRPr="004F3416">
        <w:tab/>
        <w:t>uwzględniając sprawozdanie Komisji Kontroli Budżetowej (A10-0268/2025),</w:t>
      </w:r>
    </w:p>
    <w:p w14:paraId="09454A53" w14:textId="77777777" w:rsidR="007A01B3" w:rsidRPr="004F3416" w:rsidRDefault="007A01B3" w:rsidP="007A01B3">
      <w:pPr>
        <w:pStyle w:val="NormalHanging"/>
      </w:pPr>
      <w:r w:rsidRPr="004F3416">
        <w:t>A.</w:t>
      </w:r>
      <w:r w:rsidRPr="004F3416">
        <w:tab/>
        <w:t>mając na uwadze, że zgodnie z definicją zawartą w rozporządzeniu finansowym „należyte zarządzanie finansami” oznacza, że fundusze UE należy wykonywać zgodnie z zasadami oszczędności, efektywności i skuteczności; mając na uwadze, że pojęcie „wykonania” w odniesieniu do budżetu należy powiązać z bezpośrednim stosowaniem zasady należytego zarządzania finansami;</w:t>
      </w:r>
    </w:p>
    <w:p w14:paraId="4241130B" w14:textId="77777777" w:rsidR="007A01B3" w:rsidRPr="004F3416" w:rsidRDefault="007A01B3" w:rsidP="007A01B3">
      <w:pPr>
        <w:pStyle w:val="NormalHanging12a"/>
        <w:rPr>
          <w:bCs/>
          <w:iCs/>
        </w:rPr>
      </w:pPr>
      <w:r w:rsidRPr="004F3416">
        <w:t>B.</w:t>
      </w:r>
      <w:r w:rsidRPr="004F3416">
        <w:tab/>
        <w:t>mając na uwadze, że art. 318 TFUE nakłada na Komisję obowiązek przedkładania Parlamentowi i Radzie co roku sprawozdania finansowego za poprzedni rok budżetowy dotyczącego wykonania budżetu wraz ze sprawozdaniem z oceny finansów Unii opartym na osiągniętych wynikach; mając na uwadze ponadto, że zgodnie z art. 322 TFUE należy przyjąć przepisy finansowe określające procedurę wykonania budżetu oraz procedurę przedstawiania i kontroli rozliczeń; mając na uwadze, że stosowanie odpowiednich, wiarygodnych i przejrzystych wskaźników do pomiaru osiągnięcia wyników oraz do celów kontroli może usprawnić ocenę wykonania budżetu i coroczne porównania przeprowadzane przez Parlament Europejski i Radę;</w:t>
      </w:r>
    </w:p>
    <w:p w14:paraId="55845783" w14:textId="77777777" w:rsidR="007A01B3" w:rsidRPr="004F3416" w:rsidRDefault="007A01B3" w:rsidP="007A01B3">
      <w:pPr>
        <w:pStyle w:val="NormalHanging12a"/>
      </w:pPr>
      <w:r w:rsidRPr="004F3416">
        <w:t>C.</w:t>
      </w:r>
      <w:r w:rsidRPr="004F3416">
        <w:tab/>
        <w:t>mając na uwadze, że zgodnie z rozporządzeniem finansowym należy ustanowić związek między ustalonymi celami a wskaźnikami wykonania, wynikami i zasadami oszczędności, efektywności i skuteczności; mając na uwadze, że przekształcone rozporządzenie finansowe z 2024 r. umocniło podstawę prawną ram dotyczących wyników i potwierdziło, że postępy w realizacji celów powinny być monitorowane za pomocą wskaźników wyników spełniających kryteria RACER (odpowiednich, akceptowanych, wiarygodnych, prostych, solidnych), popartych powszechnie uznanymi dowodami naukowymi wskaźników efektywności, o jasnych definicjach i udostępnianych w otwartym formacie nadającym się do odczytu maszynowego; mając na uwadze, że w stosownych przypadkach wskaźniki te powinny być przedstawione w podziale na płeć i w sposób możliwy do agregacji; mając na uwadze, że w stosownych przypadkach należy określić skuteczną, przejrzystą i kompleksową metodykę;</w:t>
      </w:r>
    </w:p>
    <w:p w14:paraId="511E1BE6" w14:textId="77777777" w:rsidR="007A01B3" w:rsidRPr="004F3416" w:rsidRDefault="007A01B3" w:rsidP="007A01B3">
      <w:pPr>
        <w:pStyle w:val="NormalHanging12a"/>
        <w:rPr>
          <w:bCs/>
          <w:iCs/>
        </w:rPr>
      </w:pPr>
      <w:r w:rsidRPr="004F3416">
        <w:t>D.</w:t>
      </w:r>
      <w:r w:rsidRPr="004F3416">
        <w:tab/>
        <w:t xml:space="preserve">mając na uwadze, że wniosek Komisji dotyczący rozporządzenia ustanawiającego ramy monitorowania wydatków budżetowych i ramy wykonania budżetu ustanawia jednolite ramy budżetowania wynikowego; mając na uwadze, że we wniosku zdefiniowano „wskaźnik produktu” jako ilościowy wskaźnik wykonania, który pozwala monitorować to, co jest bezpośrednio produkowane lub wspierane w wyniku wdrożenia działania, oraz „wskaźnik rezultatu” jako ilościowy wskaźnik wykonania, który pozwala monitorować bezpośrednie skutki wspieranych działań; mając na uwadze, że „wskaźniki oddziaływania” powszechnie stosuje się do śledzenia zmian w długoterminowych celach realizowanych w ramach danej interwencji; mając na uwadze, że „wskaźniki wkładu” powszechnie stosuje się do pomiaru zasobów finansowych, </w:t>
      </w:r>
      <w:r w:rsidRPr="004F3416">
        <w:lastRenderedPageBreak/>
        <w:t>ludzkich, materialnych, administracyjnych lub regulacyjnych wykorzystywanych do realizacji danej interwencji;</w:t>
      </w:r>
    </w:p>
    <w:p w14:paraId="0B212232" w14:textId="77777777" w:rsidR="007A01B3" w:rsidRPr="004F3416" w:rsidRDefault="007A01B3" w:rsidP="007A01B3">
      <w:pPr>
        <w:pStyle w:val="NormalHanging12a"/>
      </w:pPr>
      <w:r w:rsidRPr="004F3416">
        <w:t>E.</w:t>
      </w:r>
      <w:r w:rsidRPr="004F3416">
        <w:tab/>
        <w:t>mając na uwadze, że zapewnienie trwałego dobrobytu i konkurencyjności UE, propagowanie sprawiedliwości społecznej i wzmocnienie spójności regionalnej stanowią część priorytetów politycznych Komisji na lata 2024–2029; mając na uwadze, że aby osiągnąć te cele, należy przyciągnąć i zmobilizować inwestycje prywatne, do czego niezbędne będzie utworzenie unii bankowej oraz rozwój unii oszczędności i inwestycji;</w:t>
      </w:r>
    </w:p>
    <w:p w14:paraId="11299143" w14:textId="77777777" w:rsidR="007A01B3" w:rsidRPr="004F3416" w:rsidRDefault="007A01B3" w:rsidP="007A01B3">
      <w:pPr>
        <w:pStyle w:val="NormalHanging"/>
      </w:pPr>
      <w:r w:rsidRPr="004F3416">
        <w:t>F.</w:t>
      </w:r>
      <w:r w:rsidRPr="004F3416">
        <w:tab/>
        <w:t xml:space="preserve">mając na uwadze, że w raporcie </w:t>
      </w:r>
      <w:proofErr w:type="spellStart"/>
      <w:r w:rsidRPr="004F3416">
        <w:t>Draghiego</w:t>
      </w:r>
      <w:proofErr w:type="spellEnd"/>
      <w:r w:rsidRPr="004F3416">
        <w:t xml:space="preserve"> ostrzegano, iż słabnąca konkurencyjność UE, pogarszana przez coraz bardziej niestabilną sytuację geopolityczną, w połączeniu z serią kryzysów, z jakimi borykała się Unia w ostatnich latach, stanowi zagrożenie dla jej istnienia; mając na uwadze, że w raporcie oszacowano, iż UE musi uruchomić dodatkowe inwestycje publiczne i prywatne odpowiadające 4,4–4,7 % unijnego PKB, czyli około 750–800 mld EUR rocznie w latach 2025–2030, aby zlikwidować lukę inwestycyjną;</w:t>
      </w:r>
    </w:p>
    <w:p w14:paraId="02B67A8E" w14:textId="77777777" w:rsidR="007A01B3" w:rsidRPr="004F3416" w:rsidRDefault="007A01B3" w:rsidP="007A01B3">
      <w:pPr>
        <w:pStyle w:val="NormalHanging"/>
      </w:pPr>
      <w:r w:rsidRPr="004F3416">
        <w:t>G.</w:t>
      </w:r>
      <w:r w:rsidRPr="004F3416">
        <w:tab/>
        <w:t xml:space="preserve">mając na uwadze, że Kompas konkurencyjności, oparty również na raporcie </w:t>
      </w:r>
      <w:proofErr w:type="spellStart"/>
      <w:r w:rsidRPr="004F3416">
        <w:t>Draghiego</w:t>
      </w:r>
      <w:proofErr w:type="spellEnd"/>
      <w:r w:rsidRPr="004F3416">
        <w:t xml:space="preserve">, wyznacza strategiczną ścieżkę UE do przywrócenia jej konkurencyjności na arenie międzynarodowej przez skupienie się na trzech głównych filarach – innowacjach, dekarbonizacji i bezpieczeństwie gospodarczym – uzupełnionych horyzontalnymi czynnikami sprzyjającymi, takimi jak uproszczenie, zwiększona koordynacja na szczeblu UE i państw członkowskich oraz wzmocniony jednolity rynek, zgodnie z raportem </w:t>
      </w:r>
      <w:proofErr w:type="spellStart"/>
      <w:r w:rsidRPr="004F3416">
        <w:t>Letty</w:t>
      </w:r>
      <w:proofErr w:type="spellEnd"/>
      <w:r w:rsidRPr="004F3416">
        <w:t>;</w:t>
      </w:r>
    </w:p>
    <w:p w14:paraId="2D884A71" w14:textId="77777777" w:rsidR="007A01B3" w:rsidRPr="004F3416" w:rsidRDefault="007A01B3" w:rsidP="007A01B3">
      <w:pPr>
        <w:pStyle w:val="NormalHanging12a"/>
      </w:pPr>
      <w:r w:rsidRPr="004F3416">
        <w:t>H.</w:t>
      </w:r>
      <w:r w:rsidRPr="004F3416">
        <w:tab/>
        <w:t>mając na uwadze, że ETO wielokrotnie stwierdzał uchybienia w projektowaniu, wdrażaniu i rozliczalności systemów pomiaru wyników stosowanych w unijnych programach finansowania oraz wzywał do szerszego stosowania wskaźników wykonania, które pozwalają mierzyć i monitorować długoterminowe skutki wydatków UE; mając na uwadze, że zapewnienie wiarygodności informacji dotyczących wykonania budżetu ma zasadnicze znaczenie dla ochrony interesów finansowych UE oraz wzmocnienia zaufania publicznego do budżetu UE;</w:t>
      </w:r>
    </w:p>
    <w:p w14:paraId="609C9503" w14:textId="77777777" w:rsidR="007A01B3" w:rsidRPr="004F3416" w:rsidRDefault="007A01B3" w:rsidP="007A01B3">
      <w:pPr>
        <w:pStyle w:val="NormalHanging12a"/>
        <w:rPr>
          <w:bCs/>
          <w:iCs/>
        </w:rPr>
      </w:pPr>
      <w:r w:rsidRPr="004F3416">
        <w:t>I.</w:t>
      </w:r>
      <w:r w:rsidRPr="004F3416">
        <w:tab/>
        <w:t>mając na uwadze, że niezbędne są zdecydowane działania na rzecz zwiększenia konkurencyjności Europy, aby przyczynić się do wzrostu wydajności, zatrudnienia i dobrobytu; mając na uwadze, że zintegrowany jednolity rynek pozostaje podstawą siły gospodarczej UE i fundamentem jej długoterminowego dobrobytu; mając na uwadze, że innowacje, rozwój umiejętności oraz swobodny przepływ towarów, usług, kapitału i pracowników stanowią kluczowe czynniki konkurencyjności i wzrostu gospodarczego;</w:t>
      </w:r>
    </w:p>
    <w:p w14:paraId="720D7B43" w14:textId="77777777" w:rsidR="007A01B3" w:rsidRPr="004F3416" w:rsidRDefault="007A01B3" w:rsidP="007A01B3">
      <w:pPr>
        <w:pStyle w:val="StyleBoldItalicAfter12pt"/>
      </w:pPr>
      <w:r w:rsidRPr="004F3416">
        <w:t>Uwagi ogólne o ramach wykonania budżetu UE i stosowaniu wskaźników wykonania</w:t>
      </w:r>
    </w:p>
    <w:p w14:paraId="0A3EBE1E" w14:textId="77777777" w:rsidR="007A01B3" w:rsidRPr="004F3416" w:rsidRDefault="007A01B3" w:rsidP="007A01B3">
      <w:pPr>
        <w:pStyle w:val="NormalHanging12a"/>
      </w:pPr>
      <w:r w:rsidRPr="004F3416">
        <w:t>1.</w:t>
      </w:r>
      <w:r w:rsidRPr="004F3416">
        <w:tab/>
        <w:t xml:space="preserve">przypomina, że należy zapewnić, aby budżet UE służył realizacji priorytetów politycznych Unii, w tym zwiększaniu konkurencyjności, wspieraniu trwałego i </w:t>
      </w:r>
      <w:proofErr w:type="spellStart"/>
      <w:r w:rsidRPr="004F3416">
        <w:t>inkluzywnego</w:t>
      </w:r>
      <w:proofErr w:type="spellEnd"/>
      <w:r w:rsidRPr="004F3416">
        <w:t xml:space="preserve"> dobrobytu oraz zapewnieniu suwerenności i niezależności UE jako podmiotu geopolitycznego; podkreśla, że dla osiągnięcia tych celów zmiany regulacyjne są równie ważne jak środki finansowe; podkreśla, że wydatki UE powinny przynosić wymierne rezultaty zgodnie z zasadami należytego zarządzania finansami i powinny być inwestowane w obszarach, w których wspólne działania UE mają większy wpływ i wartość dodaną niż działania polityczne na szczeblu krajowym lub niższym;</w:t>
      </w:r>
    </w:p>
    <w:p w14:paraId="24103348" w14:textId="1B782DCC" w:rsidR="007A01B3" w:rsidRPr="004F3416" w:rsidRDefault="007A01B3" w:rsidP="007A01B3">
      <w:pPr>
        <w:pStyle w:val="NormalHanging12a"/>
      </w:pPr>
      <w:r w:rsidRPr="004F3416">
        <w:lastRenderedPageBreak/>
        <w:t xml:space="preserve">2. </w:t>
      </w:r>
      <w:r w:rsidRPr="004F3416">
        <w:tab/>
      </w:r>
      <w:r w:rsidR="003976D0" w:rsidRPr="00E52228">
        <w:t xml:space="preserve">podkreśla, że </w:t>
      </w:r>
      <w:r w:rsidR="003976D0" w:rsidRPr="008E32C1">
        <w:t>środki służące</w:t>
      </w:r>
      <w:r w:rsidR="003976D0" w:rsidRPr="00E52228">
        <w:t xml:space="preserve"> zwiększeniu konkurencyjności </w:t>
      </w:r>
      <w:r w:rsidR="003976D0" w:rsidRPr="008E32C1">
        <w:t>mogą przyczynić się do większych korzyści społecznych</w:t>
      </w:r>
      <w:r w:rsidR="003976D0" w:rsidRPr="00E52228">
        <w:t xml:space="preserve">, </w:t>
      </w:r>
      <w:r w:rsidR="003976D0" w:rsidRPr="008E32C1">
        <w:t xml:space="preserve">pod </w:t>
      </w:r>
      <w:proofErr w:type="gramStart"/>
      <w:r w:rsidR="003976D0" w:rsidRPr="008E32C1">
        <w:t>warunkiem</w:t>
      </w:r>
      <w:proofErr w:type="gramEnd"/>
      <w:r w:rsidR="003976D0" w:rsidRPr="008E32C1">
        <w:t xml:space="preserve"> że środki te będą nadal ukierunkowane</w:t>
      </w:r>
      <w:r w:rsidR="003976D0" w:rsidRPr="00E52228">
        <w:t xml:space="preserve"> na </w:t>
      </w:r>
      <w:r w:rsidR="003976D0" w:rsidRPr="008E32C1">
        <w:t>wydajność, wzrost gospodarczy i tworzenie miejsc pracy</w:t>
      </w:r>
      <w:r w:rsidR="003976D0" w:rsidRPr="00E52228">
        <w:t xml:space="preserve">; nalega, aby wszelkie nadrzędne ramy wykonania budżetu UE </w:t>
      </w:r>
      <w:r w:rsidR="003976D0" w:rsidRPr="008E32C1">
        <w:t>zapewniały przede wszystkim wyniki gospodarcze i wymierne</w:t>
      </w:r>
      <w:r w:rsidR="003976D0" w:rsidRPr="00E52228">
        <w:t xml:space="preserve"> wyniki </w:t>
      </w:r>
      <w:r w:rsidR="003976D0" w:rsidRPr="008E32C1">
        <w:t>polityki, przy jednoczesnym uwzględnieniu, w stosownych przypadkach</w:t>
      </w:r>
      <w:r w:rsidR="003976D0" w:rsidRPr="00E52228">
        <w:t xml:space="preserve">, </w:t>
      </w:r>
      <w:r w:rsidR="003976D0" w:rsidRPr="008E32C1">
        <w:t>szerszych skutków społecznych, bez podważania zasad wydajności i skuteczności</w:t>
      </w:r>
      <w:r w:rsidRPr="004F3416">
        <w:t>;</w:t>
      </w:r>
    </w:p>
    <w:p w14:paraId="1C8C1558" w14:textId="77777777" w:rsidR="007A01B3" w:rsidRPr="004F3416" w:rsidRDefault="007A01B3" w:rsidP="007A01B3">
      <w:pPr>
        <w:pStyle w:val="NormalHanging12a"/>
      </w:pPr>
      <w:r w:rsidRPr="004F3416">
        <w:t>3.</w:t>
      </w:r>
      <w:r w:rsidRPr="004F3416">
        <w:tab/>
        <w:t>uważa, że budżet UE powinien w większym stopniu koncentrować się na wynikach, a każde wydane euro powinno przynosić wymierną wartość dla obywateli i przedsiębiorstw; potwierdza, że należy ustanowić i stosować skonkretyzowane, mierzalne, osiągalne, realne i terminowe wskaźniki wykonania (SMART), zapewniając efektywne, skuteczne i trwałe wydatkowanie środków UE, aby monitorować i oceniać postępy w realizacji celów polityki UE; uważa, że wszelkie rodzaje wskaźników mają zasadnicze znaczenie dla oceny wykonania programu, dlatego należy dążyć do osiągnięcia równowagi między wskaźnikami wkładu, produktu, wyników i oddziaływania; podkreśla, że wskaźniki wykonania muszą wyraźnie wynikać z celów każdego programu; podkreśla, że przy wyborze odpowiednich wskaźników należy również wziąć pod uwagę związane z tym obciążenia administracyjne, koszty gromadzenia danych oraz ich porównywalność i możliwość agregacji;</w:t>
      </w:r>
    </w:p>
    <w:p w14:paraId="451B8FAF" w14:textId="77777777" w:rsidR="007A01B3" w:rsidRPr="004F3416" w:rsidRDefault="007A01B3" w:rsidP="007A01B3">
      <w:pPr>
        <w:pStyle w:val="NormalHanging12a"/>
      </w:pPr>
      <w:r w:rsidRPr="004F3416">
        <w:t>4.</w:t>
      </w:r>
      <w:r w:rsidRPr="004F3416">
        <w:tab/>
        <w:t>zauważa z zaniepokojeniem, że w swoich kontrolach ETO wielokrotnie stwierdzał, iż większość wskaźników wykonania stosowanych w unijnych programach finansowania to wskaźniki wkładu i produktu, które nie dostarczają istotnych informacji o postępach w osiąganiu celów działań finansowanych przez UE; ubolewa, że w wielu przypadkach stwierdzono brak danych wyjściowych dla wskaźników, a dane bazowe wykorzystane na potrzeby wskaźników nie były ani możliwe do zweryfikowania, ani wiarygodne; wyraża zaniepokojenie, że definicje wskaźników wykonania różnią się w poszczególnych programach finansowania; wzywa Komisję i państwa członkowskie do dopilnowania, aby wskaźniki stosowane w projektach finansowanych przez UE były mierzalne, weryfikowalne i oparte na wiarygodnych źródłach danych, które zapewniają identyfikowalność danych bazowych aż do poziomu umowy i beneficjenta końcowego, a także zawierały jasne punkty odniesienia i definicje, by zapobiec rozbieżnym interpretacjom;</w:t>
      </w:r>
    </w:p>
    <w:p w14:paraId="4D6407B0" w14:textId="77777777" w:rsidR="007A01B3" w:rsidRPr="004F3416" w:rsidRDefault="007A01B3" w:rsidP="007A01B3">
      <w:pPr>
        <w:pStyle w:val="NormalHanging12a"/>
      </w:pPr>
      <w:r w:rsidRPr="004F3416">
        <w:t>5.</w:t>
      </w:r>
      <w:r w:rsidRPr="004F3416">
        <w:tab/>
        <w:t>ubolewa, że ramy wykonania budżetu UE na lata 2021–2027 są nadal zbyt złożone i fragmentaryczne; z ubolewaniem odnotowuje ocenę Komisji</w:t>
      </w:r>
      <w:r w:rsidRPr="004F3416">
        <w:rPr>
          <w:rStyle w:val="FootnoteReference"/>
        </w:rPr>
        <w:footnoteReference w:id="8"/>
      </w:r>
      <w:r w:rsidRPr="004F3416">
        <w:t>, zgodnie z którą w wieloletnich ramach finansowych (WRF) na lata 2021–2027 stosuje się ponad 5 000 niejednorodnych, niepodlegających agregacji wskaźników wykonania, co utrudnia kompleksową ocenę skuteczności wydatków UE w ramach różnych instrumentów finansowania, oraz że w ramach Instrumentu na rzecz Odbudowy i Zwiększania Odporności (RRF) określono około 7 000 kamieni milowych i celów, które uwzględniają różne potrzeby, takie jak ocena wyników w kontekście projektu budżetu oraz monitorowanie i ocena programów, planów państw członkowskich i wypłat środków;</w:t>
      </w:r>
    </w:p>
    <w:p w14:paraId="1187BFFC" w14:textId="77777777" w:rsidR="007A01B3" w:rsidRPr="004F3416" w:rsidRDefault="007A01B3" w:rsidP="007A01B3">
      <w:pPr>
        <w:pStyle w:val="NormalHanging12a"/>
      </w:pPr>
      <w:r w:rsidRPr="004F3416">
        <w:t xml:space="preserve">6. </w:t>
      </w:r>
      <w:r w:rsidRPr="004F3416">
        <w:tab/>
        <w:t xml:space="preserve">podkreśla w szczególności, że konstrukcja RRF nie zapewnia wystarczającej identyfikowalności, przejrzystości i możliwości kontroli wykorzystania funduszy UE </w:t>
      </w:r>
      <w:r w:rsidRPr="004F3416">
        <w:lastRenderedPageBreak/>
        <w:t>ani porównywalności wyników z innymi instrumentami wydatkowymi UE; wzywa Komisję do ustanowienia bardziej kompleksowych, zharmonizowanych, przejrzystych i możliwych do zweryfikowania ram wskaźników wykonania dla przyszłych instrumentów, zapewniających Parlamentowi i ETO możliwość pełnego wykonywania swoich obowiązków nadzorczych; apeluje do Komisji, aby przeanalizowała wdrażanie instrumentów opartych na wynikach w innych kontekstach krajowych i regionalnych oraz wyciągnęła z tej analizy wnioski;</w:t>
      </w:r>
    </w:p>
    <w:p w14:paraId="1FDCE03E" w14:textId="77777777" w:rsidR="007A01B3" w:rsidRPr="004F3416" w:rsidRDefault="007A01B3" w:rsidP="007A01B3">
      <w:pPr>
        <w:pStyle w:val="NormalHanging12a"/>
      </w:pPr>
      <w:r w:rsidRPr="004F3416">
        <w:t>7.</w:t>
      </w:r>
      <w:r w:rsidRPr="004F3416">
        <w:tab/>
        <w:t>odnotowuje wniosek Komisji, aby WRF na lata 2028–2034, w tym Europejski Fundusz Konkurencyjności, były monitorowane za pomocą znormalizowanego zestawu wskaźników wykonania mających zastosowanie do wszystkich programów budżetowych UE, jak określono we wniosku dotyczącym rozporządzenia w sprawie wyników</w:t>
      </w:r>
      <w:r w:rsidRPr="004F3416">
        <w:rPr>
          <w:rStyle w:val="FootnoteReference"/>
        </w:rPr>
        <w:footnoteReference w:id="9"/>
      </w:r>
      <w:r w:rsidRPr="004F3416">
        <w:t>; zauważa, że w odniesieniu do gwarancji budżetowych i instrumentów finansowych w ramach EFK zaproponowano uproszczone stosowanie ram wykonania;</w:t>
      </w:r>
    </w:p>
    <w:p w14:paraId="77937F1D" w14:textId="77777777" w:rsidR="007A01B3" w:rsidRPr="004F3416" w:rsidRDefault="007A01B3" w:rsidP="007A01B3">
      <w:pPr>
        <w:pStyle w:val="NormalHanging12a"/>
      </w:pPr>
      <w:r w:rsidRPr="004F3416">
        <w:t xml:space="preserve">8. </w:t>
      </w:r>
      <w:r w:rsidRPr="004F3416">
        <w:tab/>
        <w:t>uważa, że ramy wykonania budżetu UE powinny zostać uproszczone, aby zapewnić zharmonizowane i proporcjonalne podejście do pomiaru skutków wydatków UE we wszystkich państwach członkowskich, zracjonalizować ogólne obciążenie administracyjne i obowiązki sprawozdawcze, zwłaszcza dla małych i średnich przedsiębiorstw (MŚP) i władz lokalnych, i zwiększyć przejrzystość przez unikanie nadmiaru informacji, a jednocześnie umożliwić pełne uchwycenie skutków finansowania UE, w tym wartości dodanej interwencji UE, której państwa członkowskie nie mogłyby osiągnąć samodzielnie; apeluje do Komisji, aby dopracowała wskaźniki, uprościła wzory, unikała powielania wniosków o udostępnienie danych i stosowała zasadę jednorazowości;</w:t>
      </w:r>
    </w:p>
    <w:p w14:paraId="70807E82" w14:textId="77777777" w:rsidR="007A01B3" w:rsidRPr="004F3416" w:rsidRDefault="007A01B3" w:rsidP="007A01B3">
      <w:pPr>
        <w:pStyle w:val="NormalHanging12a"/>
      </w:pPr>
      <w:r w:rsidRPr="004F3416">
        <w:t>9.</w:t>
      </w:r>
      <w:r w:rsidRPr="004F3416">
        <w:tab/>
        <w:t>uważa, że wpływ można najlepiej ocenić za pomocą ocen; podkreśla, że EFK i wszystkie przyszłe instrumenty muszą obejmować oceny śródokresowe przeprowadzane przez Komisję; apeluje do Komisji, aby – jeżeli cele nie zostaną osiągnięte – bezzwłocznie wprowadzała środki naprawcze, w tym środki zalecane przez ETO w wyniku przeprowadzonych kontroli;</w:t>
      </w:r>
    </w:p>
    <w:p w14:paraId="0C822E8D" w14:textId="77777777" w:rsidR="007A01B3" w:rsidRPr="004F3416" w:rsidRDefault="007A01B3" w:rsidP="007A01B3">
      <w:pPr>
        <w:pStyle w:val="NormalHanging12a"/>
      </w:pPr>
      <w:r w:rsidRPr="004F3416">
        <w:t xml:space="preserve">10. </w:t>
      </w:r>
      <w:r w:rsidRPr="004F3416">
        <w:tab/>
        <w:t>podkreśla, że uproszczenie nie powinno odbywać się kosztem przejrzystości, rozliczalności i możliwości kontroli, ale powinno pomóc w racjonalizacji sprawozdawczości oraz zwiększyć dostępność i użyteczność informacji o wynikach unijnego finansowania; podkreśla ponadto, że zmniejszeniu liczby wskaźników powinna towarzyszyć analiza kosztów i korzyści oraz analiza ryzyka; podkreśla, że wydatki należy wyraźniej powiązać z wymiernymi wynikami polityki;</w:t>
      </w:r>
    </w:p>
    <w:p w14:paraId="79408B4B" w14:textId="77777777" w:rsidR="007A01B3" w:rsidRPr="004F3416" w:rsidRDefault="007A01B3" w:rsidP="007A01B3">
      <w:pPr>
        <w:pStyle w:val="NormalHanging12a"/>
      </w:pPr>
      <w:r w:rsidRPr="004F3416">
        <w:t>11.</w:t>
      </w:r>
      <w:r w:rsidRPr="004F3416">
        <w:tab/>
        <w:t xml:space="preserve">przypomina, że podejścia do gromadzenia danych różnią się między poszczególnymi państwami członkowskimi, a także w samych państwach członkowskich, co utrudnia agregację i porównywanie danych dotyczących wyników na poziomie UE; ponownie wzywa Komisję do opracowania bezpiecznej i </w:t>
      </w:r>
      <w:proofErr w:type="spellStart"/>
      <w:r w:rsidRPr="004F3416">
        <w:t>interoperacyjnej</w:t>
      </w:r>
      <w:proofErr w:type="spellEnd"/>
      <w:r w:rsidRPr="004F3416">
        <w:t xml:space="preserve"> infrastruktury informatycznej, przy jednoczesnym wykorzystaniu sztucznej inteligencji, uczenia maszynowego i możliwości eksploracji danych, aby poprawić realizację polityki i ułatwić monitorowanie, sprawozdawczość i nadzór; podkreśla, że wykorzystywaniu sztucznej inteligencji w monitorowaniu i przetwarzaniu danych musi towarzyszyć solidny nadzór ze strony człowieka i że musi ono podlegać zasadom etycznym, aby zapobiegać niewłaściwemu wykorzystywaniu i dyskryminacji algorytmicznej lub </w:t>
      </w:r>
      <w:r w:rsidRPr="004F3416">
        <w:lastRenderedPageBreak/>
        <w:t>stronniczości oraz zapewnić przejrzystość i rozliczalność, przy jednoczesnym zagwarantowaniu ochrony danych i pełnego poszanowania praw podstawowych;</w:t>
      </w:r>
    </w:p>
    <w:p w14:paraId="3C2CC5AA" w14:textId="4DB4F77C" w:rsidR="007A01B3" w:rsidRPr="004F3416" w:rsidRDefault="007A01B3" w:rsidP="007A01B3">
      <w:pPr>
        <w:pStyle w:val="NormalHanging12a"/>
      </w:pPr>
      <w:r w:rsidRPr="004F3416">
        <w:t xml:space="preserve">12. </w:t>
      </w:r>
      <w:r w:rsidRPr="004F3416">
        <w:tab/>
        <w:t xml:space="preserve">nalega, aby dane i metody dotyczące wskaźników były udostępniane publicznie w czasie rzeczywistym za pośrednictwem </w:t>
      </w:r>
      <w:proofErr w:type="spellStart"/>
      <w:r w:rsidRPr="004F3416">
        <w:t>interoperacyjnego</w:t>
      </w:r>
      <w:proofErr w:type="spellEnd"/>
      <w:r w:rsidRPr="004F3416">
        <w:t xml:space="preserve"> systemu monitorowania, sprawozdawczości i audytu, co zwiększy przejrzystość i zapewni identyfikowalność aż do poziomu projektu i beneficjenta końcowego; przypomina, jak ważna jest przejrzystość końcowych beneficjentów unijnych środków finansowych; podkreśla, że finansowanie unijne, w tym w ramach zarządzania pośredniego, musi być przejrzyste i powinno zapewniać skuteczność kontroli oraz zapobiegać podwójnemu finansowaniu; podkreśla ponadto, że dane te powinny zawierać wyczerpujące informacje dotyczące finansowanych projektów;</w:t>
      </w:r>
    </w:p>
    <w:p w14:paraId="1CA7E9B2" w14:textId="77777777" w:rsidR="007A01B3" w:rsidRPr="004F3416" w:rsidRDefault="007A01B3" w:rsidP="007A01B3">
      <w:pPr>
        <w:pStyle w:val="NormalHanging12a"/>
      </w:pPr>
      <w:r w:rsidRPr="004F3416">
        <w:t xml:space="preserve">13. </w:t>
      </w:r>
      <w:r w:rsidRPr="004F3416">
        <w:tab/>
        <w:t>apeluje do Komisji, aby wzmocniła sprawozdawczość na temat wyników przez włączenie informacji finansowych i dotyczących wyników związanych z funduszami UE oraz aby publikowała jasne, przyjazne dla użytkownika podsumowania wyników i wydatków, w tym jednostronicowe przeglądy i interaktywne tablice wskaźników ze zbiorami danych nadającymi się do odczytu maszynowego, zgodnie z zaleceniami OECD</w:t>
      </w:r>
      <w:r w:rsidRPr="004F3416">
        <w:rPr>
          <w:rStyle w:val="FootnoteReference"/>
        </w:rPr>
        <w:footnoteReference w:id="10"/>
      </w:r>
      <w:r w:rsidRPr="004F3416">
        <w:t>;</w:t>
      </w:r>
    </w:p>
    <w:p w14:paraId="70BD0A75" w14:textId="77777777" w:rsidR="007A01B3" w:rsidRPr="004F3416" w:rsidRDefault="007A01B3" w:rsidP="007A01B3">
      <w:pPr>
        <w:pStyle w:val="NormalHanging12a"/>
      </w:pPr>
      <w:r w:rsidRPr="004F3416">
        <w:t>14.</w:t>
      </w:r>
      <w:r w:rsidRPr="004F3416">
        <w:tab/>
        <w:t xml:space="preserve">uważa, że weryfikacja i zapewnienie wiarygodności danych wykorzystywanych do ustalania wskaźników efektywności ma zasadnicze znaczenie; zauważa z zaniepokojeniem, że ze względu na wprowadzenie i coraz częstsze stosowanie modeli realizacji, takich jak RRF, opartych na finansowaniu niepowiązanym z kosztami – w przypadku których wypłaty uzależnione są od osiągnięcia wcześniej ustalonych kamieni milowych i celów – niedociągnięcia w wiarygodności danych mogą utrudniać ochronę interesów finansowych UE; nalega zatem na obowiązkową weryfikację ex </w:t>
      </w:r>
      <w:proofErr w:type="spellStart"/>
      <w:r w:rsidRPr="004F3416">
        <w:t>ante</w:t>
      </w:r>
      <w:proofErr w:type="spellEnd"/>
      <w:r w:rsidRPr="004F3416">
        <w:t xml:space="preserve"> i ex post kamieni milowych i celów, systematyczne zgłaszanie podejrzeń nadużyć finansowych lub poważnych nieprawidłowości do Europejskiego Urzędu ds. Zwalczania Nadużyć Finansowych i Prokuratury Europejskiej oraz na możliwość zawieszenia płatności;</w:t>
      </w:r>
    </w:p>
    <w:p w14:paraId="1F471E92" w14:textId="77777777" w:rsidR="007A01B3" w:rsidRPr="004F3416" w:rsidRDefault="007A01B3" w:rsidP="007A01B3">
      <w:pPr>
        <w:pStyle w:val="NormalHanging12a"/>
      </w:pPr>
      <w:r w:rsidRPr="004F3416">
        <w:t>15.</w:t>
      </w:r>
      <w:r w:rsidRPr="004F3416">
        <w:tab/>
        <w:t>wzywa Komisję, aby w sprawozdaniach dotyczących wyników uwzględniała istotne informacje dotyczące środków zapewnienia jakości wskaźników wykonania; podkreśla, że regularny i przejrzysty przegląd trafności i wiarygodności wskaźników ma zasadnicze znaczenie dla zapewnienia wiarygodności i zaufania publicznego do wydatków UE; domaga się, aby dane dotyczące wyników zgłaszane przez państwa członkowskie podlegały niezależnej weryfikacji, w tym przez krajowe organy kontroli i ETO, a wyniki były udostępniane Parlamentowi; domaga się ponadto, aby sprawozdania z weryfikacji i zbiory danych były udostępniane właściwym organom nadzoru w dostępnym, porównywalnym i weryfikowalnym formacie, co zapewni obywatelom dostęp do wyników kontroli wykorzystania funduszy UE, a także zagwarantuje przestrzeganie zasad ochrony danych i poufności;</w:t>
      </w:r>
    </w:p>
    <w:p w14:paraId="066C8875" w14:textId="77777777" w:rsidR="007A01B3" w:rsidRPr="004F3416" w:rsidRDefault="007A01B3" w:rsidP="007A01B3">
      <w:pPr>
        <w:pStyle w:val="NormalHanging12a"/>
      </w:pPr>
      <w:r w:rsidRPr="004F3416">
        <w:t>16.</w:t>
      </w:r>
      <w:r w:rsidRPr="004F3416">
        <w:tab/>
        <w:t>podkreśla, że skuteczne zarządzanie wykonaniem wymaga poszanowania zasad praworządności i ochrony interesów finansowych UE; przypomina, że w przypadku utrzymujących się poważnych nieprawidłowości w systemach kontroli należy zawiesić płatności i zastosować korekty finansowe;</w:t>
      </w:r>
    </w:p>
    <w:p w14:paraId="0CBB9393" w14:textId="77777777" w:rsidR="007A01B3" w:rsidRPr="004F3416" w:rsidRDefault="007A01B3" w:rsidP="007A01B3">
      <w:pPr>
        <w:spacing w:after="240"/>
        <w:ind w:left="566" w:hanging="566"/>
        <w:rPr>
          <w:bCs/>
          <w:iCs/>
        </w:rPr>
      </w:pPr>
      <w:r w:rsidRPr="004F3416">
        <w:lastRenderedPageBreak/>
        <w:t>17.</w:t>
      </w:r>
      <w:r w:rsidRPr="004F3416">
        <w:tab/>
        <w:t>uważa, że praworządność jest niezbędnym warunkiem wstępnym wzmocnienia konkurencyjności UE; podkreśla, że wyzwania związane z praworządnością niekorzystnie wpływają na zaufanie inwestorów, zaufanie konsumentów i integralność jednolitego rynku, jak zauważono w sprawozdaniu Komisji z 2025 r. w sprawie praworządności; uważa zatem, że ramy wykonania budżetu UE powinny również uwzględniać wskaźniki związane z praworządnością, takie jak funkcjonowanie wymiaru sprawiedliwości, zwalczanie korupcji oraz skuteczne mechanizmy kontroli i równowagi, które przyczyniają się do pewności prawnej i przewidywalności otoczenia, w którym działają przedsiębiorstwa;</w:t>
      </w:r>
    </w:p>
    <w:p w14:paraId="1319222E" w14:textId="77777777" w:rsidR="007A01B3" w:rsidRPr="004F3416" w:rsidRDefault="007A01B3" w:rsidP="007A01B3">
      <w:pPr>
        <w:pStyle w:val="StyleBoldItalicAfter12pt"/>
      </w:pPr>
      <w:r w:rsidRPr="004F3416">
        <w:t>Wskaźniki wykonania związane ze wspieraniem konkurencyjności UE</w:t>
      </w:r>
    </w:p>
    <w:p w14:paraId="464105E5" w14:textId="77777777" w:rsidR="007A01B3" w:rsidRPr="004F3416" w:rsidRDefault="007A01B3" w:rsidP="007A01B3">
      <w:pPr>
        <w:pStyle w:val="NormalHanging12a"/>
      </w:pPr>
      <w:r w:rsidRPr="004F3416">
        <w:t>18.</w:t>
      </w:r>
      <w:r w:rsidRPr="004F3416">
        <w:tab/>
        <w:t xml:space="preserve">przypomina, że w raporcie </w:t>
      </w:r>
      <w:proofErr w:type="spellStart"/>
      <w:r w:rsidRPr="004F3416">
        <w:t>Draghiego</w:t>
      </w:r>
      <w:proofErr w:type="spellEnd"/>
      <w:r w:rsidRPr="004F3416">
        <w:t xml:space="preserve"> wezwano UE do przeprowadzenia głębokich reform, aby zwiększyć konkurencyjność, ze szczególnym uwzględnieniem innowacji, dekarbonizacji i obronności, oraz wezwano do znacznych inwestycji w sektorach strategicznych, takich jak zielona energia, infrastruktura cyfrowa i zaawansowana produkcja, przy jednoczesnym uproszczeniu przepisów i lepszej koordynacji na szczeblu UE; uważa w związku z tym, że solidne ramy wykonania i system wskaźników są niezbędne do śledzenia postępów i określenia wpływu na konkurencyjność, siłę gospodarczą, zrównoważony rozwój i odporność UE, a jednocześnie bezpośrednio wiążą wyniki z zasadami oszczędności, efektywności i skuteczności;</w:t>
      </w:r>
    </w:p>
    <w:p w14:paraId="478BEB19" w14:textId="77777777" w:rsidR="007A01B3" w:rsidRPr="004F3416" w:rsidRDefault="007A01B3" w:rsidP="007A01B3">
      <w:pPr>
        <w:pStyle w:val="NormalHanging12a"/>
      </w:pPr>
      <w:r w:rsidRPr="004F3416">
        <w:t>19.</w:t>
      </w:r>
      <w:r w:rsidRPr="004F3416">
        <w:tab/>
        <w:t>podkreśla, że przy wydatkach ukierunkowanych na konkurencyjność należy priorytetowo traktować efektywność i długoterminowy wzrost wydajności, a nie krótkoterminową redystrybucję; podkreśla, że zasoby UE należy ukierunkować na korygowanie nieefektywności rynku, stymulowanie inwestycji prywatnych i wspieranie projektów o wymiernym wpływie gospodarczym i wyraźnej wartości dodanej;</w:t>
      </w:r>
    </w:p>
    <w:p w14:paraId="5DC6EDCE" w14:textId="77777777" w:rsidR="007A01B3" w:rsidRPr="004F3416" w:rsidRDefault="007A01B3" w:rsidP="007A01B3">
      <w:pPr>
        <w:pStyle w:val="NormalHanging12a"/>
      </w:pPr>
      <w:r w:rsidRPr="004F3416">
        <w:t xml:space="preserve">20. </w:t>
      </w:r>
      <w:r w:rsidRPr="004F3416">
        <w:tab/>
        <w:t xml:space="preserve">podkreśla, że wdrażanie zaleceń zawartych w raporcie </w:t>
      </w:r>
      <w:proofErr w:type="spellStart"/>
      <w:r w:rsidRPr="004F3416">
        <w:t>Draghiego</w:t>
      </w:r>
      <w:proofErr w:type="spellEnd"/>
      <w:r w:rsidRPr="004F3416">
        <w:t xml:space="preserve"> należy monitorować za pomocą odpowiednich, solidnych i przejrzystych wskaźników skuteczności wykonania, które odzwierciedlają postępy UE w zwiększaniu jej konkurencyjności i wzrostu gospodarczego poprzez innowacje, wiodącą pozycję technologiczną i odporność przemysłową, i jednocześnie zapewniają sprawiedliwość społeczną; podkreśla, że wskaźniki muszą być starannie zaprojektowane i powinny obejmować nie tylko produkt (np. liczbę finansowanych projektów), ale także wyniki i skutki (np. wzrost wydajności, ograniczenie emisji, utworzone trwałe i bezpieczne miejsca pracy, poprawa spójności społecznej i terytorialnej, zmiany w bilansie handlowym, zwiększenie dywersyfikacji wywozu, efekt dźwigni programów UE, zwłaszcza pod względem mobilizacji inwestycji prywatnych, oraz wzmocnienie autonomii strategicznej), aby zmierzyć efektywność i skuteczność wydatków UE; przypomina, że reformy są nieodłącznym elementem realizacji celów w zakresie konkurencyjności i muszą znaleźć odzwierciedlenie w ramach pomiaru wyników;</w:t>
      </w:r>
    </w:p>
    <w:p w14:paraId="339DDBDE" w14:textId="77777777" w:rsidR="007A01B3" w:rsidRPr="004F3416" w:rsidRDefault="007A01B3" w:rsidP="007A01B3">
      <w:pPr>
        <w:pStyle w:val="NormalHanging12a"/>
      </w:pPr>
      <w:r w:rsidRPr="004F3416">
        <w:t>21.</w:t>
      </w:r>
      <w:r w:rsidRPr="004F3416">
        <w:tab/>
        <w:t xml:space="preserve">zauważa, że wskaźniki wypłat, które mierzą przede wszystkim absorpcję środków lub tempo wykonania budżetu, dostarczają informacji o postępach administracyjnych, a nie o faktycznym wpływie wydatków UE na gospodarkę lub społeczeństwo; podkreśla, że wskaźniki takie mogą stwarzać mylne wrażenie sukcesu, gdy środki są w pełni wydatkowane, ale nie przynoszą wymiernej poprawy w zakresie innowacji, inwestycji lub zatrudnienia; przypomina, że ETO wielokrotnie krytykował nadmierne poleganie na wskaźnikach wydatków i kamieniach milowych dotyczących płatności w ramach wykonania programów UE; apeluje o przejście na wskaźniki rezultatu i wskaźniki </w:t>
      </w:r>
      <w:r w:rsidRPr="004F3416">
        <w:lastRenderedPageBreak/>
        <w:t>oddziaływania, ponieważ odzwierciedlają one rzeczywisty wpływ wydatków UE na konkurencyjność;</w:t>
      </w:r>
    </w:p>
    <w:p w14:paraId="4A0899EE" w14:textId="77777777" w:rsidR="007A01B3" w:rsidRPr="004F3416" w:rsidRDefault="007A01B3" w:rsidP="007A01B3">
      <w:pPr>
        <w:pStyle w:val="NormalHanging12a"/>
      </w:pPr>
      <w:r w:rsidRPr="004F3416">
        <w:t>22.</w:t>
      </w:r>
      <w:r w:rsidRPr="004F3416">
        <w:tab/>
        <w:t>podkreśla, że konkurencyjność zależy od spójnego zestawu warunków sprzyjających, w tym wykwalifikowanej i zdrowej siły roboczej, wydajnej infrastruktury strategicznej, silnego sektora finansowego zdolnego do zapewnienia dostosowanego do potrzeb finansowania innowacji oraz dobrze funkcjonujących instytucji i rynków, które wynagradzają wyniki i przedsiębiorczość; wzywa Komisję do opracowania konkretnych wskaźników wykonania odzwierciedlających te czynniki strukturalne oraz ich wkład w produktywność i wzrost gospodarczy;</w:t>
      </w:r>
    </w:p>
    <w:p w14:paraId="470627D6" w14:textId="77777777" w:rsidR="007A01B3" w:rsidRPr="004F3416" w:rsidRDefault="007A01B3" w:rsidP="007A01B3">
      <w:pPr>
        <w:pStyle w:val="NormalHanging12a"/>
      </w:pPr>
      <w:r w:rsidRPr="004F3416">
        <w:t>23.</w:t>
      </w:r>
      <w:r w:rsidRPr="004F3416">
        <w:tab/>
        <w:t xml:space="preserve">przypomina, że w raporcie </w:t>
      </w:r>
      <w:proofErr w:type="spellStart"/>
      <w:r w:rsidRPr="004F3416">
        <w:t>Draghiego</w:t>
      </w:r>
      <w:proofErr w:type="spellEnd"/>
      <w:r w:rsidRPr="004F3416">
        <w:t xml:space="preserve"> podkreślono, iż doskonałość w dziedzinie badań naukowych i innowacji ma fundamentalne znaczenie dla konkurencyjności UE oraz że w ramach unijnego systemu badań naukowych i innowacji, w tym programu „Horyzont Europa”, powinno obowiązywać tylko jedno kryterium wyboru, a mianowicie doskonałość; w związku z tym ponownie podkreśla swoje stanowisko, że finansowanie badań naukowych i innowacji powinno nadal opierać się na zasadzie doskonałości i pozostać oparte na osiągnięciach;</w:t>
      </w:r>
    </w:p>
    <w:p w14:paraId="5233178E" w14:textId="77777777" w:rsidR="007A01B3" w:rsidRPr="004F3416" w:rsidRDefault="007A01B3" w:rsidP="007A01B3">
      <w:pPr>
        <w:pStyle w:val="NormalHanging12a"/>
      </w:pPr>
      <w:r w:rsidRPr="004F3416">
        <w:t>24.</w:t>
      </w:r>
      <w:r w:rsidRPr="004F3416">
        <w:tab/>
        <w:t xml:space="preserve">zwraca uwagę, że podstawą udoskonalonej sprawozdawczości z wyników instrumentów finansowych wdrażanych w ramach zarządzania pośredniego, takich jak </w:t>
      </w:r>
      <w:proofErr w:type="spellStart"/>
      <w:r w:rsidRPr="004F3416">
        <w:t>InvestEU</w:t>
      </w:r>
      <w:proofErr w:type="spellEnd"/>
      <w:r w:rsidRPr="004F3416">
        <w:t>, powinny być dane na poziomie projektów; zauważa jednak, że powinny one mieć standardowy format i ograniczać się do kluczowych informacji potrzebnych do pomiaru skuteczności programu, takich jak mobilizacja inwestycji publicznych i prywatnych, które nie mogłyby mieć miejsca bez programu; dostrzega, że ze względu na charakter instrumentów finansowych, który jest kształtowany przez rynek i popyt, wyniki takich programów zależą od ich przyjęcia przez rynek, co ogranicza zdolność Komisji do wcześniejszego ustalenia określonych kamieni milowych i celów;</w:t>
      </w:r>
    </w:p>
    <w:p w14:paraId="0D1B821F" w14:textId="77777777" w:rsidR="007A01B3" w:rsidRPr="004F3416" w:rsidRDefault="007A01B3" w:rsidP="007A01B3">
      <w:pPr>
        <w:pStyle w:val="NormalHanging12a"/>
      </w:pPr>
      <w:r w:rsidRPr="004F3416">
        <w:t xml:space="preserve">25. </w:t>
      </w:r>
      <w:r w:rsidRPr="004F3416">
        <w:tab/>
        <w:t>podkreśla, że zwiększenie konkurencyjności wymaga odejścia od krótkoterminowego zarządzania kryzysowego na rzecz długoterminowej strategii opartej na innowacjach, wydajności, zrównoważonym rozwoju, strategicznej autonomii i globalnej otwartości; apeluje o ponowne zobowiązanie się do wzmocnienia jednolitego rynku, ograniczenia rozdrobnienia regulacyjnego i zapewnienia, by programy UE wspierały realną gospodarkę; podkreśla, że powodzenie europejskich projektów dotyczących konkurencyjności zależy od mobilizacji kapitału publicznego i prywatnego; wzywa Komisję do wprowadzenia konkretnych wskaźników mierzących efekt dźwigni finansowej funduszy UE w mobilizowaniu inwestycji publicznych i prywatnych, stosunek finansowania publicznego do prywatnego oraz osiągnięty zwrot z inwestycji;</w:t>
      </w:r>
    </w:p>
    <w:p w14:paraId="735BA970" w14:textId="77777777" w:rsidR="007A01B3" w:rsidRPr="004F3416" w:rsidRDefault="007A01B3" w:rsidP="007A01B3">
      <w:pPr>
        <w:pStyle w:val="NormalHanging12a"/>
      </w:pPr>
      <w:r w:rsidRPr="004F3416">
        <w:t>26.</w:t>
      </w:r>
      <w:r w:rsidRPr="004F3416">
        <w:tab/>
        <w:t xml:space="preserve">uważa za konieczne ustanowienie kompleksowych ram oceny ryzyka ex </w:t>
      </w:r>
      <w:proofErr w:type="spellStart"/>
      <w:r w:rsidRPr="004F3416">
        <w:t>ante</w:t>
      </w:r>
      <w:proofErr w:type="spellEnd"/>
      <w:r w:rsidRPr="004F3416">
        <w:t>, zwłaszcza w odniesieniu do projektów charakteryzujących się wysokim ryzykiem i wysokimi zyskami, aby zapewnić zrównoważoną ocenę ich wartości dodanej, kosztów i korzyści; podkreśla, że osiągnięcie celów polityki UE w zakresie konkurencyjności wymaga istnienia niezawodnego systemu audytu i kontroli opartego na spójnej metodologii oceny ryzyka; podkreśla, że taka metodologia powinna uwzględniać proporcjonalny poziom ryzyka niezbędny do wspierania innowacji, zapewniając jednocześnie odpowiednie zabezpieczenia w celu ochrony budżetu UE, zwłaszcza przed nadużyciami finansowymi i ryzykiem niefinansowym;</w:t>
      </w:r>
    </w:p>
    <w:p w14:paraId="1E802726" w14:textId="77777777" w:rsidR="007A01B3" w:rsidRPr="004F3416" w:rsidRDefault="007A01B3" w:rsidP="007A01B3">
      <w:pPr>
        <w:pStyle w:val="NormalHanging12a"/>
      </w:pPr>
      <w:r w:rsidRPr="004F3416">
        <w:t>27.</w:t>
      </w:r>
      <w:r w:rsidRPr="004F3416">
        <w:tab/>
        <w:t xml:space="preserve">sugeruje, że w celu lepszej oceny wpływu finansowania UE na konkurencyjność należy stosować bardziej szczegółowe modele makroekonomiczne, uwzględniające najnowsze </w:t>
      </w:r>
      <w:r w:rsidRPr="004F3416">
        <w:lastRenderedPageBreak/>
        <w:t xml:space="preserve">osiągnięcia w dziedzinie badań ekonomicznych; zauważa, że modele uwzględniające zróżnicowanie gospodarstw domowych i przedsiębiorstw oraz efekty strukturalne pozwalają na bardziej kompleksową ocenę ex </w:t>
      </w:r>
      <w:proofErr w:type="spellStart"/>
      <w:r w:rsidRPr="004F3416">
        <w:t>ante</w:t>
      </w:r>
      <w:proofErr w:type="spellEnd"/>
      <w:r w:rsidRPr="004F3416">
        <w:t xml:space="preserve"> wpływu funduszy UE na produktywność, zachowania inwestycyjne i konkurencyjność regionalną; sugeruje, aby podejście to uzupełnić wykorzystaniem danych jednostkowych i regionalnych wskaźników wykonania w celu udoskonalenia bazy dowodowej służącej do opracowywania polityki i kierowania funduszy;</w:t>
      </w:r>
    </w:p>
    <w:p w14:paraId="356AA137" w14:textId="77777777" w:rsidR="007A01B3" w:rsidRPr="004F3416" w:rsidRDefault="007A01B3" w:rsidP="007A01B3">
      <w:pPr>
        <w:pStyle w:val="NormalHanging12a"/>
      </w:pPr>
      <w:r w:rsidRPr="004F3416">
        <w:t xml:space="preserve">28. </w:t>
      </w:r>
      <w:r w:rsidRPr="004F3416">
        <w:tab/>
        <w:t xml:space="preserve">wzywa Komisję i państwa członkowskie, aby utworzyły i w trakcie kolejnych wieloletnich ram finansowych konsekwentnie stosowały zharmonizowany zestaw podstawowych wskaźników, takich jak te, które już stanowią część Europejskiego Rankingu Innowacyjności, które mają wspierać konkurencyjność w państwach członkowskich, by umożliwić porównywalność, </w:t>
      </w:r>
      <w:proofErr w:type="spellStart"/>
      <w:r w:rsidRPr="004F3416">
        <w:t>benchmarking</w:t>
      </w:r>
      <w:proofErr w:type="spellEnd"/>
      <w:r w:rsidRPr="004F3416">
        <w:t xml:space="preserve"> i agregację danych na poziomie UE, a jednocześnie pozwolić na stosowanie wskaźników dostosowanych do potrzeb krajowych lub regionalnych, jeśli to konieczne; podkreśla, że przy określaniu i przeglądzie wskaźników należy konsultować się z wszystkimi odpowiednimi zainteresowanymi stronami, aby zagwarantować, że odzwierciedlają one rzeczywiste potrzeby w zakresie konkurencyjności i są zgodne z wysokimi standardami pracy oraz standardami społecznymi;</w:t>
      </w:r>
    </w:p>
    <w:p w14:paraId="56B78E99" w14:textId="77777777" w:rsidR="007A01B3" w:rsidRPr="004F3416" w:rsidRDefault="007A01B3" w:rsidP="007A01B3">
      <w:pPr>
        <w:pStyle w:val="NormalHanging12a"/>
      </w:pPr>
      <w:r w:rsidRPr="004F3416">
        <w:t>29.</w:t>
      </w:r>
      <w:r w:rsidRPr="004F3416">
        <w:tab/>
        <w:t>uważa, że w przypadku projektów sprzyjających innowacjom i wspierających technologie strategiczne można zastosować następujące wskaźniki produktu: wielkość uruchomionego finansowania ze środków unijnych i środków prywatnych, liczba projektów finansowanych w poszczególnych sektorach (tj. sztuczna inteligencja, technologie kwantowe, biotechnologia) oraz liczba jednorożców, przedsiębiorstw typu start-</w:t>
      </w:r>
      <w:proofErr w:type="spellStart"/>
      <w:r w:rsidRPr="004F3416">
        <w:t>up</w:t>
      </w:r>
      <w:proofErr w:type="spellEnd"/>
      <w:r w:rsidRPr="004F3416">
        <w:t xml:space="preserve"> i </w:t>
      </w:r>
      <w:proofErr w:type="spellStart"/>
      <w:r w:rsidRPr="004F3416">
        <w:t>scale-up</w:t>
      </w:r>
      <w:proofErr w:type="spellEnd"/>
      <w:r w:rsidRPr="004F3416">
        <w:t xml:space="preserve"> utworzonych lub rozwijanych w UE, które otrzymały finansowanie unijne, a także w stosownych przypadkach procentowy udział start-</w:t>
      </w:r>
      <w:proofErr w:type="spellStart"/>
      <w:r w:rsidRPr="004F3416">
        <w:t>upów</w:t>
      </w:r>
      <w:proofErr w:type="spellEnd"/>
      <w:r w:rsidRPr="004F3416">
        <w:t xml:space="preserve"> zarządzanych przez kobiety, które otrzymały finansowanie; uważa, że wskaźniki rezultatu mogłyby obejmować liczbę patentów zgłoszonych w ramach projektów finansowanych przez UE, zwrot z inwestycji UE w poszczególnych sektorach, zmianę wskaźnika zatrudnienia, wskaźnik przetrwania na rynku przedsiębiorstw finansowanych przez UE po trzech latach, wzrost liczby europejskich pierwszych ofert publicznych (IPO), wzrost liczby przedsiębiorstw eksportujących oraz liczbę przedsiębiorstw o wysokim wskaźniku wykorzystania technologii cyfrowych; uważa, że należy śledzić i zgłaszać wskaźniki oddziaływania, takie jak wzrost zdolności produkcyjnych (produkcja roczna) w technologiach najbardziej zaawansowanych i cyfrowych (np. konkretnych rodzajów sprzętu), wzrost wartości kapitału wysokiego ryzyka zainwestowanego w UE, wzrost kapitalizacji rynkowej przedsiębiorstw UE oraz przyjęcie na rynku i wzrost przychodów wynikający z innowacji finansowanych przez UE;</w:t>
      </w:r>
    </w:p>
    <w:p w14:paraId="5AE678B2" w14:textId="77777777" w:rsidR="007A01B3" w:rsidRPr="004F3416" w:rsidRDefault="007A01B3" w:rsidP="007A01B3">
      <w:pPr>
        <w:pStyle w:val="NormalHanging12a"/>
      </w:pPr>
      <w:r w:rsidRPr="004F3416">
        <w:t>30.</w:t>
      </w:r>
      <w:r w:rsidRPr="004F3416">
        <w:tab/>
        <w:t>uważa, że należy wspierać przenoszenie działalności przemysłowej i samowystarczalność w zakresie surowców krytycznych, aby zmniejszyć strategiczne zależności UE; proponuje, aby postępy mierzyć za pomocą wskaźników produktu, takich jak liczba projektów oraz liczba MŚP, które przeniosły się do UE, liczba utworzonych lub rozwijanych przedsiębiorstw typu start-</w:t>
      </w:r>
      <w:proofErr w:type="spellStart"/>
      <w:r w:rsidRPr="004F3416">
        <w:t>up</w:t>
      </w:r>
      <w:proofErr w:type="spellEnd"/>
      <w:r w:rsidRPr="004F3416">
        <w:t xml:space="preserve"> i </w:t>
      </w:r>
      <w:proofErr w:type="spellStart"/>
      <w:r w:rsidRPr="004F3416">
        <w:t>scale-up</w:t>
      </w:r>
      <w:proofErr w:type="spellEnd"/>
      <w:r w:rsidRPr="004F3416">
        <w:t xml:space="preserve"> – uwzględniając w stosownych przypadkach również odsetek start-</w:t>
      </w:r>
      <w:proofErr w:type="spellStart"/>
      <w:r w:rsidRPr="004F3416">
        <w:t>upów</w:t>
      </w:r>
      <w:proofErr w:type="spellEnd"/>
      <w:r w:rsidRPr="004F3416">
        <w:t xml:space="preserve"> i </w:t>
      </w:r>
      <w:proofErr w:type="spellStart"/>
      <w:r w:rsidRPr="004F3416">
        <w:t>scale-upów</w:t>
      </w:r>
      <w:proofErr w:type="spellEnd"/>
      <w:r w:rsidRPr="004F3416">
        <w:t xml:space="preserve"> zarządzanych przez kobiety – oraz liczba nowych miejsc pracy w przemyśle w wybranych regionach; uważa, że wskaźniki rezultatu mogłyby obejmować wzrost udziału surowców krytycznych importowanych od nowych partnerów strategicznych lub pozyskiwanych z UE oraz wzrost ilości (w tonach) surowców krytycznych poddanych recyklingowi, wyższą wydajność i wartość dodaną brutto w wybranych łańcuchach wartości, większą odporność dostaw oraz poprawę wyników handlowych;</w:t>
      </w:r>
    </w:p>
    <w:p w14:paraId="56B11AD5" w14:textId="77777777" w:rsidR="007A01B3" w:rsidRPr="004F3416" w:rsidRDefault="007A01B3" w:rsidP="007A01B3">
      <w:pPr>
        <w:pStyle w:val="NormalHanging12a"/>
      </w:pPr>
      <w:r w:rsidRPr="004F3416">
        <w:lastRenderedPageBreak/>
        <w:t>31.</w:t>
      </w:r>
      <w:r w:rsidRPr="004F3416">
        <w:tab/>
        <w:t>podkreśla konieczność inwestowania w inteligentne sieci, magazynowanie energii i korytarze wodorowe w celu ułatwienia tworzenia odpornego i konkurencyjnego systemu energetycznego; podkreśla, że działania te mają zasadnicze znaczenie dla ograniczenia zmienności cen energii, wzmocnienia konkurencyjności przemysłowej i zapewnienia przejścia Europy na zrównoważoną gospodarkę niskoemisyjną;</w:t>
      </w:r>
    </w:p>
    <w:p w14:paraId="635F32DF" w14:textId="77777777" w:rsidR="007A01B3" w:rsidRPr="004F3416" w:rsidRDefault="007A01B3" w:rsidP="007A01B3">
      <w:pPr>
        <w:pStyle w:val="NormalHanging12a"/>
      </w:pPr>
      <w:r w:rsidRPr="004F3416">
        <w:t>32.</w:t>
      </w:r>
      <w:r w:rsidRPr="004F3416">
        <w:tab/>
        <w:t>uważa, że należy dążyć do wspólnych przemysłowych zakupów energii oraz do dekarbonizacji przemysłu, aby zmniejszyć koszty energii i zwiększyć bezpieczeństwo dostaw, przy jednoczesnym zagwarantowaniu, że wynikające z tego środki nie będą miały nadmiernego wpływu na bezpieczeństwo energetyczne żadnego państwa członkowskiego; proponuje, aby postępy mierzyć za pomocą wskaźników produktu, takich jak liczba uczestniczących przedsiębiorstw, wielkość zakupów energii i udział energii ze źródeł odnawialnych we wspólnych umowach; uważa, że można by wykorzystać wskaźniki rezultatu, takie jak dodatkowa moc zainstalowana w produkcji energii elektrycznej (MW); uważa ponadto, że wskaźniki oddziaływania mogłyby obejmować zmiany średnich cen energii w wybranych gałęziach przemysłu, ograniczenie przerw w dostawach, wzrost zużycia czystej energii i ograniczenie emisji gazów cieplarnianych (np. w tCO2e);</w:t>
      </w:r>
    </w:p>
    <w:p w14:paraId="562F7884" w14:textId="77777777" w:rsidR="007A01B3" w:rsidRPr="004F3416" w:rsidRDefault="007A01B3" w:rsidP="007A01B3">
      <w:pPr>
        <w:pStyle w:val="NormalHanging12a"/>
      </w:pPr>
      <w:r w:rsidRPr="004F3416">
        <w:t>33.</w:t>
      </w:r>
      <w:r w:rsidRPr="004F3416">
        <w:tab/>
        <w:t>uważa, że UE powinna inwestować w talenty w sektorach strategicznych i krytycznych, aby zwiększyć długoterminową konkurencyjność dzięki kompetentnej sile roboczej, w tym przez wspieranie udziału w szkoleniach zawodowych, uczeniu się przez całe życie i rozwoju umiejętności; sugeruje, że postępy można mierzyć za pomocą wskaźników produktu, takich jak liczba ludzi przeszkolonych rocznie (ze szczególnym uwzględnieniem równowagi płci i włączenia społecznego), liczba osób, które ukończyły studia wyższe w dziedzinie nauk ścisłych, technologii, inżynierii lub matematyki (STEM) lub uczestniczyły w kursach kształcenia i szkolenia zawodowego z zakresu STEM, wskaźnik uczestnictwa w programach uczenia się dorosłych i uczenia się przez całe życie oraz wskaźnik zadowolenia przedsiębiorstw partnerskich i partnerów społecznych; uważa, że wskaźniki rezultatu mogłyby obejmować zmiany we wskaźniku zatrudnienia, wskaźniku przechodzenia ze szkolenia lub zatrudnienia na czas określony do zatrudnienia na czas nieokreślony, wskaźniku zatrudnienia, wskaźniku wzrostu płac i wskaźniku zatrzymania w docelowych sektorach;</w:t>
      </w:r>
    </w:p>
    <w:p w14:paraId="762F422E" w14:textId="77777777" w:rsidR="007A01B3" w:rsidRPr="004F3416" w:rsidRDefault="007A01B3" w:rsidP="007A01B3">
      <w:pPr>
        <w:pStyle w:val="NormalHanging12a"/>
        <w:rPr>
          <w:bCs/>
          <w:iCs/>
        </w:rPr>
      </w:pPr>
      <w:r w:rsidRPr="004F3416">
        <w:t>34.</w:t>
      </w:r>
      <w:r w:rsidRPr="004F3416">
        <w:tab/>
        <w:t>z zaniepokojeniem zauważa, że nadmierne obciążenia regulacyjne i administracyjne nadal osłabiają konkurencyjność unijnych przedsiębiorstw w porównaniu z innymi światowymi blokami gospodarczymi; podkreśla, że takie obciążenia powodują wzrost kosztów operacyjnych, zmniejszają wydajność sektorową i tworzą bariery wejścia na rynek dla nowych przedsiębiorstw, zniechęcając w ten sposób do konkurencji i innowacji; zauważa ponadto, że ten brak efektywności może również przełożyć się na wyższe ceny dla konsumentów;</w:t>
      </w:r>
    </w:p>
    <w:p w14:paraId="0E0AE3F0" w14:textId="08756316" w:rsidR="007A01B3" w:rsidRDefault="007A01B3" w:rsidP="007A01B3">
      <w:pPr>
        <w:pStyle w:val="NormalHanging12a"/>
      </w:pPr>
      <w:r w:rsidRPr="004F3416">
        <w:t>35.</w:t>
      </w:r>
      <w:r w:rsidRPr="004F3416">
        <w:tab/>
      </w:r>
      <w:r w:rsidR="003976D0" w:rsidRPr="00E52228">
        <w:t xml:space="preserve">uważa, że aby przyspieszyć zarówno transformację ekologiczną, jak i cyfrową, należy zwrócić szczególną uwagę na innowacyjne MŚP, dla których kluczowe znaczenie ma uproszczenie; podkreśla, że uproszczenie </w:t>
      </w:r>
      <w:r w:rsidR="003976D0" w:rsidRPr="008E32C1">
        <w:t>powinno koncentrować się na ograniczeniu zbędnej biurokracji</w:t>
      </w:r>
      <w:r w:rsidR="003976D0" w:rsidRPr="00E52228">
        <w:t xml:space="preserve"> i </w:t>
      </w:r>
      <w:r w:rsidR="003976D0" w:rsidRPr="008E32C1">
        <w:t xml:space="preserve">kosztów administracyjnych ponoszonych przez MŚP; podkreśla, że uproszczenia </w:t>
      </w:r>
      <w:r w:rsidR="003976D0" w:rsidRPr="00E52228">
        <w:t xml:space="preserve">należy </w:t>
      </w:r>
      <w:r w:rsidR="003976D0" w:rsidRPr="008E32C1">
        <w:t>dokonać przy jednoczesnym zapewnieniu proporcjonalnych i skutecznych ram regulacyjnych gwarantujących</w:t>
      </w:r>
      <w:r w:rsidR="003976D0" w:rsidRPr="00E52228">
        <w:t xml:space="preserve"> pewność regulacyjną, a także odpowiednią ocenę skutków; sugeruje, że postępy w zmniejszaniu obciążeń administracyjnych można mierzyć za pośrednictwem takich wskaźników jak liczba projektów zatwierdzanych i liczba projektów zrealizowanych rocznie z udziałem MŚP, spadek odsetka </w:t>
      </w:r>
      <w:proofErr w:type="spellStart"/>
      <w:r w:rsidR="003976D0" w:rsidRPr="00E52228">
        <w:t>odwołań</w:t>
      </w:r>
      <w:proofErr w:type="spellEnd"/>
      <w:r w:rsidR="003976D0" w:rsidRPr="00E52228">
        <w:t xml:space="preserve"> lub sporów związanych z procedurami składania wniosków </w:t>
      </w:r>
      <w:r w:rsidR="003976D0" w:rsidRPr="00E52228">
        <w:lastRenderedPageBreak/>
        <w:t>oraz skrócenie czasu potrzebnego na uzyskanie dostępu do finansowania UE – od złożenia wniosku do wypłaty środków</w:t>
      </w:r>
      <w:r w:rsidRPr="004F3416">
        <w:t>;</w:t>
      </w:r>
    </w:p>
    <w:p w14:paraId="3A677056" w14:textId="5C93EF3B" w:rsidR="003976D0" w:rsidRPr="004F3416" w:rsidRDefault="003976D0" w:rsidP="007A01B3">
      <w:pPr>
        <w:pStyle w:val="NormalHanging12a"/>
      </w:pPr>
      <w:r w:rsidRPr="003976D0">
        <w:t>3</w:t>
      </w:r>
      <w:r>
        <w:t>6</w:t>
      </w:r>
      <w:r w:rsidRPr="003976D0">
        <w:t>.</w:t>
      </w:r>
      <w:r w:rsidRPr="003976D0">
        <w:tab/>
        <w:t>wzywa Komisję do dalszych wzmożonych wysiłków na rzecz zmniejszenia obciążeń regulacyjnych oraz do dopilnowania, aby prawodawstwo UE było proporcjonalne, oparte na dowodach i miało wyraźną wartość dodaną dla obywatel i przedsiębiorstw; uważa, że obecne podejście „jedno więcej – jedno mniej” jest pod tym względem niewystarczające; w związku z tym wzywa do stosowania zasady „jedno więcej – dwa mniej”, zgodnie z którą wprowadzenie nowych kosztów w związku z obowiązkami regulacyjnymi jest kompensowane zmniejszeniem kosztów regulacyjnych wynikających z innych przepisów UE o co najmniej dwukrotność równoważnej kwoty, aby osiągnąć redukcję netto obciążeń regulacyjnych, a jednocześnie odrębnie traktować obciążenia dla przedsiębiorstw i administracji publicznej;</w:t>
      </w:r>
    </w:p>
    <w:p w14:paraId="52D7202A" w14:textId="77777777" w:rsidR="007A01B3" w:rsidRPr="004F3416" w:rsidRDefault="007A01B3" w:rsidP="007A01B3">
      <w:pPr>
        <w:pStyle w:val="NormalCenter12a"/>
      </w:pPr>
      <w:r w:rsidRPr="004F3416">
        <w:t>°</w:t>
      </w:r>
    </w:p>
    <w:p w14:paraId="21F9CB05" w14:textId="77777777" w:rsidR="007A01B3" w:rsidRPr="004F3416" w:rsidRDefault="007A01B3" w:rsidP="007A01B3">
      <w:pPr>
        <w:pStyle w:val="NormalCenter12a"/>
      </w:pPr>
      <w:r w:rsidRPr="004F3416">
        <w:t>°</w:t>
      </w:r>
      <w:r w:rsidRPr="004F3416">
        <w:tab/>
        <w:t>°</w:t>
      </w:r>
    </w:p>
    <w:p w14:paraId="726A7113" w14:textId="1A66F6C5" w:rsidR="00E365E1" w:rsidRPr="004F3416" w:rsidRDefault="007A01B3" w:rsidP="000C648E">
      <w:pPr>
        <w:pStyle w:val="NormalHanging12a"/>
      </w:pPr>
      <w:r w:rsidRPr="004F3416">
        <w:t>3</w:t>
      </w:r>
      <w:r w:rsidR="003976D0">
        <w:t>7</w:t>
      </w:r>
      <w:r w:rsidRPr="004F3416">
        <w:t>.</w:t>
      </w:r>
      <w:r w:rsidRPr="004F3416">
        <w:tab/>
        <w:t>zobowiązuje swoją przewodniczącą do przekazania niniejszej rezolucji Radzie i Komisji.</w:t>
      </w:r>
    </w:p>
    <w:sectPr w:rsidR="00E365E1" w:rsidRPr="004F3416" w:rsidSect="004F34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08E6" w14:textId="77777777" w:rsidR="00EA0283" w:rsidRPr="004F3416" w:rsidRDefault="00EA0283">
      <w:r w:rsidRPr="004F3416">
        <w:separator/>
      </w:r>
    </w:p>
  </w:endnote>
  <w:endnote w:type="continuationSeparator" w:id="0">
    <w:p w14:paraId="5E300494" w14:textId="77777777" w:rsidR="00EA0283" w:rsidRPr="004F3416" w:rsidRDefault="00EA0283">
      <w:r w:rsidRPr="004F34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F36F6" w14:textId="77777777" w:rsidR="00EA0283" w:rsidRPr="004F3416" w:rsidRDefault="00EA0283">
      <w:r w:rsidRPr="004F3416">
        <w:separator/>
      </w:r>
    </w:p>
  </w:footnote>
  <w:footnote w:type="continuationSeparator" w:id="0">
    <w:p w14:paraId="3E9E3F83" w14:textId="77777777" w:rsidR="00EA0283" w:rsidRPr="004F3416" w:rsidRDefault="00EA0283">
      <w:r w:rsidRPr="004F3416">
        <w:continuationSeparator/>
      </w:r>
    </w:p>
  </w:footnote>
  <w:footnote w:id="1">
    <w:p w14:paraId="46315D1B" w14:textId="1A044839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 xml:space="preserve">Dz.U. L 433 I z 22.12.2020, s. 11, ELI: </w:t>
      </w:r>
      <w:hyperlink r:id="rId1" w:tgtFrame="http://data.europa.eu/eli/reg/2020/2093/oj" w:history="1">
        <w:r w:rsidRPr="00237D04">
          <w:rPr>
            <w:rStyle w:val="Hyperlink"/>
            <w:sz w:val="24"/>
            <w:szCs w:val="24"/>
            <w:lang w:val="pl-PL"/>
          </w:rPr>
          <w:t>http://data.europa.eu/eli/reg/2020/2093/oj</w:t>
        </w:r>
      </w:hyperlink>
      <w:r w:rsidRPr="00237D04">
        <w:rPr>
          <w:sz w:val="24"/>
          <w:szCs w:val="24"/>
          <w:lang w:val="pl-PL"/>
        </w:rPr>
        <w:t>.</w:t>
      </w:r>
    </w:p>
  </w:footnote>
  <w:footnote w:id="2">
    <w:p w14:paraId="6ECDBD55" w14:textId="6B2460F9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 xml:space="preserve">Dz.U. L 325 z 20.12.2022, s. 11, ELI: </w:t>
      </w:r>
      <w:hyperlink r:id="rId2" w:tgtFrame="http://data.europa.eu/eli/reg/2022/2496/oj" w:history="1">
        <w:r w:rsidRPr="00237D04">
          <w:rPr>
            <w:rStyle w:val="Hyperlink"/>
            <w:sz w:val="24"/>
            <w:szCs w:val="24"/>
            <w:lang w:val="pl-PL"/>
          </w:rPr>
          <w:t>http://data.europa.eu/eli/reg/2022/2496/oj</w:t>
        </w:r>
      </w:hyperlink>
      <w:r w:rsidRPr="00237D04">
        <w:rPr>
          <w:sz w:val="24"/>
          <w:szCs w:val="24"/>
          <w:lang w:val="pl-PL"/>
        </w:rPr>
        <w:t>.</w:t>
      </w:r>
    </w:p>
  </w:footnote>
  <w:footnote w:id="3">
    <w:p w14:paraId="65E54EA0" w14:textId="0F6BF8F7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 xml:space="preserve">Dz.U. L, 2024/765, </w:t>
      </w:r>
      <w:proofErr w:type="gramStart"/>
      <w:r w:rsidRPr="00237D04">
        <w:rPr>
          <w:sz w:val="24"/>
          <w:szCs w:val="24"/>
          <w:lang w:val="pl-PL"/>
        </w:rPr>
        <w:t>29.2.2024</w:t>
      </w:r>
      <w:proofErr w:type="gramEnd"/>
      <w:r w:rsidRPr="00237D04">
        <w:rPr>
          <w:sz w:val="24"/>
          <w:szCs w:val="24"/>
          <w:lang w:val="pl-PL"/>
        </w:rPr>
        <w:t xml:space="preserve">, ELI: </w:t>
      </w:r>
      <w:r w:rsidR="00237D04" w:rsidRPr="000C648E">
        <w:rPr>
          <w:rStyle w:val="Hyperlink"/>
          <w:sz w:val="24"/>
          <w:szCs w:val="24"/>
        </w:rPr>
        <w:t>http://data.europa.eu/eli/reg/2024/765/oj</w:t>
      </w:r>
      <w:r w:rsidRPr="00237D04">
        <w:rPr>
          <w:sz w:val="24"/>
          <w:szCs w:val="24"/>
          <w:lang w:val="pl-PL"/>
        </w:rPr>
        <w:t>.</w:t>
      </w:r>
    </w:p>
  </w:footnote>
  <w:footnote w:id="4">
    <w:p w14:paraId="29064DEE" w14:textId="02975D2C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 xml:space="preserve">Dz.U. L 433 I z 22.12.2020, s. 28, ELI: </w:t>
      </w:r>
      <w:hyperlink r:id="rId3" w:tgtFrame="http://data.europa.eu/eli/agree_interinstit/2020/1222/oj" w:history="1">
        <w:r w:rsidRPr="00237D04">
          <w:rPr>
            <w:rStyle w:val="Hyperlink"/>
            <w:sz w:val="24"/>
            <w:szCs w:val="24"/>
            <w:lang w:val="pl-PL"/>
          </w:rPr>
          <w:t>http://data.europa.eu/eli/agree_interinstit/2020/1222/oj</w:t>
        </w:r>
      </w:hyperlink>
      <w:r w:rsidRPr="00237D04">
        <w:rPr>
          <w:sz w:val="24"/>
          <w:szCs w:val="24"/>
          <w:lang w:val="pl-PL"/>
        </w:rPr>
        <w:t>.</w:t>
      </w:r>
    </w:p>
  </w:footnote>
  <w:footnote w:id="5">
    <w:p w14:paraId="71E87C53" w14:textId="3959B3D7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 xml:space="preserve">Dz.U. L, 2024/2509, </w:t>
      </w:r>
      <w:proofErr w:type="gramStart"/>
      <w:r w:rsidRPr="00237D04">
        <w:rPr>
          <w:sz w:val="24"/>
          <w:szCs w:val="24"/>
          <w:lang w:val="pl-PL"/>
        </w:rPr>
        <w:t>26.9.2024</w:t>
      </w:r>
      <w:proofErr w:type="gramEnd"/>
      <w:r w:rsidRPr="00237D04">
        <w:rPr>
          <w:sz w:val="24"/>
          <w:szCs w:val="24"/>
          <w:lang w:val="pl-PL"/>
        </w:rPr>
        <w:t xml:space="preserve">, ELI: </w:t>
      </w:r>
      <w:hyperlink r:id="rId4" w:tgtFrame="_blank" w:tooltip="Gives access to this document through its ELI URI." w:history="1">
        <w:r w:rsidR="00237D04" w:rsidRPr="00237D04">
          <w:rPr>
            <w:color w:val="0E47CB"/>
            <w:sz w:val="24"/>
            <w:szCs w:val="24"/>
            <w:u w:val="single"/>
            <w:lang w:val="en-GB" w:eastAsia="en-GB"/>
          </w:rPr>
          <w:t>http://data.europa.eu/eli/reg/2024/2509/oj</w:t>
        </w:r>
      </w:hyperlink>
      <w:r w:rsidR="00237D04" w:rsidRPr="00237D04">
        <w:rPr>
          <w:color w:val="333333"/>
          <w:sz w:val="24"/>
          <w:szCs w:val="24"/>
          <w:shd w:val="clear" w:color="auto" w:fill="FFFFFF"/>
          <w:lang w:val="en-GB" w:eastAsia="en-GB"/>
        </w:rPr>
        <w:t>.</w:t>
      </w:r>
    </w:p>
  </w:footnote>
  <w:footnote w:id="6">
    <w:p w14:paraId="7EF66652" w14:textId="50F37E86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>Teksty przyjęte, P10_</w:t>
      </w:r>
      <w:proofErr w:type="gramStart"/>
      <w:r w:rsidRPr="00237D04">
        <w:rPr>
          <w:sz w:val="24"/>
          <w:szCs w:val="24"/>
          <w:lang w:val="pl-PL"/>
        </w:rPr>
        <w:t>TA(</w:t>
      </w:r>
      <w:proofErr w:type="gramEnd"/>
      <w:r w:rsidRPr="00237D04">
        <w:rPr>
          <w:sz w:val="24"/>
          <w:szCs w:val="24"/>
          <w:lang w:val="pl-PL"/>
        </w:rPr>
        <w:t>2025)0090.</w:t>
      </w:r>
    </w:p>
  </w:footnote>
  <w:footnote w:id="7">
    <w:p w14:paraId="4DC066D4" w14:textId="2F543BD8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>Badanie pt. „Ramy wykonania budżetu UE – koncepcje i praktyki”, Parlament Europejski, Dyrekcja Generalna ds. Polityki Wewnętrznej, Departament Tematyczny ds. Budżetu, marzec 2024 r.</w:t>
      </w:r>
    </w:p>
  </w:footnote>
  <w:footnote w:id="8">
    <w:p w14:paraId="6935A369" w14:textId="0A0C66FA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>Sprawozdanie z oceny skutków (</w:t>
      </w:r>
      <w:proofErr w:type="gramStart"/>
      <w:r w:rsidRPr="00237D04">
        <w:rPr>
          <w:sz w:val="24"/>
          <w:szCs w:val="24"/>
          <w:lang w:val="pl-PL"/>
        </w:rPr>
        <w:t>SWD(</w:t>
      </w:r>
      <w:proofErr w:type="gramEnd"/>
      <w:r w:rsidRPr="00237D04">
        <w:rPr>
          <w:sz w:val="24"/>
          <w:szCs w:val="24"/>
          <w:lang w:val="pl-PL"/>
        </w:rPr>
        <w:t>2025)0590) towarzyszące wnioskowi Komisji dotyczącemu rozporządzenia ustanawiającego ramy monitorowania wydatków budżetowych i ramy wykonania budżetu (COM(2025)0545).</w:t>
      </w:r>
    </w:p>
  </w:footnote>
  <w:footnote w:id="9">
    <w:p w14:paraId="49CAEF86" w14:textId="12BA373E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proofErr w:type="gramStart"/>
      <w:r w:rsidRPr="00237D04">
        <w:rPr>
          <w:sz w:val="24"/>
          <w:szCs w:val="24"/>
          <w:lang w:val="pl-PL"/>
        </w:rPr>
        <w:t>COM(</w:t>
      </w:r>
      <w:proofErr w:type="gramEnd"/>
      <w:r w:rsidRPr="00237D04">
        <w:rPr>
          <w:sz w:val="24"/>
          <w:szCs w:val="24"/>
          <w:lang w:val="pl-PL"/>
        </w:rPr>
        <w:t>2025)0545.</w:t>
      </w:r>
    </w:p>
  </w:footnote>
  <w:footnote w:id="10">
    <w:p w14:paraId="0953D59A" w14:textId="6F0C9578" w:rsidR="007A01B3" w:rsidRPr="00237D04" w:rsidRDefault="007A01B3" w:rsidP="004F3416">
      <w:pPr>
        <w:pStyle w:val="FootnoteText"/>
        <w:ind w:left="567" w:hanging="567"/>
        <w:rPr>
          <w:sz w:val="24"/>
          <w:szCs w:val="24"/>
          <w:lang w:val="pl-PL"/>
        </w:rPr>
      </w:pPr>
      <w:r w:rsidRPr="00237D04">
        <w:rPr>
          <w:rStyle w:val="FootnoteReference"/>
          <w:sz w:val="24"/>
          <w:szCs w:val="24"/>
          <w:lang w:val="pl-PL"/>
        </w:rPr>
        <w:footnoteRef/>
      </w:r>
      <w:r w:rsidR="004F3416" w:rsidRPr="00237D04">
        <w:rPr>
          <w:sz w:val="24"/>
          <w:szCs w:val="24"/>
          <w:lang w:val="pl-PL"/>
        </w:rPr>
        <w:t xml:space="preserve"> </w:t>
      </w:r>
      <w:r w:rsidR="004F3416" w:rsidRPr="00237D04">
        <w:rPr>
          <w:sz w:val="24"/>
          <w:szCs w:val="24"/>
          <w:lang w:val="pl-PL"/>
        </w:rPr>
        <w:tab/>
      </w:r>
      <w:r w:rsidRPr="00237D04">
        <w:rPr>
          <w:sz w:val="24"/>
          <w:szCs w:val="24"/>
          <w:lang w:val="pl-PL"/>
        </w:rPr>
        <w:t>OECD (2025), „</w:t>
      </w:r>
      <w:proofErr w:type="spellStart"/>
      <w:r w:rsidRPr="00237D04">
        <w:fldChar w:fldCharType="begin"/>
      </w:r>
      <w:r w:rsidRPr="00237D04">
        <w:rPr>
          <w:sz w:val="24"/>
          <w:szCs w:val="24"/>
          <w:lang w:val="pl-PL"/>
        </w:rPr>
        <w:instrText>HYPERLINK "https://www.oecd.org/en/publications/strengthening-performance-reporting-practices_bcea6d2d-en.html"</w:instrText>
      </w:r>
      <w:r w:rsidRPr="00237D04">
        <w:fldChar w:fldCharType="separate"/>
      </w:r>
      <w:r w:rsidRPr="00237D04">
        <w:rPr>
          <w:rStyle w:val="Hyperlink"/>
          <w:sz w:val="24"/>
          <w:szCs w:val="24"/>
          <w:lang w:val="pl-PL"/>
        </w:rPr>
        <w:t>Strengthening</w:t>
      </w:r>
      <w:proofErr w:type="spellEnd"/>
      <w:r w:rsidRPr="00237D04">
        <w:rPr>
          <w:rStyle w:val="Hyperlink"/>
          <w:sz w:val="24"/>
          <w:szCs w:val="24"/>
          <w:lang w:val="pl-PL"/>
        </w:rPr>
        <w:t xml:space="preserve"> performance </w:t>
      </w:r>
      <w:proofErr w:type="spellStart"/>
      <w:r w:rsidRPr="00237D04">
        <w:rPr>
          <w:rStyle w:val="Hyperlink"/>
          <w:sz w:val="24"/>
          <w:szCs w:val="24"/>
          <w:lang w:val="pl-PL"/>
        </w:rPr>
        <w:t>reporting</w:t>
      </w:r>
      <w:proofErr w:type="spellEnd"/>
      <w:r w:rsidRPr="00237D04">
        <w:rPr>
          <w:rStyle w:val="Hyperlink"/>
          <w:sz w:val="24"/>
          <w:szCs w:val="24"/>
          <w:lang w:val="pl-PL"/>
        </w:rPr>
        <w:t xml:space="preserve"> </w:t>
      </w:r>
      <w:proofErr w:type="spellStart"/>
      <w:r w:rsidRPr="00237D04">
        <w:rPr>
          <w:rStyle w:val="Hyperlink"/>
          <w:sz w:val="24"/>
          <w:szCs w:val="24"/>
          <w:lang w:val="pl-PL"/>
        </w:rPr>
        <w:t>practices</w:t>
      </w:r>
      <w:proofErr w:type="spellEnd"/>
      <w:r w:rsidRPr="00237D04">
        <w:rPr>
          <w:rStyle w:val="Hyperlink"/>
          <w:sz w:val="24"/>
          <w:szCs w:val="24"/>
          <w:lang w:val="pl-PL"/>
        </w:rPr>
        <w:fldChar w:fldCharType="end"/>
      </w:r>
      <w:r w:rsidRPr="00237D04">
        <w:rPr>
          <w:sz w:val="24"/>
          <w:szCs w:val="24"/>
          <w:lang w:val="pl-PL"/>
        </w:rPr>
        <w:t xml:space="preserve">” [Wzmocnienie praktyk sprawozdawczości na temat wyników], OECD </w:t>
      </w:r>
      <w:proofErr w:type="spellStart"/>
      <w:r w:rsidRPr="00237D04">
        <w:rPr>
          <w:sz w:val="24"/>
          <w:szCs w:val="24"/>
          <w:lang w:val="pl-PL"/>
        </w:rPr>
        <w:t>Papers</w:t>
      </w:r>
      <w:proofErr w:type="spellEnd"/>
      <w:r w:rsidRPr="00237D04">
        <w:rPr>
          <w:sz w:val="24"/>
          <w:szCs w:val="24"/>
          <w:lang w:val="pl-PL"/>
        </w:rPr>
        <w:t xml:space="preserve"> on </w:t>
      </w:r>
      <w:proofErr w:type="spellStart"/>
      <w:r w:rsidRPr="00237D04">
        <w:rPr>
          <w:sz w:val="24"/>
          <w:szCs w:val="24"/>
          <w:lang w:val="pl-PL"/>
        </w:rPr>
        <w:t>Budgeting</w:t>
      </w:r>
      <w:proofErr w:type="spellEnd"/>
      <w:r w:rsidRPr="00237D04">
        <w:rPr>
          <w:sz w:val="24"/>
          <w:szCs w:val="24"/>
          <w:lang w:val="pl-PL"/>
        </w:rPr>
        <w:t>, nr 2025/07, OECD Publishing, Paryż.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0064627">
    <w:abstractNumId w:val="9"/>
  </w:num>
  <w:num w:numId="2" w16cid:durableId="459424201">
    <w:abstractNumId w:val="9"/>
  </w:num>
  <w:num w:numId="3" w16cid:durableId="1912158920">
    <w:abstractNumId w:val="7"/>
  </w:num>
  <w:num w:numId="4" w16cid:durableId="1027566435">
    <w:abstractNumId w:val="7"/>
  </w:num>
  <w:num w:numId="5" w16cid:durableId="2104842137">
    <w:abstractNumId w:val="6"/>
  </w:num>
  <w:num w:numId="6" w16cid:durableId="281880846">
    <w:abstractNumId w:val="6"/>
  </w:num>
  <w:num w:numId="7" w16cid:durableId="192234827">
    <w:abstractNumId w:val="5"/>
  </w:num>
  <w:num w:numId="8" w16cid:durableId="1074232500">
    <w:abstractNumId w:val="5"/>
  </w:num>
  <w:num w:numId="9" w16cid:durableId="1191920224">
    <w:abstractNumId w:val="4"/>
  </w:num>
  <w:num w:numId="10" w16cid:durableId="7417277">
    <w:abstractNumId w:val="4"/>
  </w:num>
  <w:num w:numId="11" w16cid:durableId="1399790976">
    <w:abstractNumId w:val="8"/>
  </w:num>
  <w:num w:numId="12" w16cid:durableId="1727685895">
    <w:abstractNumId w:val="8"/>
  </w:num>
  <w:num w:numId="13" w16cid:durableId="325203937">
    <w:abstractNumId w:val="3"/>
  </w:num>
  <w:num w:numId="14" w16cid:durableId="890117633">
    <w:abstractNumId w:val="3"/>
  </w:num>
  <w:num w:numId="15" w16cid:durableId="25718097">
    <w:abstractNumId w:val="2"/>
  </w:num>
  <w:num w:numId="16" w16cid:durableId="1164861033">
    <w:abstractNumId w:val="2"/>
  </w:num>
  <w:num w:numId="17" w16cid:durableId="1451127836">
    <w:abstractNumId w:val="1"/>
  </w:num>
  <w:num w:numId="18" w16cid:durableId="1817793948">
    <w:abstractNumId w:val="1"/>
  </w:num>
  <w:num w:numId="19" w16cid:durableId="1790585562">
    <w:abstractNumId w:val="0"/>
  </w:num>
  <w:num w:numId="20" w16cid:durableId="256140257">
    <w:abstractNumId w:val="0"/>
  </w:num>
  <w:num w:numId="21" w16cid:durableId="1979070284">
    <w:abstractNumId w:val="9"/>
  </w:num>
  <w:num w:numId="22" w16cid:durableId="1836534138">
    <w:abstractNumId w:val="7"/>
  </w:num>
  <w:num w:numId="23" w16cid:durableId="235870901">
    <w:abstractNumId w:val="6"/>
  </w:num>
  <w:num w:numId="24" w16cid:durableId="1402556019">
    <w:abstractNumId w:val="5"/>
  </w:num>
  <w:num w:numId="25" w16cid:durableId="1445541321">
    <w:abstractNumId w:val="4"/>
  </w:num>
  <w:num w:numId="26" w16cid:durableId="1861774061">
    <w:abstractNumId w:val="8"/>
  </w:num>
  <w:num w:numId="27" w16cid:durableId="1355494125">
    <w:abstractNumId w:val="3"/>
  </w:num>
  <w:num w:numId="28" w16cid:durableId="634024979">
    <w:abstractNumId w:val="2"/>
  </w:num>
  <w:num w:numId="29" w16cid:durableId="981732274">
    <w:abstractNumId w:val="1"/>
  </w:num>
  <w:num w:numId="30" w16cid:durableId="1511483534">
    <w:abstractNumId w:val="0"/>
  </w:num>
  <w:num w:numId="31" w16cid:durableId="1791701022">
    <w:abstractNumId w:val="9"/>
  </w:num>
  <w:num w:numId="32" w16cid:durableId="1770615004">
    <w:abstractNumId w:val="7"/>
  </w:num>
  <w:num w:numId="33" w16cid:durableId="466051489">
    <w:abstractNumId w:val="6"/>
  </w:num>
  <w:num w:numId="34" w16cid:durableId="285323">
    <w:abstractNumId w:val="5"/>
  </w:num>
  <w:num w:numId="35" w16cid:durableId="1597902293">
    <w:abstractNumId w:val="4"/>
  </w:num>
  <w:num w:numId="36" w16cid:durableId="1055664552">
    <w:abstractNumId w:val="8"/>
  </w:num>
  <w:num w:numId="37" w16cid:durableId="1115948839">
    <w:abstractNumId w:val="3"/>
  </w:num>
  <w:num w:numId="38" w16cid:durableId="1349989605">
    <w:abstractNumId w:val="2"/>
  </w:num>
  <w:num w:numId="39" w16cid:durableId="665743331">
    <w:abstractNumId w:val="1"/>
  </w:num>
  <w:num w:numId="40" w16cid:durableId="1608846482">
    <w:abstractNumId w:val="0"/>
  </w:num>
  <w:num w:numId="41" w16cid:durableId="781076004">
    <w:abstractNumId w:val="10"/>
  </w:num>
  <w:num w:numId="42" w16cid:durableId="813523561">
    <w:abstractNumId w:val="10"/>
  </w:num>
  <w:num w:numId="43" w16cid:durableId="1317109464">
    <w:abstractNumId w:val="10"/>
  </w:num>
  <w:num w:numId="44" w16cid:durableId="1097865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8/2025"/>
    <w:docVar w:name="dvlangue" w:val="PL"/>
    <w:docVar w:name="dvnumam" w:val="0"/>
    <w:docVar w:name="dvpe" w:val="778.327"/>
    <w:docVar w:name="dvrapporteur" w:val="Sprawozdawca: "/>
    <w:docVar w:name="dvtitre" w:val="Rezolucja Parlamentu Europejskiego z dnia  2026 r. w sprawie wyboru wskaźników wykonania audytu i kontroli budżetowej w kontekście środków finansowych wspierających wdrażanie przyszłej europejskiej konkurencyjności(2025/2034(INI))"/>
  </w:docVars>
  <w:rsids>
    <w:rsidRoot w:val="00EA0283"/>
    <w:rsid w:val="00002272"/>
    <w:rsid w:val="00064002"/>
    <w:rsid w:val="000677B9"/>
    <w:rsid w:val="000831BA"/>
    <w:rsid w:val="000A42CC"/>
    <w:rsid w:val="000C648E"/>
    <w:rsid w:val="000E7DD9"/>
    <w:rsid w:val="0010095E"/>
    <w:rsid w:val="00125B37"/>
    <w:rsid w:val="00187494"/>
    <w:rsid w:val="001F32AE"/>
    <w:rsid w:val="00237D04"/>
    <w:rsid w:val="00265893"/>
    <w:rsid w:val="002767FF"/>
    <w:rsid w:val="002B18FE"/>
    <w:rsid w:val="002B5493"/>
    <w:rsid w:val="00343214"/>
    <w:rsid w:val="00361C00"/>
    <w:rsid w:val="00395FA1"/>
    <w:rsid w:val="003976D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41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53D"/>
    <w:rsid w:val="007A01B3"/>
    <w:rsid w:val="007D1690"/>
    <w:rsid w:val="007E22AD"/>
    <w:rsid w:val="00817416"/>
    <w:rsid w:val="00842779"/>
    <w:rsid w:val="00865F67"/>
    <w:rsid w:val="00881A7B"/>
    <w:rsid w:val="008840E5"/>
    <w:rsid w:val="00887B3E"/>
    <w:rsid w:val="008C0B1D"/>
    <w:rsid w:val="008C2AC6"/>
    <w:rsid w:val="008E32C1"/>
    <w:rsid w:val="00930C23"/>
    <w:rsid w:val="0093193B"/>
    <w:rsid w:val="009509D8"/>
    <w:rsid w:val="00950B64"/>
    <w:rsid w:val="00981893"/>
    <w:rsid w:val="00A1687D"/>
    <w:rsid w:val="00A43E52"/>
    <w:rsid w:val="00A4678D"/>
    <w:rsid w:val="00A722E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03598"/>
    <w:rsid w:val="00E365E1"/>
    <w:rsid w:val="00E820A4"/>
    <w:rsid w:val="00EA028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8B90F"/>
  <w15:chartTrackingRefBased/>
  <w15:docId w15:val="{8D278977-0029-4F42-B46B-EC7898B0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A01B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A01B3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A01B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A01B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A01B3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A01B3"/>
    <w:rPr>
      <w:sz w:val="24"/>
      <w:szCs w:val="24"/>
      <w:lang w:val="pl-PL" w:eastAsia="en-US"/>
    </w:rPr>
  </w:style>
  <w:style w:type="paragraph" w:customStyle="1" w:styleId="StyleBoldItalicAfter12pt">
    <w:name w:val="Style Bold Italic After:  12 pt"/>
    <w:basedOn w:val="Normal"/>
    <w:rsid w:val="007A01B3"/>
    <w:pPr>
      <w:spacing w:after="240"/>
    </w:pPr>
    <w:rPr>
      <w:b/>
      <w:bCs/>
      <w:i/>
      <w:iCs/>
      <w:lang w:eastAsia="en-US"/>
    </w:rPr>
  </w:style>
  <w:style w:type="paragraph" w:styleId="Revision">
    <w:name w:val="Revision"/>
    <w:hidden/>
    <w:uiPriority w:val="99"/>
    <w:semiHidden/>
    <w:rsid w:val="00237D0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4412</Words>
  <Characters>30992</Characters>
  <Application>Microsoft Office Word</Application>
  <DocSecurity>0</DocSecurity>
  <Lines>258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6</cp:revision>
  <cp:lastPrinted>2004-11-19T15:42:00Z</cp:lastPrinted>
  <dcterms:created xsi:type="dcterms:W3CDTF">2026-01-19T10:03:00Z</dcterms:created>
  <dcterms:modified xsi:type="dcterms:W3CDTF">2026-01-22T13:19:00Z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A10-0268/2025</vt:lpwstr>
  </property>
  <property fmtid="{D5CDD505-2E9C-101B-9397-08002B2CF9AE}" pid="4" name="&lt;Type&gt;">
    <vt:lpwstr>RR</vt:lpwstr>
  </property>
</Properties>
</file>