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2758" w14:paraId="17584C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8F527D" w14:textId="77777777" w:rsidR="00751A4A" w:rsidRPr="005E2758" w:rsidRDefault="00B10D72" w:rsidP="0010095E">
            <w:pPr>
              <w:pStyle w:val="EPName"/>
            </w:pPr>
            <w:r w:rsidRPr="005E2758">
              <w:t xml:space="preserve">Parlamento </w:t>
            </w:r>
            <w:proofErr w:type="gramStart"/>
            <w:r w:rsidRPr="005E2758">
              <w:t>Europeu</w:t>
            </w:r>
            <w:proofErr w:type="gramEnd"/>
          </w:p>
          <w:p w14:paraId="6E5C53C8" w14:textId="77777777" w:rsidR="00751A4A" w:rsidRPr="005E27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2758">
              <w:t>2024</w:t>
            </w:r>
            <w:r w:rsidR="00817416" w:rsidRPr="005E2758">
              <w:t>-202</w:t>
            </w:r>
            <w:r w:rsidRPr="005E2758">
              <w:t>9</w:t>
            </w:r>
          </w:p>
        </w:tc>
        <w:tc>
          <w:tcPr>
            <w:tcW w:w="2268" w:type="dxa"/>
            <w:shd w:val="clear" w:color="auto" w:fill="auto"/>
          </w:tcPr>
          <w:p w14:paraId="67071FB5" w14:textId="77777777" w:rsidR="00751A4A" w:rsidRPr="005E2758" w:rsidRDefault="00187494" w:rsidP="0010095E">
            <w:pPr>
              <w:pStyle w:val="EPLogo"/>
            </w:pPr>
            <w:r w:rsidRPr="005E2758">
              <w:rPr>
                <w:noProof/>
                <w:lang w:eastAsia="ja-JP"/>
              </w:rPr>
              <w:drawing>
                <wp:inline distT="0" distB="0" distL="0" distR="0" wp14:anchorId="7FE9A063" wp14:editId="40BAFA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8C08B3" w14:textId="77777777" w:rsidR="00D058B8" w:rsidRPr="005E2758" w:rsidRDefault="00D058B8" w:rsidP="004C5D52">
      <w:pPr>
        <w:pStyle w:val="LineTop"/>
      </w:pPr>
    </w:p>
    <w:p w14:paraId="64368461" w14:textId="77777777" w:rsidR="00680577" w:rsidRPr="005E2758" w:rsidRDefault="00B10D72" w:rsidP="00680577">
      <w:pPr>
        <w:pStyle w:val="EPBodyTA1"/>
      </w:pPr>
      <w:r w:rsidRPr="005E2758">
        <w:t>TEXTOS APROVADOS</w:t>
      </w:r>
    </w:p>
    <w:p w14:paraId="1A8176C6" w14:textId="77777777" w:rsidR="00D058B8" w:rsidRPr="005E2758" w:rsidRDefault="00D058B8" w:rsidP="00D058B8">
      <w:pPr>
        <w:pStyle w:val="LineBottom"/>
      </w:pPr>
    </w:p>
    <w:p w14:paraId="73B6553B" w14:textId="018CD8AF" w:rsidR="00B10D72" w:rsidRPr="005E2758" w:rsidRDefault="00B10D72" w:rsidP="00B10D72">
      <w:pPr>
        <w:pStyle w:val="ATHeading1"/>
      </w:pPr>
      <w:bookmarkStart w:id="0" w:name="TANumber"/>
      <w:r w:rsidRPr="005E2758">
        <w:t>P10_</w:t>
      </w:r>
      <w:proofErr w:type="gramStart"/>
      <w:r w:rsidRPr="005E2758">
        <w:t>TA(</w:t>
      </w:r>
      <w:proofErr w:type="gramEnd"/>
      <w:r w:rsidRPr="005E2758">
        <w:t>2026)</w:t>
      </w:r>
      <w:bookmarkEnd w:id="0"/>
      <w:r w:rsidR="00081D87" w:rsidRPr="005E2758">
        <w:t>0021</w:t>
      </w:r>
    </w:p>
    <w:p w14:paraId="34F0A754" w14:textId="77777777" w:rsidR="00B10D72" w:rsidRPr="005E2758" w:rsidRDefault="00B10D72" w:rsidP="00B10D72">
      <w:pPr>
        <w:pStyle w:val="ATHeading2"/>
      </w:pPr>
      <w:bookmarkStart w:id="1" w:name="title"/>
      <w:r w:rsidRPr="005E2758">
        <w:t>Escolha de indicadores de desempenho para auditoria e controlo orçamental no contexto das medidas de apoio financeiro à competitividade futura da Europa</w:t>
      </w:r>
      <w:bookmarkEnd w:id="1"/>
    </w:p>
    <w:p w14:paraId="0F5014C4" w14:textId="77777777" w:rsidR="00B10D72" w:rsidRPr="005E2758" w:rsidRDefault="00B10D72" w:rsidP="00B10D72">
      <w:pPr>
        <w:rPr>
          <w:i/>
          <w:vanish/>
        </w:rPr>
      </w:pPr>
      <w:r w:rsidRPr="005E2758">
        <w:rPr>
          <w:i/>
        </w:rPr>
        <w:fldChar w:fldCharType="begin"/>
      </w:r>
      <w:r w:rsidRPr="005E2758">
        <w:rPr>
          <w:i/>
        </w:rPr>
        <w:instrText xml:space="preserve"> TC"(</w:instrText>
      </w:r>
      <w:bookmarkStart w:id="2" w:name="DocNumber"/>
      <w:r w:rsidRPr="005E2758">
        <w:rPr>
          <w:i/>
        </w:rPr>
        <w:instrText>A10-0268/2025</w:instrText>
      </w:r>
      <w:bookmarkEnd w:id="2"/>
      <w:r w:rsidRPr="005E2758">
        <w:rPr>
          <w:i/>
        </w:rPr>
        <w:instrText xml:space="preserve"> - Relator: Olivier </w:instrText>
      </w:r>
      <w:proofErr w:type="spellStart"/>
      <w:r w:rsidRPr="005E2758">
        <w:rPr>
          <w:i/>
        </w:rPr>
        <w:instrText>Chastel</w:instrText>
      </w:r>
      <w:proofErr w:type="spellEnd"/>
      <w:r w:rsidRPr="005E2758">
        <w:rPr>
          <w:i/>
        </w:rPr>
        <w:instrText xml:space="preserve">)"\l3 \n&gt; \* MERGEFORMAT </w:instrText>
      </w:r>
      <w:r w:rsidRPr="005E2758">
        <w:rPr>
          <w:i/>
        </w:rPr>
        <w:fldChar w:fldCharType="end"/>
      </w:r>
    </w:p>
    <w:p w14:paraId="0E394F1D" w14:textId="77777777" w:rsidR="00B10D72" w:rsidRPr="005E2758" w:rsidRDefault="00B10D72" w:rsidP="00B10D72">
      <w:pPr>
        <w:rPr>
          <w:vanish/>
        </w:rPr>
      </w:pPr>
      <w:bookmarkStart w:id="3" w:name="Commission"/>
      <w:r w:rsidRPr="005E2758">
        <w:rPr>
          <w:vanish/>
        </w:rPr>
        <w:t>Comissão do Controlo Orçamental</w:t>
      </w:r>
      <w:bookmarkEnd w:id="3"/>
    </w:p>
    <w:p w14:paraId="479CCFF2" w14:textId="77777777" w:rsidR="00B10D72" w:rsidRPr="005E2758" w:rsidRDefault="00B10D72" w:rsidP="00B10D72">
      <w:pPr>
        <w:rPr>
          <w:vanish/>
        </w:rPr>
      </w:pPr>
      <w:bookmarkStart w:id="4" w:name="PE"/>
      <w:r w:rsidRPr="005E2758">
        <w:rPr>
          <w:vanish/>
        </w:rPr>
        <w:t>PE778.327</w:t>
      </w:r>
      <w:bookmarkEnd w:id="4"/>
    </w:p>
    <w:p w14:paraId="35523885" w14:textId="197FE022" w:rsidR="00B10D72" w:rsidRPr="005E2758" w:rsidRDefault="00B10D72" w:rsidP="00B10D72">
      <w:pPr>
        <w:pStyle w:val="ATHeading3"/>
      </w:pPr>
      <w:bookmarkStart w:id="5" w:name="Sujet"/>
      <w:r w:rsidRPr="005E2758">
        <w:t xml:space="preserve">Resolução do Parlamento Europeu, de </w:t>
      </w:r>
      <w:r w:rsidR="00CC4AA0" w:rsidRPr="005E2758">
        <w:t xml:space="preserve">22 </w:t>
      </w:r>
      <w:r w:rsidRPr="005E2758">
        <w:t xml:space="preserve">de </w:t>
      </w:r>
      <w:r w:rsidR="00CC4AA0" w:rsidRPr="005E2758">
        <w:t xml:space="preserve">janeiro </w:t>
      </w:r>
      <w:r w:rsidRPr="005E2758">
        <w:t>de 2026, sobre a escolha de indicadores de desempenho para auditoria e controlo orçamental no contexto das medidas de apoio financeiro à competitividade futura da Europa</w:t>
      </w:r>
      <w:bookmarkEnd w:id="5"/>
      <w:r w:rsidRPr="005E2758">
        <w:t xml:space="preserve"> </w:t>
      </w:r>
      <w:bookmarkStart w:id="6" w:name="References"/>
      <w:r w:rsidRPr="005E2758">
        <w:t>(2025/2034(INI))</w:t>
      </w:r>
      <w:bookmarkEnd w:id="6"/>
    </w:p>
    <w:p w14:paraId="4621ECAF" w14:textId="77777777" w:rsidR="00806CE3" w:rsidRPr="005E2758" w:rsidRDefault="00806CE3" w:rsidP="00806CE3">
      <w:pPr>
        <w:pStyle w:val="Normal12"/>
      </w:pPr>
      <w:r w:rsidRPr="005E2758">
        <w:rPr>
          <w:i/>
          <w:iCs/>
        </w:rPr>
        <w:t>O Parlamento Europeu,</w:t>
      </w:r>
    </w:p>
    <w:p w14:paraId="1E81C4DA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>Tendo em conta o Tratado da União Europeia,</w:t>
      </w:r>
    </w:p>
    <w:p w14:paraId="73699969" w14:textId="77777777" w:rsidR="00806CE3" w:rsidRPr="005E2758" w:rsidRDefault="00806CE3" w:rsidP="00806CE3">
      <w:pPr>
        <w:pStyle w:val="NormalHanging12a"/>
      </w:pPr>
      <w:r w:rsidRPr="005E2758">
        <w:t>–</w:t>
      </w:r>
      <w:r w:rsidRPr="005E2758">
        <w:tab/>
        <w:t>Tendo em conta o Tratado sobre o Funcionamento da União Europeia (TFUE), nomeadamente o artigo 318.º e o artigo 322.º, n.º 1, alínea a),</w:t>
      </w:r>
    </w:p>
    <w:p w14:paraId="352F5685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 xml:space="preserve">Tendo em conta o Regulamento (UE, </w:t>
      </w:r>
      <w:proofErr w:type="spellStart"/>
      <w:r w:rsidRPr="005E2758">
        <w:t>Euratom</w:t>
      </w:r>
      <w:proofErr w:type="spellEnd"/>
      <w:r w:rsidRPr="005E2758">
        <w:t>) 2020/2093 do Conselho, de 17 de dezembro de 2020, que estabelece o quadro financeiro plurianual para o período de 2021 a 2027</w:t>
      </w:r>
      <w:r w:rsidRPr="005E2758">
        <w:rPr>
          <w:rStyle w:val="FootnoteReference"/>
        </w:rPr>
        <w:footnoteReference w:id="1"/>
      </w:r>
      <w:r w:rsidRPr="005E2758">
        <w:t>,</w:t>
      </w:r>
    </w:p>
    <w:p w14:paraId="7416EC14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 xml:space="preserve">Tendo em conta o Regulamento (UE, </w:t>
      </w:r>
      <w:proofErr w:type="spellStart"/>
      <w:r w:rsidRPr="005E2758">
        <w:t>Euratom</w:t>
      </w:r>
      <w:proofErr w:type="spellEnd"/>
      <w:r w:rsidRPr="005E2758">
        <w:t xml:space="preserve">) 2022/2496 do Conselho, de 15 de dezembro de 2022, que altera o Regulamento (UE, </w:t>
      </w:r>
      <w:proofErr w:type="spellStart"/>
      <w:r w:rsidRPr="005E2758">
        <w:t>Euratom</w:t>
      </w:r>
      <w:proofErr w:type="spellEnd"/>
      <w:r w:rsidRPr="005E2758">
        <w:t>) 2020/2093, que estabelece o quadro financeiro plurianual para o período de 2021 a 2027</w:t>
      </w:r>
      <w:r w:rsidRPr="005E2758">
        <w:rPr>
          <w:rStyle w:val="FootnoteReference"/>
        </w:rPr>
        <w:footnoteReference w:id="2"/>
      </w:r>
      <w:r w:rsidRPr="005E2758">
        <w:t>,</w:t>
      </w:r>
    </w:p>
    <w:p w14:paraId="2E6BAB36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 xml:space="preserve">Tendo em conta o Regulamento (UE, </w:t>
      </w:r>
      <w:proofErr w:type="spellStart"/>
      <w:r w:rsidRPr="005E2758">
        <w:t>Euratom</w:t>
      </w:r>
      <w:proofErr w:type="spellEnd"/>
      <w:r w:rsidRPr="005E2758">
        <w:t xml:space="preserve">) 2024/765 do Conselho, de 29 de fevereiro de 2024, que altera o Regulamento (UE, </w:t>
      </w:r>
      <w:proofErr w:type="spellStart"/>
      <w:r w:rsidRPr="005E2758">
        <w:t>Euratom</w:t>
      </w:r>
      <w:proofErr w:type="spellEnd"/>
      <w:r w:rsidRPr="005E2758">
        <w:t>) 2020/2093 que estabelece o quadro financeiro plurianual para o período de 2021 a 2027</w:t>
      </w:r>
      <w:r w:rsidRPr="005E2758">
        <w:rPr>
          <w:rStyle w:val="FootnoteReference"/>
        </w:rPr>
        <w:footnoteReference w:id="3"/>
      </w:r>
      <w:r w:rsidRPr="005E2758">
        <w:t>,</w:t>
      </w:r>
    </w:p>
    <w:p w14:paraId="7393F87A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>Tendo em conta o Acordo Interinstitucional de 16 de dezembro de 2020 entre o Parlamento Europeu, o Conselho da União Europeia e a Comissão Europeia sobre a disciplina orçamental, a cooperação em matéria orçamental e a boa gestão financeira, bem como sobre os novos recursos próprios, incluindo um roteiro para a introdução de novos recursos próprios</w:t>
      </w:r>
      <w:r w:rsidRPr="005E2758">
        <w:rPr>
          <w:rStyle w:val="FootnoteReference"/>
        </w:rPr>
        <w:footnoteReference w:id="4"/>
      </w:r>
      <w:r w:rsidRPr="005E2758">
        <w:t>,</w:t>
      </w:r>
    </w:p>
    <w:p w14:paraId="0EB05390" w14:textId="77777777" w:rsidR="00806CE3" w:rsidRPr="005E2758" w:rsidRDefault="00806CE3" w:rsidP="00806CE3">
      <w:pPr>
        <w:pStyle w:val="NormalHanging"/>
      </w:pPr>
      <w:r w:rsidRPr="005E2758">
        <w:lastRenderedPageBreak/>
        <w:t>–</w:t>
      </w:r>
      <w:r w:rsidRPr="005E2758">
        <w:tab/>
        <w:t>Tendo em conta a Comunicação da Comissão, de 8 de junho de 2021, sobre o quadro de desempenho do orçamento da UE ao abrigo do QFP 2021</w:t>
      </w:r>
      <w:r w:rsidRPr="005E2758">
        <w:noBreakHyphen/>
        <w:t>2027 (</w:t>
      </w:r>
      <w:proofErr w:type="gramStart"/>
      <w:r w:rsidRPr="005E2758">
        <w:t>COM(</w:t>
      </w:r>
      <w:proofErr w:type="gramEnd"/>
      <w:r w:rsidRPr="005E2758">
        <w:t>2021)0366) e o documento de trabalho que a acompanha (SWD(2021)0133),</w:t>
      </w:r>
    </w:p>
    <w:p w14:paraId="1D827CE1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>Tendo em conta a proposta da Comissão, de 16 de julho de 2025, de regulamento do Conselho que estabelece o quadro financeiro plurianual para o período de 2028 a 2034 (</w:t>
      </w:r>
      <w:proofErr w:type="gramStart"/>
      <w:r w:rsidRPr="005E2758">
        <w:t>COM(</w:t>
      </w:r>
      <w:proofErr w:type="gramEnd"/>
      <w:r w:rsidRPr="005E2758">
        <w:t>2025)0571),</w:t>
      </w:r>
    </w:p>
    <w:p w14:paraId="31FD74BE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>Tendo em conta a proposta da Comissão, de 16 de julho de 2025, de regulamento do Parlamento Europeu e do Conselho que estabelece um quadro de acompanhamento das despesas orçamentais e de desempenho, bem como outras regras horizontais aplicáveis aos programas e às atividades da União (</w:t>
      </w:r>
      <w:proofErr w:type="gramStart"/>
      <w:r w:rsidRPr="005E2758">
        <w:t>COM(</w:t>
      </w:r>
      <w:proofErr w:type="gramEnd"/>
      <w:r w:rsidRPr="005E2758">
        <w:t>2025)0545) e o relatório de avaliação de impacto que a acompanha (SWD(2025)0590),</w:t>
      </w:r>
    </w:p>
    <w:p w14:paraId="63746EEB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>Tendo em conta a proposta da Comissão, de 16 de julho de 2025, de regulamento do Parlamento Europeu e do Conselho, relativo à criação do Fundo Europeu de Competitividade (FEC), incluindo o programa específico para as atividades de investigação e inovação no domínio da defesa, que revoga os Regulamentos (UE) 2021/522, (UE) 2021/694, (UE) 2021/697, (UE) 2021/783 e que altera os Regulamentos (UE) 2021/696, (UE) 2023/588, (UE) [PIDEUR] (</w:t>
      </w:r>
      <w:proofErr w:type="gramStart"/>
      <w:r w:rsidRPr="005E2758">
        <w:t>COM(</w:t>
      </w:r>
      <w:proofErr w:type="gramEnd"/>
      <w:r w:rsidRPr="005E2758">
        <w:t>2025)0555),</w:t>
      </w:r>
    </w:p>
    <w:p w14:paraId="04D01BAB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 xml:space="preserve">Tendo em conta o Regulamento (UE, </w:t>
      </w:r>
      <w:proofErr w:type="spellStart"/>
      <w:r w:rsidRPr="005E2758">
        <w:t>Euratom</w:t>
      </w:r>
      <w:proofErr w:type="spellEnd"/>
      <w:r w:rsidRPr="005E2758">
        <w:t>) 2024/2509 do Parlamento Europeu e do Conselho, de 23 de setembro de 2024, relativo às regras financeiras aplicáveis ao orçamento geral da União</w:t>
      </w:r>
      <w:r w:rsidRPr="005E2758">
        <w:rPr>
          <w:rStyle w:val="FootnoteReference"/>
        </w:rPr>
        <w:footnoteReference w:id="5"/>
      </w:r>
      <w:r w:rsidRPr="005E2758">
        <w:t xml:space="preserve"> (Regulamento Financeiro), nomeadamente o artigo 33.º,</w:t>
      </w:r>
    </w:p>
    <w:p w14:paraId="3EC230FC" w14:textId="57531CD6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 xml:space="preserve">Tendo em conta a publicação, de 18 de julho de 2024, de </w:t>
      </w:r>
      <w:proofErr w:type="spellStart"/>
      <w:r w:rsidRPr="005E2758">
        <w:t>Ursula</w:t>
      </w:r>
      <w:proofErr w:type="spellEnd"/>
      <w:r w:rsidRPr="005E2758">
        <w:t xml:space="preserve"> von der </w:t>
      </w:r>
      <w:proofErr w:type="spellStart"/>
      <w:r w:rsidRPr="005E2758">
        <w:t>Leyen</w:t>
      </w:r>
      <w:proofErr w:type="spellEnd"/>
      <w:r w:rsidRPr="005E2758">
        <w:t xml:space="preserve">, intitulada «As escolhas da Europa </w:t>
      </w:r>
      <w:r w:rsidR="00CC4AA0" w:rsidRPr="005E2758">
        <w:t xml:space="preserve">– </w:t>
      </w:r>
      <w:r w:rsidRPr="005E2758">
        <w:t>Orientações políticas para a próxima Comissão Europeia 2024</w:t>
      </w:r>
      <w:r w:rsidRPr="005E2758">
        <w:noBreakHyphen/>
        <w:t>2029»,</w:t>
      </w:r>
    </w:p>
    <w:p w14:paraId="3ADE006D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 xml:space="preserve">Tendo em conta o relatório apresentado em 9 de setembro de 2024 por </w:t>
      </w:r>
      <w:proofErr w:type="spellStart"/>
      <w:r w:rsidRPr="005E2758">
        <w:t>Mario</w:t>
      </w:r>
      <w:proofErr w:type="spellEnd"/>
      <w:r w:rsidRPr="005E2758">
        <w:t> </w:t>
      </w:r>
      <w:proofErr w:type="spellStart"/>
      <w:r w:rsidRPr="005E2758">
        <w:t>Draghi</w:t>
      </w:r>
      <w:proofErr w:type="spellEnd"/>
      <w:r w:rsidRPr="005E2758">
        <w:t xml:space="preserve">, intitulado «The future </w:t>
      </w:r>
      <w:proofErr w:type="spellStart"/>
      <w:r w:rsidRPr="005E2758">
        <w:t>of</w:t>
      </w:r>
      <w:proofErr w:type="spellEnd"/>
      <w:r w:rsidRPr="005E2758">
        <w:t xml:space="preserve"> </w:t>
      </w:r>
      <w:proofErr w:type="spellStart"/>
      <w:r w:rsidRPr="005E2758">
        <w:t>European</w:t>
      </w:r>
      <w:proofErr w:type="spellEnd"/>
      <w:r w:rsidRPr="005E2758">
        <w:t xml:space="preserve"> </w:t>
      </w:r>
      <w:proofErr w:type="spellStart"/>
      <w:r w:rsidRPr="005E2758">
        <w:t>competitiveness</w:t>
      </w:r>
      <w:proofErr w:type="spellEnd"/>
      <w:r w:rsidRPr="005E2758">
        <w:t xml:space="preserve">» [O futuro da competitividade europeia] (relatório </w:t>
      </w:r>
      <w:proofErr w:type="spellStart"/>
      <w:r w:rsidRPr="005E2758">
        <w:t>Draghi</w:t>
      </w:r>
      <w:proofErr w:type="spellEnd"/>
      <w:r w:rsidRPr="005E2758">
        <w:t>),</w:t>
      </w:r>
    </w:p>
    <w:p w14:paraId="71C31702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 xml:space="preserve">Tendo em conta o relatório apresentado em 17 de abril de 2024 por Enrico </w:t>
      </w:r>
      <w:proofErr w:type="spellStart"/>
      <w:r w:rsidRPr="005E2758">
        <w:t>Letta</w:t>
      </w:r>
      <w:proofErr w:type="spellEnd"/>
      <w:r w:rsidRPr="005E2758">
        <w:t>, intitulado «</w:t>
      </w:r>
      <w:proofErr w:type="spellStart"/>
      <w:r w:rsidRPr="005E2758">
        <w:t>Much</w:t>
      </w:r>
      <w:proofErr w:type="spellEnd"/>
      <w:r w:rsidRPr="005E2758">
        <w:t xml:space="preserve"> more </w:t>
      </w:r>
      <w:proofErr w:type="spellStart"/>
      <w:r w:rsidRPr="005E2758">
        <w:t>than</w:t>
      </w:r>
      <w:proofErr w:type="spellEnd"/>
      <w:r w:rsidRPr="005E2758">
        <w:t xml:space="preserve"> a </w:t>
      </w:r>
      <w:proofErr w:type="spellStart"/>
      <w:r w:rsidRPr="005E2758">
        <w:t>market</w:t>
      </w:r>
      <w:proofErr w:type="spellEnd"/>
      <w:r w:rsidRPr="005E2758">
        <w:t xml:space="preserve">» [Muito mais do que um mercado] (relatório </w:t>
      </w:r>
      <w:proofErr w:type="spellStart"/>
      <w:r w:rsidRPr="005E2758">
        <w:t>Letta</w:t>
      </w:r>
      <w:proofErr w:type="spellEnd"/>
      <w:r w:rsidRPr="005E2758">
        <w:t>),</w:t>
      </w:r>
    </w:p>
    <w:p w14:paraId="64569785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>Tendo em conta a Comunicação da Comissão, de 29 de janeiro de 2025, intitulada «Uma Bússola para a Competitividade da UE» (</w:t>
      </w:r>
      <w:proofErr w:type="gramStart"/>
      <w:r w:rsidRPr="005E2758">
        <w:t>COM(</w:t>
      </w:r>
      <w:proofErr w:type="gramEnd"/>
      <w:r w:rsidRPr="005E2758">
        <w:t>2025)0030),</w:t>
      </w:r>
    </w:p>
    <w:p w14:paraId="68FFA374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>Tendo em conta a Comunicação da Comissão, de 11 de fevereiro de 2025, intitulada «Roteiro para o próximo quadro financeiro plurianual» (</w:t>
      </w:r>
      <w:proofErr w:type="gramStart"/>
      <w:r w:rsidRPr="005E2758">
        <w:t>COM(</w:t>
      </w:r>
      <w:proofErr w:type="gramEnd"/>
      <w:r w:rsidRPr="005E2758">
        <w:t>2025)0046),</w:t>
      </w:r>
    </w:p>
    <w:p w14:paraId="322E86B0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>Tendo em conta a sua Resolução, de 7 de maio de 2025, sobre um orçamento de longo prazo melhorado para a União num mundo em mudança</w:t>
      </w:r>
      <w:r w:rsidRPr="005E2758">
        <w:rPr>
          <w:rStyle w:val="FootnoteReference"/>
        </w:rPr>
        <w:footnoteReference w:id="6"/>
      </w:r>
      <w:r w:rsidRPr="005E2758">
        <w:t>,</w:t>
      </w:r>
    </w:p>
    <w:p w14:paraId="3DF1D6D8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>Tendo em conta as publicações do Tribunal de Contas Europeu (TCE),</w:t>
      </w:r>
    </w:p>
    <w:p w14:paraId="01CBEC32" w14:textId="2A863302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 xml:space="preserve">Tendo em conta o estudo solicitado pela sua Comissão dos Orçamentos intitulado «Performance </w:t>
      </w:r>
      <w:proofErr w:type="spellStart"/>
      <w:r w:rsidRPr="005E2758">
        <w:t>framework</w:t>
      </w:r>
      <w:proofErr w:type="spellEnd"/>
      <w:r w:rsidRPr="005E2758">
        <w:t xml:space="preserve"> for the EU budget </w:t>
      </w:r>
      <w:r w:rsidR="00CC4AA0" w:rsidRPr="005E2758">
        <w:t xml:space="preserve">– </w:t>
      </w:r>
      <w:proofErr w:type="spellStart"/>
      <w:r w:rsidRPr="005E2758">
        <w:t>Concepts</w:t>
      </w:r>
      <w:proofErr w:type="spellEnd"/>
      <w:r w:rsidRPr="005E2758">
        <w:t xml:space="preserve"> </w:t>
      </w:r>
      <w:proofErr w:type="spellStart"/>
      <w:r w:rsidRPr="005E2758">
        <w:t>and</w:t>
      </w:r>
      <w:proofErr w:type="spellEnd"/>
      <w:r w:rsidRPr="005E2758">
        <w:t xml:space="preserve"> </w:t>
      </w:r>
      <w:proofErr w:type="spellStart"/>
      <w:r w:rsidRPr="005E2758">
        <w:t>practices</w:t>
      </w:r>
      <w:proofErr w:type="spellEnd"/>
      <w:r w:rsidRPr="005E2758">
        <w:t xml:space="preserve">» [Quadro de </w:t>
      </w:r>
      <w:r w:rsidRPr="005E2758">
        <w:lastRenderedPageBreak/>
        <w:t xml:space="preserve">desempenho do orçamento da UE — Conceitos e práticas], publicado em março </w:t>
      </w:r>
      <w:r w:rsidR="00CC4AA0" w:rsidRPr="005E2758">
        <w:t>de </w:t>
      </w:r>
      <w:r w:rsidRPr="005E2758">
        <w:t>2024</w:t>
      </w:r>
      <w:r w:rsidRPr="005E2758">
        <w:rPr>
          <w:rStyle w:val="FootnoteReference"/>
        </w:rPr>
        <w:footnoteReference w:id="7"/>
      </w:r>
      <w:r w:rsidRPr="005E2758">
        <w:t>,</w:t>
      </w:r>
    </w:p>
    <w:p w14:paraId="0730F7D5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>Tendo em conta o artigo 55.º do seu Regimento,</w:t>
      </w:r>
    </w:p>
    <w:p w14:paraId="7CA06CA9" w14:textId="77777777" w:rsidR="00806CE3" w:rsidRPr="005E2758" w:rsidRDefault="00806CE3" w:rsidP="00806CE3">
      <w:pPr>
        <w:pStyle w:val="NormalHanging"/>
      </w:pPr>
      <w:r w:rsidRPr="005E2758">
        <w:t>–</w:t>
      </w:r>
      <w:r w:rsidRPr="005E2758">
        <w:tab/>
        <w:t>Tendo em conta o relatório da Comissão do Controlo Orçamental (A10</w:t>
      </w:r>
      <w:r w:rsidRPr="005E2758">
        <w:noBreakHyphen/>
        <w:t>0268/2025),</w:t>
      </w:r>
    </w:p>
    <w:p w14:paraId="31758EC4" w14:textId="6D42EC27" w:rsidR="00806CE3" w:rsidRPr="005E2758" w:rsidRDefault="00806CE3" w:rsidP="00806CE3">
      <w:pPr>
        <w:pStyle w:val="NormalHanging"/>
      </w:pPr>
      <w:r w:rsidRPr="005E2758">
        <w:t>A.</w:t>
      </w:r>
      <w:r w:rsidRPr="005E2758">
        <w:tab/>
        <w:t>Considerando que a boa gestão financeira, tal como definida no Regulamento Financeiro, exige que os fundos da UE sejam executados de acordo com os princípios da economia, da eficiência e da eficácia</w:t>
      </w:r>
      <w:r w:rsidR="00CC4AA0" w:rsidRPr="005E2758">
        <w:t>; considerando que</w:t>
      </w:r>
      <w:r w:rsidRPr="005E2758">
        <w:t xml:space="preserve"> o conceito de desempenho no que respeita ao orçamento deve estar associado à aplicação direta do princípio da boa gestão financeira;</w:t>
      </w:r>
    </w:p>
    <w:p w14:paraId="05F2B7D1" w14:textId="7EE83F00" w:rsidR="00806CE3" w:rsidRPr="005E2758" w:rsidRDefault="00806CE3" w:rsidP="00806CE3">
      <w:pPr>
        <w:pStyle w:val="NormalHanging12a"/>
        <w:rPr>
          <w:bCs/>
          <w:iCs/>
        </w:rPr>
      </w:pPr>
      <w:r w:rsidRPr="005E2758">
        <w:t>B.</w:t>
      </w:r>
      <w:r w:rsidRPr="005E2758">
        <w:tab/>
        <w:t>Considerando que o artigo 318.º do TFUE exige que a Comissão apresente anualmente ao Parlamento e ao Conselho as contas do ano financeiro findo relativas às operações orçamentais, bem como um relatório de avaliação das finanças da União baseado nos resultados obtidos</w:t>
      </w:r>
      <w:r w:rsidR="00CC4AA0" w:rsidRPr="005E2758">
        <w:t>; considerando que</w:t>
      </w:r>
      <w:r w:rsidRPr="005E2758">
        <w:t>, além disso, com base no artigo 322.º do TFUE, devem ser adotadas regras financeiras que definam as modalidades relativas à execução do orçamento e à prestação e fiscalização das contas</w:t>
      </w:r>
      <w:r w:rsidR="00CC4AA0" w:rsidRPr="005E2758">
        <w:t>; considerando que</w:t>
      </w:r>
      <w:r w:rsidRPr="005E2758">
        <w:t xml:space="preserve"> a utilização de indicadores adequados, fiáveis e transparentes para medir a obtenção de resultados e para efeitos de fiscalização pode melhorar a avaliação da execução orçamental e a comparação realizadas pelo Parlamento e pelo Conselho numa base anual;</w:t>
      </w:r>
    </w:p>
    <w:p w14:paraId="4B8292C2" w14:textId="3552E3CA" w:rsidR="00806CE3" w:rsidRPr="005E2758" w:rsidRDefault="00806CE3" w:rsidP="00806CE3">
      <w:pPr>
        <w:pStyle w:val="NormalHanging12a"/>
      </w:pPr>
      <w:r w:rsidRPr="005E2758">
        <w:t>C.</w:t>
      </w:r>
      <w:r w:rsidRPr="005E2758">
        <w:tab/>
        <w:t>Considerando que, em consonância com o Regulamento Financeiro, deve ser estabelecida uma ligação entre os objetivos fixados e os indicadores de desempenho, os resultados e os princípios da economia, da eficiência e da eficácia</w:t>
      </w:r>
      <w:r w:rsidR="00CC4AA0" w:rsidRPr="005E2758">
        <w:t>; considerando que</w:t>
      </w:r>
      <w:r w:rsidRPr="005E2758">
        <w:t xml:space="preserve"> a reformulação do Regulamento Financeiro de 2024 fortaleceu a base jurídica do quadro de desempenho e confirmou que os progressos na consecução dos objetivos devem ser acompanhados com recurso a indicadores de desempenho que cumpram os critérios RACER (relevantes, reconhecidos, credíveis, fáceis, rigorosos), se baseiem em provas científicas amplamente reconhecidas, tenham definições claras e sejam disponibilizados em formato aberto e legível por máquina</w:t>
      </w:r>
      <w:r w:rsidR="00CC4AA0" w:rsidRPr="005E2758">
        <w:t>; considerando que</w:t>
      </w:r>
      <w:r w:rsidRPr="005E2758">
        <w:t>, se for caso disso, esses indicadores devem ser repartidos por género e agregáveis</w:t>
      </w:r>
      <w:r w:rsidR="00CC4AA0" w:rsidRPr="005E2758">
        <w:t>; considerando que</w:t>
      </w:r>
      <w:r w:rsidRPr="005E2758">
        <w:t>, quando pertinente, deve ser definida uma metodologia eficaz, transparente e completa;</w:t>
      </w:r>
    </w:p>
    <w:p w14:paraId="6B450167" w14:textId="08B10A95" w:rsidR="00806CE3" w:rsidRPr="005E2758" w:rsidRDefault="00806CE3" w:rsidP="00806CE3">
      <w:pPr>
        <w:pStyle w:val="NormalHanging12a"/>
        <w:rPr>
          <w:bCs/>
          <w:iCs/>
        </w:rPr>
      </w:pPr>
      <w:r w:rsidRPr="005E2758">
        <w:t>D.</w:t>
      </w:r>
      <w:r w:rsidRPr="005E2758">
        <w:tab/>
        <w:t>Considerando que a proposta da Comissão de um regulamento que estabelece um quadro de acompanhamento das despesas orçamentais e de desempenho determina um quadro único para a orçamentação baseada no desempenho</w:t>
      </w:r>
      <w:r w:rsidR="00CC4AA0" w:rsidRPr="005E2758">
        <w:t>; considerando que</w:t>
      </w:r>
      <w:r w:rsidRPr="005E2758">
        <w:t xml:space="preserve"> a proposta define «indicador de realizações» como um indicador de desempenho quantitativo que acompanha aquilo que é diretamente produzido ou apoiado através da execução de uma atividade e «indicador de resultados» como um indicador de desempenho quantitativo que acompanha os efeitos diretos das atividades apoiadas</w:t>
      </w:r>
      <w:r w:rsidR="00CC4AA0" w:rsidRPr="005E2758">
        <w:t>; considerando que</w:t>
      </w:r>
      <w:r w:rsidRPr="005E2758">
        <w:t xml:space="preserve"> os «indicadores de impacto» são comummente utilizados para medir as tendências nos objetivos de longo prazo visados por uma intervenção</w:t>
      </w:r>
      <w:r w:rsidR="00CC4AA0" w:rsidRPr="005E2758">
        <w:t>; considerando que</w:t>
      </w:r>
      <w:r w:rsidRPr="005E2758">
        <w:t xml:space="preserve"> os «indicadores de recursos» são geralmente utilizados para medir os recursos financeiros, humanos, materiais, administrativos ou regulamentares utilizados para executar uma intervenção;</w:t>
      </w:r>
    </w:p>
    <w:p w14:paraId="5153BFF5" w14:textId="0AEFBD3D" w:rsidR="00806CE3" w:rsidRPr="005E2758" w:rsidRDefault="00806CE3" w:rsidP="00806CE3">
      <w:pPr>
        <w:pStyle w:val="NormalHanging12a"/>
      </w:pPr>
      <w:r w:rsidRPr="005E2758">
        <w:lastRenderedPageBreak/>
        <w:t>E.</w:t>
      </w:r>
      <w:r w:rsidRPr="005E2758">
        <w:tab/>
        <w:t>Considerando que a garantia da prosperidade e da competitividade sustentáveis da UE, a promoção da equidade social e o reforço da coesão regional fazem parte das prioridades políticas da Comissão para 2024</w:t>
      </w:r>
      <w:r w:rsidRPr="005E2758">
        <w:noBreakHyphen/>
        <w:t>2029</w:t>
      </w:r>
      <w:r w:rsidR="00CC4AA0" w:rsidRPr="005E2758">
        <w:t>; considerando que</w:t>
      </w:r>
      <w:r w:rsidRPr="005E2758">
        <w:t xml:space="preserve"> é necessário atrair e mobilizar o investimento privado para alcançar estes objetivos de forma eficaz, e que a conclusão da união bancária e o desenvolvimento da união da poupança e dos investimentos serão essenciais para o efeito;</w:t>
      </w:r>
    </w:p>
    <w:p w14:paraId="14F7F771" w14:textId="503E82F4" w:rsidR="00806CE3" w:rsidRPr="005E2758" w:rsidRDefault="00806CE3" w:rsidP="00806CE3">
      <w:pPr>
        <w:pStyle w:val="NormalHanging"/>
      </w:pPr>
      <w:r w:rsidRPr="005E2758">
        <w:t>F.</w:t>
      </w:r>
      <w:r w:rsidRPr="005E2758">
        <w:tab/>
        <w:t xml:space="preserve">Considerando que o relatório </w:t>
      </w:r>
      <w:proofErr w:type="spellStart"/>
      <w:r w:rsidRPr="005E2758">
        <w:t>Draghi</w:t>
      </w:r>
      <w:proofErr w:type="spellEnd"/>
      <w:r w:rsidRPr="005E2758">
        <w:t xml:space="preserve"> alertou para o facto de o declínio da competitividade da UE (agravado pelo ambiente geopolítico cada vez mais instável, juntamente com a sucessão de crises que a União enfrentou nos últimos anos) constituir uma ameaça existencial para a União</w:t>
      </w:r>
      <w:r w:rsidR="00CC4AA0" w:rsidRPr="005E2758">
        <w:t>; considerando que</w:t>
      </w:r>
      <w:r w:rsidRPr="005E2758">
        <w:t xml:space="preserve"> o relatório estima que a UE precise de mobilizar investimentos públicos e privados adicionais equivalentes a 4,4</w:t>
      </w:r>
      <w:r w:rsidRPr="005E2758">
        <w:noBreakHyphen/>
        <w:t xml:space="preserve">4,7 % do PIB da UE </w:t>
      </w:r>
      <w:r w:rsidR="006D5E32" w:rsidRPr="005E2758">
        <w:t>–</w:t>
      </w:r>
      <w:r w:rsidRPr="005E2758">
        <w:t xml:space="preserve"> aproximadamente 750</w:t>
      </w:r>
      <w:r w:rsidRPr="005E2758">
        <w:noBreakHyphen/>
        <w:t xml:space="preserve">800 mil milhões de EUR por ano entre 2025 e 2030 </w:t>
      </w:r>
      <w:r w:rsidR="006D5E32" w:rsidRPr="005E2758">
        <w:t>–</w:t>
      </w:r>
      <w:r w:rsidR="006D5E32" w:rsidRPr="005E2758">
        <w:t xml:space="preserve"> </w:t>
      </w:r>
      <w:r w:rsidRPr="005E2758">
        <w:t>para colmatar o défice de investimento;</w:t>
      </w:r>
    </w:p>
    <w:p w14:paraId="07DC70F0" w14:textId="78BCDEC1" w:rsidR="00806CE3" w:rsidRPr="005E2758" w:rsidRDefault="00806CE3" w:rsidP="00806CE3">
      <w:pPr>
        <w:pStyle w:val="NormalHanging"/>
      </w:pPr>
      <w:r w:rsidRPr="005E2758">
        <w:t>G.</w:t>
      </w:r>
      <w:r w:rsidRPr="005E2758">
        <w:tab/>
        <w:t xml:space="preserve">Considerando que a Bússola para a Competitividade define, também com base no relatório </w:t>
      </w:r>
      <w:proofErr w:type="spellStart"/>
      <w:r w:rsidRPr="005E2758">
        <w:t>Draghi</w:t>
      </w:r>
      <w:proofErr w:type="spellEnd"/>
      <w:r w:rsidRPr="005E2758">
        <w:t xml:space="preserve">, a trajetória estratégica da União para o restabelecimento da sua competitividade à escala mundial com ênfase em três pilares centrais </w:t>
      </w:r>
      <w:r w:rsidR="006D5E32" w:rsidRPr="005E2758">
        <w:t>–</w:t>
      </w:r>
      <w:r w:rsidR="006D5E32" w:rsidRPr="005E2758">
        <w:t xml:space="preserve"> </w:t>
      </w:r>
      <w:r w:rsidRPr="005E2758">
        <w:t xml:space="preserve">inovação, descarbonização e segurança económica </w:t>
      </w:r>
      <w:r w:rsidR="006D5E32" w:rsidRPr="005E2758">
        <w:t>–</w:t>
      </w:r>
      <w:r w:rsidR="006D5E32" w:rsidRPr="005E2758">
        <w:t xml:space="preserve">, </w:t>
      </w:r>
      <w:r w:rsidRPr="005E2758">
        <w:t>complementados por facilitadores horizontais como a simplificação, uma maior coordenação a nível da UE e dos Estados</w:t>
      </w:r>
      <w:r w:rsidRPr="005E2758">
        <w:noBreakHyphen/>
        <w:t xml:space="preserve">Membros e um mercado único reforçado, em consonância com o relatório </w:t>
      </w:r>
      <w:proofErr w:type="spellStart"/>
      <w:r w:rsidRPr="005E2758">
        <w:t>Letta</w:t>
      </w:r>
      <w:proofErr w:type="spellEnd"/>
      <w:r w:rsidRPr="005E2758">
        <w:t>;</w:t>
      </w:r>
    </w:p>
    <w:p w14:paraId="2EE55439" w14:textId="58109676" w:rsidR="00806CE3" w:rsidRPr="005E2758" w:rsidRDefault="00806CE3" w:rsidP="00806CE3">
      <w:pPr>
        <w:pStyle w:val="NormalHanging12a"/>
      </w:pPr>
      <w:r w:rsidRPr="005E2758">
        <w:t>H.</w:t>
      </w:r>
      <w:r w:rsidRPr="005E2758">
        <w:tab/>
        <w:t>Considerando que o TCE detetou repetidamente insuficiências na conceção, execução e responsabilização dos sistemas de medição do desempenho utilizados para os programas de financiamento da UE e defendeu uma maior utilização de indicadores de desempenho que meçam e acompanhem os efeitos a mais longo prazo das despesas da UE</w:t>
      </w:r>
      <w:r w:rsidR="00CC4AA0" w:rsidRPr="005E2758">
        <w:t>; considerando que</w:t>
      </w:r>
      <w:r w:rsidRPr="005E2758">
        <w:t xml:space="preserve"> a garantia da fiabilidade das informações sobre o desempenho é indispensável para a proteção dos interesses financeiros da UE e para reforçar a confiança do público no orçamento da UE;</w:t>
      </w:r>
    </w:p>
    <w:p w14:paraId="2EDCC88E" w14:textId="4DEAC021" w:rsidR="00806CE3" w:rsidRPr="005E2758" w:rsidRDefault="00806CE3" w:rsidP="00806CE3">
      <w:pPr>
        <w:pStyle w:val="NormalHanging12a"/>
        <w:rPr>
          <w:bCs/>
          <w:iCs/>
        </w:rPr>
      </w:pPr>
      <w:r w:rsidRPr="005E2758">
        <w:t>I.</w:t>
      </w:r>
      <w:r w:rsidRPr="005E2758">
        <w:tab/>
        <w:t>Considerando que são necessárias medidas decisivas para aumentar a competitividade da Europa, a fim de promover níveis mais elevados de produtividade, emprego e prosperidade</w:t>
      </w:r>
      <w:r w:rsidR="00CC4AA0" w:rsidRPr="005E2758">
        <w:t>; considerando que</w:t>
      </w:r>
      <w:r w:rsidRPr="005E2758">
        <w:t xml:space="preserve"> o mercado único integrado continua a ser a espinha dorsal da força económica da UE e a base da sua prosperidade a longo prazo</w:t>
      </w:r>
      <w:r w:rsidR="00CC4AA0" w:rsidRPr="005E2758">
        <w:t>; considerando que</w:t>
      </w:r>
      <w:r w:rsidRPr="005E2758">
        <w:t xml:space="preserve"> a inovação, o desenvolvimento de competências e a livre circulação de bens, serviços, capitais e mão de obra são motores essenciais da competitividade e do crescimento;</w:t>
      </w:r>
    </w:p>
    <w:p w14:paraId="6706ABC0" w14:textId="77777777" w:rsidR="00806CE3" w:rsidRPr="005E2758" w:rsidRDefault="00806CE3" w:rsidP="00806CE3">
      <w:pPr>
        <w:pStyle w:val="StyleBoldItalicAfter12pt"/>
      </w:pPr>
      <w:r w:rsidRPr="005E2758">
        <w:t>Observações gerais sobre o quadro de desempenho do orçamento da UE e a utilização de indicadores de desempenho</w:t>
      </w:r>
    </w:p>
    <w:p w14:paraId="05F7DF7D" w14:textId="77777777" w:rsidR="00806CE3" w:rsidRPr="005E2758" w:rsidRDefault="00806CE3" w:rsidP="00806CE3">
      <w:pPr>
        <w:pStyle w:val="NormalHanging12a"/>
      </w:pPr>
      <w:r w:rsidRPr="005E2758">
        <w:t>1.</w:t>
      </w:r>
      <w:r w:rsidRPr="005E2758">
        <w:tab/>
        <w:t>Recorda a necessidade de assegurar que o orçamento da UE dê resposta às prioridades políticas da União, nomeadamente o reforço da competitividade, a promoção da prosperidade sustentável e inclusiva e a garantia da soberania e independência da UE enquanto interveniente geopolítico; salienta que as alterações regulamentares são tão importantes como as medidas de financiamento para alcançar estes objetivos; sublinha que as despesas da UE devem permitir obter resultados tangíveis, em conformidade com os princípios da boa gestão financeira, e ser investidas nos domínios em que a ação conjunta da UE tenha um impacto e um valor acrescentado superiores aos de uma medida política tomada ao nível nacional ou infranacional;</w:t>
      </w:r>
    </w:p>
    <w:p w14:paraId="11455FC2" w14:textId="7A614B43" w:rsidR="00806CE3" w:rsidRPr="005E2758" w:rsidRDefault="00806CE3" w:rsidP="00806CE3">
      <w:pPr>
        <w:pStyle w:val="NormalHanging12a"/>
      </w:pPr>
      <w:r w:rsidRPr="005E2758">
        <w:lastRenderedPageBreak/>
        <w:t xml:space="preserve">2. </w:t>
      </w:r>
      <w:r w:rsidRPr="005E2758">
        <w:tab/>
        <w:t xml:space="preserve">Salienta que as medidas destinadas a reforçar a competitividade </w:t>
      </w:r>
      <w:r w:rsidR="00B63ADA" w:rsidRPr="005E2758">
        <w:t xml:space="preserve">podem contribuir para </w:t>
      </w:r>
      <w:r w:rsidRPr="005E2758">
        <w:t xml:space="preserve">benefícios </w:t>
      </w:r>
      <w:proofErr w:type="spellStart"/>
      <w:r w:rsidRPr="005E2758">
        <w:t>societais</w:t>
      </w:r>
      <w:proofErr w:type="spellEnd"/>
      <w:r w:rsidRPr="005E2758">
        <w:t xml:space="preserve"> mais amplos</w:t>
      </w:r>
      <w:r w:rsidR="00B63ADA" w:rsidRPr="005E2758">
        <w:t>, desde que continuem a centrar-se na produtividade, no crescimento e na criação de emprego</w:t>
      </w:r>
      <w:r w:rsidRPr="005E2758">
        <w:t>; insiste em que qualquer quadro global de desempenho aplicável ao orçamento da UE deve</w:t>
      </w:r>
      <w:r w:rsidR="00B63ADA" w:rsidRPr="005E2758">
        <w:t xml:space="preserve">, em primeiro lugar, </w:t>
      </w:r>
      <w:r w:rsidRPr="005E2758">
        <w:t xml:space="preserve">fornecer os resultados económicos </w:t>
      </w:r>
      <w:r w:rsidR="00B63ADA" w:rsidRPr="005E2758">
        <w:t xml:space="preserve">e os resultados mensuráveis das políticas, tendo simultaneamente em conta, se for caso disso, os efeitos </w:t>
      </w:r>
      <w:proofErr w:type="spellStart"/>
      <w:r w:rsidR="00B63ADA" w:rsidRPr="005E2758">
        <w:t>societais</w:t>
      </w:r>
      <w:proofErr w:type="spellEnd"/>
      <w:r w:rsidR="00B63ADA" w:rsidRPr="005E2758">
        <w:t xml:space="preserve"> mais amplos, sem comprometer os princípios da eficiência e da eficácia</w:t>
      </w:r>
      <w:r w:rsidRPr="005E2758">
        <w:t>;</w:t>
      </w:r>
    </w:p>
    <w:p w14:paraId="2D77426F" w14:textId="77777777" w:rsidR="00806CE3" w:rsidRPr="005E2758" w:rsidRDefault="00806CE3" w:rsidP="00806CE3">
      <w:pPr>
        <w:pStyle w:val="NormalHanging12a"/>
      </w:pPr>
      <w:r w:rsidRPr="005E2758">
        <w:t>3.</w:t>
      </w:r>
      <w:r w:rsidRPr="005E2758">
        <w:tab/>
        <w:t xml:space="preserve">Entende que é imperativo que o orçamento da UE se centre mais nos resultados e que cada euro gasto gere valor mensurável para os cidadãos e as empresas; reafirma a necessidade de definir e utilizar indicadores de desempenho específicos, mensuráveis, atingíveis, realistas e definidos no tempo (SMART, do inglês </w:t>
      </w:r>
      <w:proofErr w:type="spellStart"/>
      <w:r w:rsidRPr="005E2758">
        <w:rPr>
          <w:i/>
          <w:iCs/>
        </w:rPr>
        <w:t>specific</w:t>
      </w:r>
      <w:proofErr w:type="spellEnd"/>
      <w:r w:rsidRPr="005E2758">
        <w:rPr>
          <w:i/>
          <w:iCs/>
        </w:rPr>
        <w:t xml:space="preserve">, </w:t>
      </w:r>
      <w:proofErr w:type="spellStart"/>
      <w:r w:rsidRPr="005E2758">
        <w:rPr>
          <w:i/>
          <w:iCs/>
        </w:rPr>
        <w:t>measurable</w:t>
      </w:r>
      <w:proofErr w:type="spellEnd"/>
      <w:r w:rsidRPr="005E2758">
        <w:rPr>
          <w:i/>
          <w:iCs/>
        </w:rPr>
        <w:t xml:space="preserve">, </w:t>
      </w:r>
      <w:proofErr w:type="spellStart"/>
      <w:r w:rsidRPr="005E2758">
        <w:rPr>
          <w:i/>
          <w:iCs/>
        </w:rPr>
        <w:t>achievable</w:t>
      </w:r>
      <w:proofErr w:type="spellEnd"/>
      <w:r w:rsidRPr="005E2758">
        <w:rPr>
          <w:i/>
          <w:iCs/>
        </w:rPr>
        <w:t xml:space="preserve">, </w:t>
      </w:r>
      <w:proofErr w:type="spellStart"/>
      <w:r w:rsidRPr="005E2758">
        <w:rPr>
          <w:i/>
          <w:iCs/>
        </w:rPr>
        <w:t>relevant</w:t>
      </w:r>
      <w:proofErr w:type="spellEnd"/>
      <w:r w:rsidRPr="005E2758">
        <w:rPr>
          <w:i/>
          <w:iCs/>
        </w:rPr>
        <w:t xml:space="preserve"> </w:t>
      </w:r>
      <w:proofErr w:type="spellStart"/>
      <w:r w:rsidRPr="005E2758">
        <w:rPr>
          <w:i/>
          <w:iCs/>
        </w:rPr>
        <w:t>and</w:t>
      </w:r>
      <w:proofErr w:type="spellEnd"/>
      <w:r w:rsidRPr="005E2758">
        <w:rPr>
          <w:i/>
          <w:iCs/>
        </w:rPr>
        <w:t xml:space="preserve"> time</w:t>
      </w:r>
      <w:r w:rsidRPr="005E2758">
        <w:rPr>
          <w:i/>
          <w:iCs/>
        </w:rPr>
        <w:noBreakHyphen/>
      </w:r>
      <w:proofErr w:type="spellStart"/>
      <w:r w:rsidRPr="005E2758">
        <w:rPr>
          <w:i/>
          <w:iCs/>
        </w:rPr>
        <w:t>bound</w:t>
      </w:r>
      <w:proofErr w:type="spellEnd"/>
      <w:r w:rsidRPr="005E2758">
        <w:t xml:space="preserve">), assegurando que os recursos da UE sejam despendidos de forma eficiente, eficaz e sustentável, para acompanhar e avaliar os progressos na consecução dos objetivos estratégicos da UE; considera que todos os tipos de indicadores são essenciais para avaliar o desempenho dos programas, pelo que se deve procurar um equilíbrio entre os indicadores de recursos, de realizações, de resultados e de impacto; sublinha que os indicadores de desempenho se devem basear explicitamente nos objetivos de cada programa; salienta que os encargos administrativos envolvidos, o custo da recolha de dados e a comparabilidade e </w:t>
      </w:r>
      <w:proofErr w:type="spellStart"/>
      <w:r w:rsidRPr="005E2758">
        <w:t>agregabilidade</w:t>
      </w:r>
      <w:proofErr w:type="spellEnd"/>
      <w:r w:rsidRPr="005E2758">
        <w:t xml:space="preserve"> também devem ser tidos em conta na escolha dos indicadores adequados;</w:t>
      </w:r>
    </w:p>
    <w:p w14:paraId="533C7590" w14:textId="77777777" w:rsidR="00806CE3" w:rsidRPr="005E2758" w:rsidRDefault="00806CE3" w:rsidP="00806CE3">
      <w:pPr>
        <w:pStyle w:val="NormalHanging12a"/>
      </w:pPr>
      <w:r w:rsidRPr="005E2758">
        <w:t>4.</w:t>
      </w:r>
      <w:r w:rsidRPr="005E2758">
        <w:tab/>
        <w:t>Assinala, com preocupação, que, nas suas auditorias, o TCE constatou repetidamente que a maioria dos indicadores de desempenho utilizados para os programas de financiamento da UE são indicadores de recursos e de realizações, que não fornecem informações pertinentes sobre os progressos realizados na consecução dos objetivos das ações financiadas pela UE; lamenta, ademais, que, em muitos casos, os dados de referência relativos aos indicadores tenham sido considerados em falta e que os dados subjacentes utilizados para os indicadores não tenham sido rastreáveis nem fiáveis; manifesta preocupação pelo facto de as definições dos indicadores de desempenho divergirem entre programas de financiamento; insta a Comissão e os Estados</w:t>
      </w:r>
      <w:r w:rsidRPr="005E2758">
        <w:noBreakHyphen/>
        <w:t>Membros a assegurarem que os indicadores utilizados para projetos financiados pela UE sejam mensuráveis, verificáveis e baseados em fontes de dados fiáveis que garantam a rastreabilidade dos dados subjacentes até ao nível do contrato e do beneficiário final, com bases de referência e definições claras para evitar interpretações divergentes;</w:t>
      </w:r>
    </w:p>
    <w:p w14:paraId="5176FBF7" w14:textId="251E1A70" w:rsidR="00806CE3" w:rsidRPr="005E2758" w:rsidRDefault="00806CE3" w:rsidP="00806CE3">
      <w:pPr>
        <w:pStyle w:val="NormalHanging12a"/>
      </w:pPr>
      <w:r w:rsidRPr="005E2758">
        <w:t>5.</w:t>
      </w:r>
      <w:r w:rsidRPr="005E2758">
        <w:tab/>
        <w:t xml:space="preserve">Deplora que o quadro de desempenho do orçamento da UE para o período entre 2021 </w:t>
      </w:r>
      <w:r w:rsidR="00CC4AA0" w:rsidRPr="005E2758">
        <w:t>e </w:t>
      </w:r>
      <w:r w:rsidRPr="005E2758">
        <w:t>2027 continue a ser excessivamente complexo e fragmentado; regista com consternação a avaliação da Comissão</w:t>
      </w:r>
      <w:r w:rsidRPr="005E2758">
        <w:rPr>
          <w:rStyle w:val="FootnoteReference"/>
        </w:rPr>
        <w:footnoteReference w:id="8"/>
      </w:r>
      <w:r w:rsidRPr="005E2758">
        <w:t>, segundo a qual são utilizados mais de 5 000 indicadores de desempenho heterogéneos e não agregáveis no âmbito do quadro financeiro plurianual (QFP) 2021</w:t>
      </w:r>
      <w:r w:rsidRPr="005E2758">
        <w:noBreakHyphen/>
        <w:t>2027, o que dificulta uma avaliação abrangente da eficácia das despesas da UE com os instrumentos de financiamento, e foram definidos cerca de 7 000 marcos e metas ao abrigo do Mecanismo de Recuperação e Resiliência (MRR), que respondem a necessidades diferentes, como a avaliação do desempenho no contexto do projeto de orçamento e o acompanhamento e a avaliação dos programas, dos planos dos Estados</w:t>
      </w:r>
      <w:r w:rsidRPr="005E2758">
        <w:noBreakHyphen/>
        <w:t>Membros e dos desembolsos de pagamentos;</w:t>
      </w:r>
    </w:p>
    <w:p w14:paraId="5CAD06B9" w14:textId="77777777" w:rsidR="00806CE3" w:rsidRPr="005E2758" w:rsidRDefault="00806CE3" w:rsidP="00806CE3">
      <w:pPr>
        <w:pStyle w:val="NormalHanging12a"/>
      </w:pPr>
      <w:r w:rsidRPr="005E2758">
        <w:lastRenderedPageBreak/>
        <w:t xml:space="preserve">6. </w:t>
      </w:r>
      <w:r w:rsidRPr="005E2758">
        <w:tab/>
        <w:t>Salienta, em particular, que a conceção do MRR não garante suficiente rastreabilidade, transparência ou possibilidade de fiscalização da utilização dos fundos da UE, nem a comparabilidade dos resultados com os de outros instrumentos de despesa da UE; insta a Comissão a estabelecer um quadro de indicadores de desempenho mais abrangente, harmonizado, transparente e verificável para futuros instrumentos, assegurando que o Parlamento e o TCE possam exercer plenamente as suas responsabilidades de supervisão; exorta a Comissão a analisar a aplicação de instrumentos baseados no desempenho noutros contextos nacionais e regionais e a identificar os ensinamentos retirados;</w:t>
      </w:r>
    </w:p>
    <w:p w14:paraId="74E7D8CC" w14:textId="77777777" w:rsidR="00806CE3" w:rsidRPr="005E2758" w:rsidRDefault="00806CE3" w:rsidP="00806CE3">
      <w:pPr>
        <w:pStyle w:val="NormalHanging12a"/>
      </w:pPr>
      <w:r w:rsidRPr="005E2758">
        <w:t>7.</w:t>
      </w:r>
      <w:r w:rsidRPr="005E2758">
        <w:tab/>
        <w:t>Regista a proposta da Comissão no sentido de o QFP 2028</w:t>
      </w:r>
      <w:r w:rsidRPr="005E2758">
        <w:noBreakHyphen/>
        <w:t>2034, incluindo o Fundo Europeu de Competitividade (FEC), ser monitorizado através de um conjunto normalizado de indicadores de desempenho aplicáveis a todos os programas orçamentais da UE, tal como estabelecido na sua proposta de regulamento relativo ao desempenho</w:t>
      </w:r>
      <w:r w:rsidRPr="005E2758">
        <w:rPr>
          <w:rStyle w:val="FootnoteReference"/>
        </w:rPr>
        <w:footnoteReference w:id="9"/>
      </w:r>
      <w:r w:rsidRPr="005E2758">
        <w:t>; observa que foi proposta uma aplicação simplificada do quadro de desempenho para as garantias orçamentais e os instrumentos financeiros ao abrigo do FEC;</w:t>
      </w:r>
    </w:p>
    <w:p w14:paraId="7D74F208" w14:textId="77777777" w:rsidR="00806CE3" w:rsidRPr="005E2758" w:rsidRDefault="00806CE3" w:rsidP="00806CE3">
      <w:pPr>
        <w:pStyle w:val="NormalHanging12a"/>
      </w:pPr>
      <w:r w:rsidRPr="005E2758">
        <w:t xml:space="preserve">8. </w:t>
      </w:r>
      <w:r w:rsidRPr="005E2758">
        <w:tab/>
        <w:t>Considera que o quadro de desempenho aplicável ao orçamento da UE deve ser simplificado de modo que garanta uma abordagem harmonizada e proporcionada para medir os efeitos das despesas da UE em todos os Estados</w:t>
      </w:r>
      <w:r w:rsidRPr="005E2758">
        <w:noBreakHyphen/>
        <w:t>Membros de forma precisa, reduza os encargos administrativos globais e as obrigações de comunicação de informações, em especial, para as pequenas e médias empresas (PME) e os órgãos de poder local, e aumente a transparência ao reduzir a sobrecarga de informação, permitindo simultaneamente que os efeitos do financiamento da UE sejam plenamente tidos em conta, inclusive o valor acrescentado das intervenções da UE que não poderia ser obtido pelos Estados</w:t>
      </w:r>
      <w:r w:rsidRPr="005E2758">
        <w:noBreakHyphen/>
        <w:t>Membros agindo isoladamente; insta a Comissão a racionalizar os indicadores, a simplificar os modelos, a evitar a duplicação de pedidos de dados e a aplicar o princípio da declaração única;</w:t>
      </w:r>
    </w:p>
    <w:p w14:paraId="0A761AB7" w14:textId="77777777" w:rsidR="00806CE3" w:rsidRPr="005E2758" w:rsidRDefault="00806CE3" w:rsidP="00806CE3">
      <w:pPr>
        <w:pStyle w:val="NormalHanging12a"/>
      </w:pPr>
      <w:r w:rsidRPr="005E2758">
        <w:t>9.</w:t>
      </w:r>
      <w:r w:rsidRPr="005E2758">
        <w:tab/>
        <w:t>Entende que a melhor forma de determinar o impacto é através de avaliações; salienta que o FEC e todos os futuros instrumentos devem incluir avaliações intercalares da Comissão; insta a Comissão a assegurar que as medidas corretivas, incluindo as recomendadas pelo TCE na sequência das suas auditorias, sejam introduzidas sem demora se os resultados ficarem aquém dos objetivos;</w:t>
      </w:r>
    </w:p>
    <w:p w14:paraId="6FEB910E" w14:textId="77777777" w:rsidR="00806CE3" w:rsidRPr="005E2758" w:rsidRDefault="00806CE3" w:rsidP="00806CE3">
      <w:pPr>
        <w:pStyle w:val="NormalHanging12a"/>
      </w:pPr>
      <w:r w:rsidRPr="005E2758">
        <w:t xml:space="preserve">10. </w:t>
      </w:r>
      <w:r w:rsidRPr="005E2758">
        <w:tab/>
        <w:t xml:space="preserve">Sublinha que a simplificação não deve ser feita à custa da transparência, da responsabilização e da </w:t>
      </w:r>
      <w:proofErr w:type="spellStart"/>
      <w:r w:rsidRPr="005E2758">
        <w:t>auditabilidade</w:t>
      </w:r>
      <w:proofErr w:type="spellEnd"/>
      <w:r w:rsidRPr="005E2758">
        <w:t>, mas deve contribuir para racionalizar a comunicação de informações e tornar as informações sobre o desempenho do financiamento da UE mais acessíveis e úteis; destaca, além disso, que a redução do número de indicadores deve ser acompanhada de uma análise custo</w:t>
      </w:r>
      <w:r w:rsidRPr="005E2758">
        <w:noBreakHyphen/>
        <w:t>benefício e de uma análise dos riscos; salienta a necessidade de estabelecer ligações mais claras entre as despesas e os resultados mensuráveis das políticas;</w:t>
      </w:r>
    </w:p>
    <w:p w14:paraId="3B28B73A" w14:textId="77777777" w:rsidR="00806CE3" w:rsidRPr="005E2758" w:rsidRDefault="00806CE3" w:rsidP="00806CE3">
      <w:pPr>
        <w:pStyle w:val="NormalHanging12a"/>
      </w:pPr>
      <w:r w:rsidRPr="005E2758">
        <w:t>11.</w:t>
      </w:r>
      <w:r w:rsidRPr="005E2758">
        <w:tab/>
        <w:t>Recorda que as abordagens relativas à recolha de dados variam entre os Estados</w:t>
      </w:r>
      <w:r w:rsidRPr="005E2758">
        <w:noBreakHyphen/>
        <w:t>Membros e também dentro dos Estados</w:t>
      </w:r>
      <w:r w:rsidRPr="005E2758">
        <w:noBreakHyphen/>
        <w:t xml:space="preserve">Membros, o que dificulta a agregação e comparação de dados sobre o desempenho ao nível da UE; reitera o seu apelo à Comissão para que desenvolva infraestruturas informáticas seguras e interoperáveis, tirando simultaneamente partido da inteligência artificial, da aprendizagem automática e das capacidades de prospeção de dados, a fim de melhorar a execução das políticas e </w:t>
      </w:r>
      <w:r w:rsidRPr="005E2758">
        <w:lastRenderedPageBreak/>
        <w:t>facilitar o acompanhamento, a comunicação de informações e a supervisão; salienta que a utilização da inteligência artificial na monitorização e no tratamento de dados deve ser acompanhada de uma supervisão humana sólida e regida por princípios éticos, a fim de evitar a utilização abusiva e a discriminação ou distorções algorítmicas e assegurar a transparência e a responsabilização, garantindo simultaneamente a proteção de dados e o pleno respeito pelos direitos fundamentais;</w:t>
      </w:r>
    </w:p>
    <w:p w14:paraId="240A10B3" w14:textId="01914799" w:rsidR="00806CE3" w:rsidRPr="005E2758" w:rsidRDefault="00806CE3" w:rsidP="00806CE3">
      <w:pPr>
        <w:pStyle w:val="NormalHanging12a"/>
      </w:pPr>
      <w:r w:rsidRPr="005E2758">
        <w:t xml:space="preserve">12. </w:t>
      </w:r>
      <w:r w:rsidRPr="005E2758">
        <w:tab/>
        <w:t>Insiste em que os dados e as metodologias relativos aos indicadores sejam disponibilizados ao público em tempo real através de um sistema interoperável de acompanhamento, comunicação de informações e auditoria, o que aumentaria a transparência e garantiria a rastreabilidade até ao nível do projeto e do beneficiário final; relembra a importância da «transparência dos beneficiários finais» para os fundos da UE; salienta que o financiamento da UE, inclusivamente em regime de gestão indireta, deve ser transparente e permitir uma auditoria eficaz e a prevenção do duplo financiamento; insiste ainda em que estes dados devem incluir informações exaustivas sobre os projetos financiados;</w:t>
      </w:r>
    </w:p>
    <w:p w14:paraId="312F7AB2" w14:textId="77777777" w:rsidR="00806CE3" w:rsidRPr="005E2758" w:rsidRDefault="00806CE3" w:rsidP="00806CE3">
      <w:pPr>
        <w:pStyle w:val="NormalHanging12a"/>
      </w:pPr>
      <w:r w:rsidRPr="005E2758">
        <w:t xml:space="preserve">13. </w:t>
      </w:r>
      <w:r w:rsidRPr="005E2758">
        <w:tab/>
        <w:t>Insta a Comissão a reforçar a sua comunicação de informações sobre o desempenho, integrando as informações financeiras e de desempenho relacionadas com os fundos da UE, e a publicar resumos de desempenho e de despesas claros e fáceis de usar, incluindo resumos de uma página e quadros de indicadores interativos com conjuntos de dados legíveis por máquina, em conformidade com as recomendações da OCDE</w:t>
      </w:r>
      <w:r w:rsidRPr="005E2758">
        <w:rPr>
          <w:rStyle w:val="FootnoteReference"/>
        </w:rPr>
        <w:footnoteReference w:id="10"/>
      </w:r>
      <w:r w:rsidRPr="005E2758">
        <w:t>;</w:t>
      </w:r>
    </w:p>
    <w:p w14:paraId="0582C613" w14:textId="36C408BA" w:rsidR="00806CE3" w:rsidRPr="005E2758" w:rsidRDefault="00806CE3" w:rsidP="00806CE3">
      <w:pPr>
        <w:pStyle w:val="NormalHanging12a"/>
      </w:pPr>
      <w:r w:rsidRPr="005E2758">
        <w:t>14.</w:t>
      </w:r>
      <w:r w:rsidRPr="005E2758">
        <w:tab/>
        <w:t xml:space="preserve">Considera que é essencial verificar e garantir a fiabilidade dos dados utilizados para definir indicadores de desempenho; observa com preocupação que, devido à introdução e à utilização crescente de modelos de prestação, como o MRR, que se baseiam num financiamento não associado aos custos </w:t>
      </w:r>
      <w:r w:rsidR="00CC4AA0" w:rsidRPr="005E2758">
        <w:t xml:space="preserve">– </w:t>
      </w:r>
      <w:r w:rsidRPr="005E2758">
        <w:t xml:space="preserve">em que os desembolsos são efetuados em função do cumprimento de marcos e metas previamente estabelecidos </w:t>
      </w:r>
      <w:r w:rsidR="00CC4AA0" w:rsidRPr="005E2758">
        <w:t xml:space="preserve">– </w:t>
      </w:r>
      <w:r w:rsidRPr="005E2758">
        <w:t xml:space="preserve">as insuficiências no que toca à fiabilidade dos dados dificultam ainda mais a defesa dos interesses financeiros da UE; insiste, por conseguinte, na verificação </w:t>
      </w:r>
      <w:proofErr w:type="spellStart"/>
      <w:r w:rsidRPr="005E2758">
        <w:rPr>
          <w:i/>
          <w:iCs/>
        </w:rPr>
        <w:t>ex</w:t>
      </w:r>
      <w:proofErr w:type="spellEnd"/>
      <w:r w:rsidRPr="005E2758">
        <w:rPr>
          <w:i/>
          <w:iCs/>
        </w:rPr>
        <w:t> ante</w:t>
      </w:r>
      <w:r w:rsidRPr="005E2758">
        <w:t xml:space="preserve"> e </w:t>
      </w:r>
      <w:proofErr w:type="spellStart"/>
      <w:r w:rsidRPr="005E2758">
        <w:rPr>
          <w:i/>
          <w:iCs/>
        </w:rPr>
        <w:t>ex</w:t>
      </w:r>
      <w:proofErr w:type="spellEnd"/>
      <w:r w:rsidRPr="005E2758">
        <w:rPr>
          <w:i/>
          <w:iCs/>
        </w:rPr>
        <w:t> </w:t>
      </w:r>
      <w:proofErr w:type="spellStart"/>
      <w:r w:rsidRPr="005E2758">
        <w:rPr>
          <w:i/>
          <w:iCs/>
        </w:rPr>
        <w:t>post</w:t>
      </w:r>
      <w:proofErr w:type="spellEnd"/>
      <w:r w:rsidRPr="005E2758">
        <w:t xml:space="preserve"> obrigatória dos marcos e das metas, na comunicação sistemática de suspeitas de fraude ou de irregularidades graves ao Organismo Europeu de Luta Antifraude e à Procuradoria Europeia e na possibilidade de suspender os pagamentos;</w:t>
      </w:r>
    </w:p>
    <w:p w14:paraId="04F57E5A" w14:textId="77777777" w:rsidR="00806CE3" w:rsidRPr="005E2758" w:rsidRDefault="00806CE3" w:rsidP="00806CE3">
      <w:pPr>
        <w:pStyle w:val="NormalHanging12a"/>
      </w:pPr>
      <w:r w:rsidRPr="005E2758">
        <w:t>15.</w:t>
      </w:r>
      <w:r w:rsidRPr="005E2758">
        <w:tab/>
        <w:t>Insta a Comissão a incluir nos seus relatórios de desempenho informações substanciais sobre as medidas de controlo da qualidade aplicáveis aos indicadores de desempenho; sublinha que uma revisão regular e transparente da pertinência e fiabilidade dos indicadores é essencial para garantir a credibilidade e a confiança do público nas despesas da UE; exige que os dados sobre o desempenho comunicados pelos Estados</w:t>
      </w:r>
      <w:r w:rsidRPr="005E2758">
        <w:noBreakHyphen/>
        <w:t xml:space="preserve">Membros sejam sujeitos a uma verificação independente, nomeadamente por parte dos organismos de auditoria nacionais e do TCE, e que os resultados sejam disponibilizados ao Parlamento; solicita ainda que os relatórios de verificação e os conjuntos de dados sejam apresentados às autoridades de supervisão competentes num formato acessível, comparável e verificável, garantindo assim que os cidadãos tenham acesso aos resultados do controlo da utilização dos fundos da UE, ao mesmo tempo que </w:t>
      </w:r>
      <w:r w:rsidRPr="005E2758">
        <w:lastRenderedPageBreak/>
        <w:t>se deve velar pelo cumprimento das regras em matéria de proteção de dados e confidencialidade;</w:t>
      </w:r>
    </w:p>
    <w:p w14:paraId="58FD060E" w14:textId="77777777" w:rsidR="00806CE3" w:rsidRPr="005E2758" w:rsidRDefault="00806CE3" w:rsidP="00806CE3">
      <w:pPr>
        <w:pStyle w:val="NormalHanging12a"/>
      </w:pPr>
      <w:r w:rsidRPr="005E2758">
        <w:t>16.</w:t>
      </w:r>
      <w:r w:rsidRPr="005E2758">
        <w:tab/>
        <w:t>Salienta que uma gestão eficaz do desempenho pressupõe o respeito pelo Estado de direito e a proteção dos interesses financeiros da UE; recorda que, caso persistam deficiências graves nos sistemas de controlo, os pagamentos devem ser suspensos e devem ser aplicadas correções financeiras;</w:t>
      </w:r>
    </w:p>
    <w:p w14:paraId="7DDE2C3C" w14:textId="77777777" w:rsidR="00806CE3" w:rsidRPr="005E2758" w:rsidRDefault="00806CE3" w:rsidP="00806CE3">
      <w:pPr>
        <w:spacing w:after="240"/>
        <w:ind w:left="566" w:hanging="566"/>
        <w:rPr>
          <w:bCs/>
          <w:iCs/>
        </w:rPr>
      </w:pPr>
      <w:r w:rsidRPr="005E2758">
        <w:t>17.</w:t>
      </w:r>
      <w:r w:rsidRPr="005E2758">
        <w:tab/>
        <w:t>Considera que o Estado de direito é uma condição prévia essencial para reforçar a competitividade da UE; sublinha que os desafios ao Estado de direito afetam negativamente a confiança dos investidores, a confiança dos consumidores e a integridade do mercado único, tal como referido no relatório de 2025 da Comissão sobre o Estado de direito; entende, por conseguinte, que o quadro de desempenho do orçamento da UE deve também abranger indicadores relacionados com o Estado de direito, como o funcionamento do sistema judicial, a luta contra a corrupção e um equilíbrio de poderes eficaz, que contribuam para a segurança jurídica e um ambiente previsível para as empresas;</w:t>
      </w:r>
    </w:p>
    <w:p w14:paraId="4F54023E" w14:textId="77777777" w:rsidR="00806CE3" w:rsidRPr="005E2758" w:rsidRDefault="00806CE3" w:rsidP="00806CE3">
      <w:pPr>
        <w:pStyle w:val="StyleBoldItalicAfter12pt"/>
      </w:pPr>
      <w:r w:rsidRPr="005E2758">
        <w:t>Indicadores de desempenho relacionados com o fomento da competitividade da UE</w:t>
      </w:r>
    </w:p>
    <w:p w14:paraId="64E6D585" w14:textId="77777777" w:rsidR="00806CE3" w:rsidRPr="005E2758" w:rsidRDefault="00806CE3" w:rsidP="00806CE3">
      <w:pPr>
        <w:pStyle w:val="NormalHanging12a"/>
      </w:pPr>
      <w:r w:rsidRPr="005E2758">
        <w:t>18.</w:t>
      </w:r>
      <w:r w:rsidRPr="005E2758">
        <w:tab/>
        <w:t xml:space="preserve">Recorda que o relatório </w:t>
      </w:r>
      <w:proofErr w:type="spellStart"/>
      <w:r w:rsidRPr="005E2758">
        <w:t>Draghi</w:t>
      </w:r>
      <w:proofErr w:type="spellEnd"/>
      <w:r w:rsidRPr="005E2758">
        <w:t xml:space="preserve"> insta a UE a empreender reformas profundas para estimular a competitividade, que se centrem na inovação, na descarbonização e na defesa, e preconiza a realização de investimentos maciços em setores estratégicos como a energia verde, as infraestruturas digitais e a produção avançada, apoiada pela simplificação regulamentar e por uma maior coordenação à escala da UE; considera, a este respeito, que um quadro de desempenho e um sistema de indicadores sólidos são essenciais para acompanhar os progressos e medir os efeitos na competitividade, na força económica, na sustentabilidade e na resiliência da UE, associando simultaneamente o desempenho diretamente aos princípios da economia, da eficiência e da eficácia;</w:t>
      </w:r>
    </w:p>
    <w:p w14:paraId="069A36B9" w14:textId="77777777" w:rsidR="00806CE3" w:rsidRPr="005E2758" w:rsidRDefault="00806CE3" w:rsidP="00806CE3">
      <w:pPr>
        <w:pStyle w:val="NormalHanging12a"/>
      </w:pPr>
      <w:r w:rsidRPr="005E2758">
        <w:t>19.</w:t>
      </w:r>
      <w:r w:rsidRPr="005E2758">
        <w:tab/>
        <w:t>Salienta que as despesas orientadas para a competitividade devem dar prioridade à eficiência e aos ganhos de produtividade a longo prazo e não à redistribuição a curto prazo; sublinha que os recursos da UE devem ser canalizados para corrigir as ineficiências do mercado, estimular o investimento privado e apoiar projetos com um impacto económico mensurável e um claro valor acrescentado;</w:t>
      </w:r>
    </w:p>
    <w:p w14:paraId="6531FDCB" w14:textId="77777777" w:rsidR="00806CE3" w:rsidRPr="005E2758" w:rsidRDefault="00806CE3" w:rsidP="00806CE3">
      <w:pPr>
        <w:pStyle w:val="NormalHanging12a"/>
      </w:pPr>
      <w:r w:rsidRPr="005E2758">
        <w:t xml:space="preserve">20. </w:t>
      </w:r>
      <w:r w:rsidRPr="005E2758">
        <w:tab/>
        <w:t xml:space="preserve">Sublinha que a aplicação das recomendações do relatório </w:t>
      </w:r>
      <w:proofErr w:type="spellStart"/>
      <w:r w:rsidRPr="005E2758">
        <w:t>Draghi</w:t>
      </w:r>
      <w:proofErr w:type="spellEnd"/>
      <w:r w:rsidRPr="005E2758">
        <w:t xml:space="preserve"> deve ser acompanhada de indicadores de desempenho pertinentes, robustos e transparentes, que reflitam os progressos da UE no reforço da sua competitividade e do crescimento económico através da inovação, da liderança tecnológica e da resiliência industrial, garantindo simultaneamente a justiça social; salienta que os indicadores devem ser cuidadosamente concebidos e ter em conta não só as realizações (por exemplo, o número de projetos financiados), como também os resultados e impactos (por exemplo, aumento da produtividade, redução das emissões, criação de postos de trabalho sustentáveis e seguros, melhorias na coesão social e territorial, alterações na balança comercial, aumento da diversificação das exportações, efeito de alavanca dos programas da UE, especialmente na mobilização do investimento privado, e reforço da autonomia estratégica), a fim de medir a eficiência e a eficácia das despesas da UE; lembra que as reformas são fundamentais para alcançar os objetivos de competitividade e devem refletir</w:t>
      </w:r>
      <w:r w:rsidRPr="005E2758">
        <w:noBreakHyphen/>
        <w:t>se nos quadros de medição do desempenho;</w:t>
      </w:r>
    </w:p>
    <w:p w14:paraId="49E2437D" w14:textId="77777777" w:rsidR="00806CE3" w:rsidRPr="005E2758" w:rsidRDefault="00806CE3" w:rsidP="00806CE3">
      <w:pPr>
        <w:pStyle w:val="NormalHanging12a"/>
      </w:pPr>
      <w:r w:rsidRPr="005E2758">
        <w:lastRenderedPageBreak/>
        <w:t>21.</w:t>
      </w:r>
      <w:r w:rsidRPr="005E2758">
        <w:tab/>
        <w:t>Recorda que os indicadores relativos à absorção dos fundos ou à taxa de execução orçamental fornecem informações sobre os progressos administrativos e não sobre o impacto económico ou social real das despesas da UE; salienta que esses indicadores podem criar uma perceção enganosa de êxito quando os fundos são totalmente despendidos, mas não geram melhorias mensuráveis em matéria de inovação, investimento ou emprego; recorda que o TCE criticou repetidamente a importância excessiva das taxas de execução e dos marcos de pagamento no quadro de desempenho dos programas da UE; defende uma transição para indicadores de resultados e indicadores de impacto que reflitam os efeitos reais dos gastos da UE com a competitividade;</w:t>
      </w:r>
    </w:p>
    <w:p w14:paraId="0843FE16" w14:textId="77777777" w:rsidR="00806CE3" w:rsidRPr="005E2758" w:rsidRDefault="00806CE3" w:rsidP="00806CE3">
      <w:pPr>
        <w:pStyle w:val="NormalHanging12a"/>
      </w:pPr>
      <w:r w:rsidRPr="005E2758">
        <w:t>22.</w:t>
      </w:r>
      <w:r w:rsidRPr="005E2758">
        <w:tab/>
        <w:t>Enfatiza que a competitividade depende de um conjunto coerente de condições favoráveis, incluindo uma mão de obra qualificada e saudável, infraestruturas estratégicas eficientes, um setor financeiro sólido capaz de proporcionar financiamento adaptado à inovação, bem como instituições e mercados que funcionem bem e recompensem o desempenho e o empreendedorismo; insta a Comissão a desenvolver indicadores de desempenho específicos que reflitam estes facilitadores estruturais e o seu contributo para a produtividade e o crescimento;</w:t>
      </w:r>
    </w:p>
    <w:p w14:paraId="33774625" w14:textId="77777777" w:rsidR="00806CE3" w:rsidRPr="005E2758" w:rsidRDefault="00806CE3" w:rsidP="00806CE3">
      <w:pPr>
        <w:pStyle w:val="NormalHanging12a"/>
      </w:pPr>
      <w:r w:rsidRPr="005E2758">
        <w:t>23.</w:t>
      </w:r>
      <w:r w:rsidRPr="005E2758">
        <w:tab/>
        <w:t xml:space="preserve">Recorda que o relatório </w:t>
      </w:r>
      <w:proofErr w:type="spellStart"/>
      <w:r w:rsidRPr="005E2758">
        <w:t>Draghi</w:t>
      </w:r>
      <w:proofErr w:type="spellEnd"/>
      <w:r w:rsidRPr="005E2758">
        <w:t xml:space="preserve"> sublinha que a excelência na investigação e inovação é fundamental para a competitividade da UE e que, no âmbito do sistema de investigação e inovação da UE, incluindo o programa Horizonte Europa, deve existir apenas um critério de seleção, a saber, a excelência; reitera, a este respeito, a sua posição de que o financiamento da investigação e da inovação deve continuar a nortear</w:t>
      </w:r>
      <w:r w:rsidRPr="005E2758">
        <w:noBreakHyphen/>
        <w:t>se pelo princípio da excelência e a assentar no mérito;</w:t>
      </w:r>
    </w:p>
    <w:p w14:paraId="01CABD1B" w14:textId="77777777" w:rsidR="00806CE3" w:rsidRPr="005E2758" w:rsidRDefault="00806CE3" w:rsidP="00806CE3">
      <w:pPr>
        <w:pStyle w:val="NormalHanging12a"/>
      </w:pPr>
      <w:r w:rsidRPr="005E2758">
        <w:t>24.</w:t>
      </w:r>
      <w:r w:rsidRPr="005E2758">
        <w:tab/>
        <w:t xml:space="preserve">Salienta que os dados ao nível dos projetos devem servir de base para melhorar os relatórios de desempenho dos instrumentos financeiros executados em regime de gestão indireta, como o </w:t>
      </w:r>
      <w:proofErr w:type="spellStart"/>
      <w:r w:rsidRPr="005E2758">
        <w:t>InvestEU</w:t>
      </w:r>
      <w:proofErr w:type="spellEnd"/>
      <w:r w:rsidRPr="005E2758">
        <w:t>; observa, porém, que estes devem ter um formato normalizado e limitar</w:t>
      </w:r>
      <w:r w:rsidRPr="005E2758">
        <w:noBreakHyphen/>
        <w:t>se às informações essenciais necessárias para avaliar o sucesso do programa, como a mobilização de investimentos públicos e privados que não teriam sido possíveis sem o programa; reconhece que, devido à natureza dos instrumentos financeiros orientados para o mercado e a procura, o desempenho dos referidos programas depende da sua adoção pelo mercado, o que limita a capacidade da Comissão para estabelecer marcos e metas predefinidos;</w:t>
      </w:r>
    </w:p>
    <w:p w14:paraId="59C5691B" w14:textId="198F9367" w:rsidR="00806CE3" w:rsidRPr="005E2758" w:rsidRDefault="00806CE3" w:rsidP="00806CE3">
      <w:pPr>
        <w:pStyle w:val="NormalHanging12a"/>
      </w:pPr>
      <w:r w:rsidRPr="005E2758">
        <w:t>25.</w:t>
      </w:r>
      <w:r w:rsidRPr="005E2758">
        <w:tab/>
        <w:t>Salienta que o reforço da competitividade da Europa exige uma transição da gestão de crises a curto prazo para uma estratégia a longo prazo baseada na inovação, na eficiência, na sustentabilidade, na autonomia estratégica e na abertura mundial; exorta a um compromisso renovado no sentido de otimizar o mercado único, reduzir a fragmentação regulamentar e assegurar que os programas da UE apoiem a economia real; destaca que o êxito dos projetos de competitividade europeia depende da mobilização de capital público e privado; insta a Comissão a introduzir indicadores específicos para medir o efeito de alavanca dos fundos da UE na mobilização de investimento público e privado, o rácio entre o financiamento público e privado e o retorno do investimento alcançado;</w:t>
      </w:r>
    </w:p>
    <w:p w14:paraId="055E28C6" w14:textId="77777777" w:rsidR="00806CE3" w:rsidRPr="005E2758" w:rsidRDefault="00806CE3" w:rsidP="00806CE3">
      <w:pPr>
        <w:pStyle w:val="NormalHanging12a"/>
      </w:pPr>
      <w:r w:rsidRPr="005E2758">
        <w:t>26.</w:t>
      </w:r>
      <w:r w:rsidRPr="005E2758">
        <w:tab/>
        <w:t xml:space="preserve">Considera necessário estabelecer um quadro abrangente de avaliação dos riscos </w:t>
      </w:r>
      <w:proofErr w:type="spellStart"/>
      <w:r w:rsidRPr="005E2758">
        <w:rPr>
          <w:i/>
          <w:iCs/>
        </w:rPr>
        <w:t>ex</w:t>
      </w:r>
      <w:proofErr w:type="spellEnd"/>
      <w:r w:rsidRPr="005E2758">
        <w:rPr>
          <w:i/>
          <w:iCs/>
        </w:rPr>
        <w:t xml:space="preserve"> ante</w:t>
      </w:r>
      <w:r w:rsidRPr="005E2758">
        <w:t xml:space="preserve">, em particular para os projetos caracterizados por um perfil de alto risco e de elevada recompensa, a fim de assegurar uma avaliação equilibrada do seu valor acrescentado, custos e benefícios; sublinha que a consecução dos objetivos estratégicos da UE em matéria de competitividade exige um sistema sólido de auditoria e controlo, apoiado por </w:t>
      </w:r>
      <w:r w:rsidRPr="005E2758">
        <w:lastRenderedPageBreak/>
        <w:t>uma metodologia coerente de avaliação dos riscos; salienta que essa metodologia deve permitir níveis proporcionados de risco essenciais para promover a inovação, assegurando simultaneamente salvaguardas adequadas para a proteção do orçamento da UE, especialmente contra a fraude e os riscos não financeiros;</w:t>
      </w:r>
    </w:p>
    <w:p w14:paraId="084EF6FF" w14:textId="77777777" w:rsidR="00806CE3" w:rsidRPr="005E2758" w:rsidRDefault="00806CE3" w:rsidP="00806CE3">
      <w:pPr>
        <w:pStyle w:val="NormalHanging12a"/>
      </w:pPr>
      <w:r w:rsidRPr="005E2758">
        <w:t>27.</w:t>
      </w:r>
      <w:r w:rsidRPr="005E2758">
        <w:tab/>
        <w:t xml:space="preserve">Sugere que, a fim de avaliar melhor o impacto do financiamento da UE na competitividade, seja utilizada uma modelização macroeconómica mais exaustiva, integrando os progressos mais recentes da investigação económica; observa que os modelos que refletem a heterogeneidade das famílias e das empresas e os efeitos distributivos permitem uma avaliação </w:t>
      </w:r>
      <w:proofErr w:type="spellStart"/>
      <w:r w:rsidRPr="005E2758">
        <w:rPr>
          <w:i/>
          <w:iCs/>
        </w:rPr>
        <w:t>ex</w:t>
      </w:r>
      <w:proofErr w:type="spellEnd"/>
      <w:r w:rsidRPr="005E2758">
        <w:rPr>
          <w:i/>
          <w:iCs/>
        </w:rPr>
        <w:t xml:space="preserve"> ante</w:t>
      </w:r>
      <w:r w:rsidRPr="005E2758">
        <w:t xml:space="preserve"> mais abrangente do impacto do financiamento da UE na produtividade, no comportamento de investimento e na competitividade regional; propõe que esta abordagem seja complementada pela utilização de </w:t>
      </w:r>
      <w:proofErr w:type="spellStart"/>
      <w:r w:rsidRPr="005E2758">
        <w:t>microdados</w:t>
      </w:r>
      <w:proofErr w:type="spellEnd"/>
      <w:r w:rsidRPr="005E2758">
        <w:t xml:space="preserve"> e indicadores de desempenho regionais, a fim de melhorar a base factual para a conceção de políticas e a orientação dos fundos;</w:t>
      </w:r>
    </w:p>
    <w:p w14:paraId="5866378D" w14:textId="77777777" w:rsidR="00806CE3" w:rsidRPr="005E2758" w:rsidRDefault="00806CE3" w:rsidP="00806CE3">
      <w:pPr>
        <w:pStyle w:val="NormalHanging12a"/>
      </w:pPr>
      <w:r w:rsidRPr="005E2758">
        <w:t xml:space="preserve">28. </w:t>
      </w:r>
      <w:r w:rsidRPr="005E2758">
        <w:tab/>
        <w:t>Insta a Comissão e os Estados</w:t>
      </w:r>
      <w:r w:rsidRPr="005E2758">
        <w:noBreakHyphen/>
        <w:t>Membros a definirem e utilizarem em todos os Estados</w:t>
      </w:r>
      <w:r w:rsidRPr="005E2758">
        <w:noBreakHyphen/>
        <w:t>Membros, de forma coerente ao longo do próximo QFP, um conjunto harmonizado de indicadores principais, como os que já fazem parte do Painel Europeu da inovação, destinados a promover a competitividade, de modo que viabilize a comparabilidade, a agregação e a avaliação comparativa de dados ao nível da UE, permitindo simultaneamente a utilização de indicadores adaptados às necessidades nacionais ou regionais, quando adequado; salienta que todas as partes interessadas pertinentes devem ser consultadas na definição e revisão dos indicadores, a fim de garantir que estes refletem as necessidades reais em matéria de competitividade e que são respeitadas normas laborais e sociais elevadas;</w:t>
      </w:r>
    </w:p>
    <w:p w14:paraId="646E0EC9" w14:textId="77777777" w:rsidR="00806CE3" w:rsidRPr="005E2758" w:rsidRDefault="00806CE3" w:rsidP="00806CE3">
      <w:pPr>
        <w:pStyle w:val="NormalHanging12a"/>
      </w:pPr>
      <w:r w:rsidRPr="005E2758">
        <w:t>29.</w:t>
      </w:r>
      <w:r w:rsidRPr="005E2758">
        <w:tab/>
        <w:t>Considera que, no caso de projetos que promovam a inovação e apoiem tecnologias estratégicas, podem ser utilizados os seguintes indicadores de realizações: o volume de financiamento mobilizado do setor privado e da UE, o número de projetos financiados por setor (ou seja, inteligência artificial, quântica, biotecnologia) e o número de unicórnios, de empresas em fase de arranque e em fase de expansão criadas ou expandidas na UE que receberam financiamento da UE, bem como, quando apropriado, a percentagem de empresas em fase de arranque dirigidas por mulheres que obtiveram financiamento; entende que os indicadores de resultados podem incluir o número de patentes registadas por projetos financiados pela UE, o retorno do investimento da UE por setor, a alteração da taxa de emprego, a taxa de sobrevivência das empresas financiadas pela UE após três anos, o aumento do número de ofertas públicas iniciais (OPI) europeias, o aumento do número de empresas exportadoras e o número de empresas que atingem uma elevada intensidade digital; considera que é preciso acompanhar e comunicar indicadores de impacto, como o aumento da capacidade (produção anual) de fabrico de tecnologias profundas e digitais (por exemplo, tipos de equipamento específicos), o aumento do volume de capital de risco investido na UE, o aumento da capitalização bolsista de empresas da UE, a adoção pelo mercado e o crescimento das receitas atribuíveis a inovações financiadas pela UE;</w:t>
      </w:r>
    </w:p>
    <w:p w14:paraId="6D3A2ACE" w14:textId="5EAC73C2" w:rsidR="00806CE3" w:rsidRPr="005E2758" w:rsidRDefault="00806CE3" w:rsidP="00806CE3">
      <w:pPr>
        <w:pStyle w:val="NormalHanging12a"/>
      </w:pPr>
      <w:r w:rsidRPr="005E2758">
        <w:t>30.</w:t>
      </w:r>
      <w:r w:rsidRPr="005E2758">
        <w:tab/>
        <w:t>Defende que a relocalização industrial e a autossuficiência em matérias</w:t>
      </w:r>
      <w:r w:rsidRPr="005E2758">
        <w:noBreakHyphen/>
        <w:t xml:space="preserve">primas críticas devem ser apoiadas, a fim de reduzir as dependências estratégicas da UE; propõe que os progressos sejam medidos através de indicadores de realizações, como o número de projetos e de PME que transferiram a sua atividade para a UE, o número de empresas em fase de arranque e em fase de expansão criadas ou expandidas </w:t>
      </w:r>
      <w:r w:rsidR="002E3287" w:rsidRPr="005E2758">
        <w:t xml:space="preserve">– </w:t>
      </w:r>
      <w:r w:rsidRPr="005E2758">
        <w:t xml:space="preserve">determinando também, quando apropriado, a percentagem de empresas em fase de arranque e em fase de expansão dirigidas por mulheres </w:t>
      </w:r>
      <w:r w:rsidR="002E3287" w:rsidRPr="005E2758">
        <w:t xml:space="preserve">– </w:t>
      </w:r>
      <w:r w:rsidRPr="005E2758">
        <w:t xml:space="preserve">e o nível de criação de emprego industrial em </w:t>
      </w:r>
      <w:r w:rsidRPr="005E2758">
        <w:lastRenderedPageBreak/>
        <w:t>regiões específicas; entende que os indicadores de resultados podem incluir o aumento da quota de matérias</w:t>
      </w:r>
      <w:r w:rsidRPr="005E2758">
        <w:noBreakHyphen/>
        <w:t>primas críticas importadas de novos parceiros estratégicos ou provenientes da UE e o aumento do volume (toneladas) de matérias</w:t>
      </w:r>
      <w:r w:rsidRPr="005E2758">
        <w:noBreakHyphen/>
        <w:t>primas críticas recicladas, uma maior produtividade e valor acrescentado bruto nas cadeias de valor visadas, a maior resiliência do abastecimento e o melhor desempenho comercial;</w:t>
      </w:r>
    </w:p>
    <w:p w14:paraId="6B890F5A" w14:textId="77777777" w:rsidR="00806CE3" w:rsidRPr="005E2758" w:rsidRDefault="00806CE3" w:rsidP="00806CE3">
      <w:pPr>
        <w:pStyle w:val="NormalHanging12a"/>
      </w:pPr>
      <w:r w:rsidRPr="005E2758">
        <w:t>31.</w:t>
      </w:r>
      <w:r w:rsidRPr="005E2758">
        <w:tab/>
        <w:t xml:space="preserve">Salienta a necessidade de investir em redes inteligentes, no armazenamento de energia e em corredores de hidrogénio, a fim de facilitar um sistema energético resiliente e competitivo; sublinha que é essencial adotar medidas neste domínio para reduzir a volatilidade dos preços da energia, reforçar a competitividade industrial e assegurar a transição da Europa para uma economia sustentável e </w:t>
      </w:r>
      <w:proofErr w:type="spellStart"/>
      <w:r w:rsidRPr="005E2758">
        <w:t>hipocarbónica</w:t>
      </w:r>
      <w:proofErr w:type="spellEnd"/>
      <w:r w:rsidRPr="005E2758">
        <w:t>;</w:t>
      </w:r>
    </w:p>
    <w:p w14:paraId="041EECE8" w14:textId="77777777" w:rsidR="00806CE3" w:rsidRPr="005E2758" w:rsidRDefault="00806CE3" w:rsidP="00806CE3">
      <w:pPr>
        <w:pStyle w:val="NormalHanging12a"/>
      </w:pPr>
      <w:r w:rsidRPr="005E2758">
        <w:t>32.</w:t>
      </w:r>
      <w:r w:rsidRPr="005E2758">
        <w:tab/>
        <w:t>Considera que se deve proceder à aquisição conjunta de energia industrial e à descarbonização industrial, para reduzir os custos da energia e reforçar a segurança do aprovisionamento, garantindo simultaneamente que as medidas daí resultantes não tenham um efeitos indevidos na segurança energética de nenhum Estado</w:t>
      </w:r>
      <w:r w:rsidRPr="005E2758">
        <w:noBreakHyphen/>
        <w:t>Membro; propõe que os progressos sejam medidos com indicadores de realizações, como o número de empresas participantes, o volume de compras de energia e a quota de energias renováveis nos contratos conjuntos; entende que podem igualmente ser utilizados indicadores de resultados, tais como a capacidade energética adicional instalada na produção de eletricidade (MW); considera ainda que os indicadores de impacto podem incluir as alterações dos preços médios da energia em setores específicos, a redução da interrupção do aprovisionamento, o aumento da utilização de energias limpas e a redução das emissões de gases com efeito de estufa (por exemplo, em tCO2e);</w:t>
      </w:r>
    </w:p>
    <w:p w14:paraId="3173217A" w14:textId="77777777" w:rsidR="00806CE3" w:rsidRPr="005E2758" w:rsidRDefault="00806CE3" w:rsidP="00806CE3">
      <w:pPr>
        <w:pStyle w:val="NormalHanging12a"/>
      </w:pPr>
      <w:r w:rsidRPr="005E2758">
        <w:t>33.</w:t>
      </w:r>
      <w:r w:rsidRPr="005E2758">
        <w:tab/>
        <w:t>Defende que a UE deve investir em talentos de setores estratégicos e críticos para aumentar a sua competitividade a longo prazo através de uma mão de obra competente, apoiando nomeadamente a participação na formação profissional, na aprendizagem ao longo da vida e no desenvolvimento de competências; propõe que os progressos sejam medidos com indicadores de realizações, designadamente o número de pessoas formadas por ano (com especial destaque para o equilíbrio de género e a inclusão social), o número de pessoas com diploma universitário em ciência, tecnologia, engenharia e matemática (CTEM) ou que frequentaram cursos de ensino e formação profissionais com enfoque em CTEM, a taxa de participação em programas de educação de adultos e de aprendizagem ao longo da vida e a taxa de satisfação das empresas parceiras e dos parceiros sociais; entende que os indicadores de resultados podem incluir alterações na taxa de emprego, na taxa de transição da formação ou do emprego temporário para o emprego permanente, na percentagem de empregados, na taxa de progressão salarial e na taxa de retenção em setores específicos;</w:t>
      </w:r>
    </w:p>
    <w:p w14:paraId="28D80AB5" w14:textId="77777777" w:rsidR="00806CE3" w:rsidRPr="005E2758" w:rsidRDefault="00806CE3" w:rsidP="00806CE3">
      <w:pPr>
        <w:pStyle w:val="NormalHanging12a"/>
        <w:rPr>
          <w:bCs/>
          <w:iCs/>
        </w:rPr>
      </w:pPr>
      <w:r w:rsidRPr="005E2758">
        <w:t>34.</w:t>
      </w:r>
      <w:r w:rsidRPr="005E2758">
        <w:tab/>
        <w:t>Observa com preocupação que os encargos regulamentares e administrativos excessivos continuam a comprometer a competitividade das empresas da UE em comparação com a de outros blocos económicos mundiais; salienta que esses encargos aumentam os custos operacionais, reduzem a produtividade setorial e criam obstáculos à entrada de novas empresas no mercado, desincentivando assim a concorrência e a inovação; regista ainda que estas ineficiências podem também traduzir</w:t>
      </w:r>
      <w:r w:rsidRPr="005E2758">
        <w:noBreakHyphen/>
        <w:t>se em preços mais elevados para os consumidores;</w:t>
      </w:r>
    </w:p>
    <w:p w14:paraId="031F7CE0" w14:textId="7D63BE9D" w:rsidR="00806CE3" w:rsidRPr="005E2758" w:rsidRDefault="00806CE3" w:rsidP="00806CE3">
      <w:pPr>
        <w:pStyle w:val="NormalHanging12a"/>
      </w:pPr>
      <w:r w:rsidRPr="005E2758">
        <w:t>35.</w:t>
      </w:r>
      <w:r w:rsidRPr="005E2758">
        <w:tab/>
        <w:t xml:space="preserve">Considera que, a fim de acelerar a transição quer ecológica quer digital, deve ser dada especial atenção às PME inovadoras para as quais a simplificação é determinante; salienta que a simplificação deve </w:t>
      </w:r>
      <w:r w:rsidR="00B63ADA" w:rsidRPr="005E2758">
        <w:t xml:space="preserve">centrar-se na redução da burocracia desnecessária e </w:t>
      </w:r>
      <w:r w:rsidR="00B63ADA" w:rsidRPr="005E2758">
        <w:lastRenderedPageBreak/>
        <w:t xml:space="preserve">dos custos administrativos para as PME; enfatiza que a simplificação </w:t>
      </w:r>
      <w:r w:rsidRPr="005E2758">
        <w:t xml:space="preserve">deve ser realizada </w:t>
      </w:r>
      <w:r w:rsidR="00B63ADA" w:rsidRPr="005E2758">
        <w:t xml:space="preserve">ao mesmo tempo que se assegura um quadro regulamentar proporcionado e eficiente, </w:t>
      </w:r>
      <w:r w:rsidRPr="005E2758">
        <w:t xml:space="preserve">que garanta a segurança regulamentar e uma avaliação de impacto adequada; propõe que os progressos na redução dos encargos administrativos possam ser medidos com indicadores como o número de projetos aprovados e o número de projetos concluídos anualmente com PME, a diminuição da taxa de recursos ou litígios relacionados com os procedimentos de candidatura e a redução do tempo necessário para aceder ao financiamento da UE </w:t>
      </w:r>
      <w:r w:rsidR="00CC4AA0" w:rsidRPr="005E2758">
        <w:t xml:space="preserve">– </w:t>
      </w:r>
      <w:r w:rsidRPr="005E2758">
        <w:t>desde a candidatura até ao desembolso;</w:t>
      </w:r>
    </w:p>
    <w:p w14:paraId="11674322" w14:textId="547DCDCA" w:rsidR="00B63ADA" w:rsidRPr="005E2758" w:rsidRDefault="00052129" w:rsidP="00806CE3">
      <w:pPr>
        <w:pStyle w:val="NormalHanging12a"/>
      </w:pPr>
      <w:r w:rsidRPr="005E2758">
        <w:t>36.</w:t>
      </w:r>
      <w:r w:rsidR="00B63ADA" w:rsidRPr="005E2758">
        <w:tab/>
        <w:t>Insta a Comissão a intensificar os esforços para reduzir os encargos regulamentares e garantir que a legislação da UE seja proporcionada, baseada em dados concretos e ofereça um claro valor acrescentado aos cidadãos e às empresas; considera que a atual abordagem do «entra um, sai um» é insuficiente a este respeito; solicita, por conseguinte, a aplicação do princípio do «entra um, sai dois», segundo o qual a introdução de quaisquer novos custos através de obrigações regulamentares é compensada por reduções dos custos regulamentares decorrentes de outra legislação da UE em, pelo menos, o dobro do montante equivalente, com o objetivo de alcançar uma redução líquida dos encargos regulamentares, tratando separadamente os encargos para as empresas e a administração pública.</w:t>
      </w:r>
    </w:p>
    <w:p w14:paraId="4F106381" w14:textId="77777777" w:rsidR="00CC4AA0" w:rsidRPr="005E2758" w:rsidRDefault="00CC4AA0" w:rsidP="00CC4AA0">
      <w:pPr>
        <w:pStyle w:val="NormalHanging12a"/>
        <w:ind w:left="0" w:firstLine="0"/>
        <w:jc w:val="center"/>
      </w:pPr>
      <w:r w:rsidRPr="005E2758">
        <w:t>°</w:t>
      </w:r>
    </w:p>
    <w:p w14:paraId="47F24C55" w14:textId="77777777" w:rsidR="00CC4AA0" w:rsidRPr="005E2758" w:rsidRDefault="00CC4AA0" w:rsidP="00CC4AA0">
      <w:pPr>
        <w:pStyle w:val="NormalHanging12a"/>
        <w:ind w:left="0" w:firstLine="0"/>
        <w:jc w:val="center"/>
      </w:pPr>
      <w:r w:rsidRPr="005E2758">
        <w:t>°     °</w:t>
      </w:r>
    </w:p>
    <w:p w14:paraId="2D69A970" w14:textId="3A3AC315" w:rsidR="006F336B" w:rsidRPr="005E2758" w:rsidRDefault="00052129" w:rsidP="0041590E">
      <w:pPr>
        <w:pStyle w:val="NormalHanging12a"/>
        <w:ind w:left="0" w:firstLine="0"/>
        <w:jc w:val="both"/>
      </w:pPr>
      <w:r w:rsidRPr="005E2758">
        <w:t>37</w:t>
      </w:r>
      <w:r w:rsidR="00806CE3" w:rsidRPr="005E2758">
        <w:t>.</w:t>
      </w:r>
      <w:r w:rsidR="00806CE3" w:rsidRPr="005E2758">
        <w:tab/>
        <w:t>Encarrega a sua Presidente de transmitir a presente resolução ao Conselho e à Comissão.</w:t>
      </w:r>
    </w:p>
    <w:p w14:paraId="47100FA3" w14:textId="7289BA74" w:rsidR="00E365E1" w:rsidRPr="005E2758" w:rsidRDefault="00E365E1" w:rsidP="00CC4AA0"/>
    <w:sectPr w:rsidR="00E365E1" w:rsidRPr="005E2758" w:rsidSect="006F336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C4D75" w14:textId="77777777" w:rsidR="00B10D72" w:rsidRPr="006F336B" w:rsidRDefault="00B10D72">
      <w:r w:rsidRPr="006F336B">
        <w:separator/>
      </w:r>
    </w:p>
  </w:endnote>
  <w:endnote w:type="continuationSeparator" w:id="0">
    <w:p w14:paraId="597BA1C4" w14:textId="77777777" w:rsidR="00B10D72" w:rsidRPr="006F336B" w:rsidRDefault="00B10D72">
      <w:r w:rsidRPr="006F33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2F5D3" w14:textId="77777777" w:rsidR="00B10D72" w:rsidRPr="006F336B" w:rsidRDefault="00B10D72">
      <w:r w:rsidRPr="006F336B">
        <w:separator/>
      </w:r>
    </w:p>
  </w:footnote>
  <w:footnote w:type="continuationSeparator" w:id="0">
    <w:p w14:paraId="70DAA431" w14:textId="77777777" w:rsidR="00B10D72" w:rsidRPr="006F336B" w:rsidRDefault="00B10D72">
      <w:r w:rsidRPr="006F336B">
        <w:continuationSeparator/>
      </w:r>
    </w:p>
  </w:footnote>
  <w:footnote w:id="1">
    <w:p w14:paraId="1BDC7585" w14:textId="7D999EF8" w:rsidR="00806CE3" w:rsidRPr="0041590E" w:rsidRDefault="00806CE3" w:rsidP="006F336B">
      <w:pPr>
        <w:pStyle w:val="FootnoteText"/>
        <w:ind w:left="567" w:hanging="567"/>
        <w:rPr>
          <w:sz w:val="24"/>
          <w:lang w:val="da-DK"/>
        </w:rPr>
      </w:pPr>
      <w:r w:rsidRPr="006F336B">
        <w:rPr>
          <w:rStyle w:val="FootnoteReference"/>
          <w:sz w:val="24"/>
          <w:lang w:val="pt-PT"/>
        </w:rPr>
        <w:footnoteRef/>
      </w:r>
      <w:r w:rsidR="006F336B" w:rsidRPr="0041590E">
        <w:rPr>
          <w:sz w:val="24"/>
          <w:lang w:val="da-DK"/>
        </w:rPr>
        <w:t xml:space="preserve"> </w:t>
      </w:r>
      <w:r w:rsidR="006F336B" w:rsidRPr="0041590E">
        <w:rPr>
          <w:sz w:val="24"/>
          <w:lang w:val="da-DK"/>
        </w:rPr>
        <w:tab/>
      </w:r>
      <w:r w:rsidRPr="0041590E">
        <w:rPr>
          <w:sz w:val="24"/>
          <w:lang w:val="da-DK"/>
        </w:rPr>
        <w:t xml:space="preserve">JO L 433 I de 22.12.2020, p. 11, ELI: </w:t>
      </w:r>
      <w:hyperlink r:id="rId1" w:tgtFrame="http://data.europa.eu/eli/reg/2020/2093/oj" w:history="1">
        <w:r w:rsidRPr="0041590E">
          <w:rPr>
            <w:rStyle w:val="Hyperlink"/>
            <w:sz w:val="24"/>
            <w:lang w:val="da-DK"/>
          </w:rPr>
          <w:t>http://data.europa</w:t>
        </w:r>
        <w:r w:rsidRPr="0041590E">
          <w:rPr>
            <w:rStyle w:val="Hyperlink"/>
            <w:sz w:val="24"/>
            <w:lang w:val="da-DK"/>
          </w:rPr>
          <w:t>.</w:t>
        </w:r>
        <w:r w:rsidRPr="0041590E">
          <w:rPr>
            <w:rStyle w:val="Hyperlink"/>
            <w:sz w:val="24"/>
            <w:lang w:val="da-DK"/>
          </w:rPr>
          <w:t>eu/eli/reg/2020/2093/oj</w:t>
        </w:r>
      </w:hyperlink>
      <w:r w:rsidRPr="0041590E">
        <w:rPr>
          <w:sz w:val="24"/>
          <w:lang w:val="da-DK"/>
        </w:rPr>
        <w:t>.</w:t>
      </w:r>
    </w:p>
  </w:footnote>
  <w:footnote w:id="2">
    <w:p w14:paraId="73952902" w14:textId="57D64519" w:rsidR="00806CE3" w:rsidRPr="0041590E" w:rsidRDefault="00806CE3" w:rsidP="006F336B">
      <w:pPr>
        <w:pStyle w:val="FootnoteText"/>
        <w:ind w:left="567" w:hanging="567"/>
        <w:rPr>
          <w:sz w:val="24"/>
          <w:lang w:val="fi-FI"/>
        </w:rPr>
      </w:pPr>
      <w:r w:rsidRPr="006F336B">
        <w:rPr>
          <w:rStyle w:val="FootnoteReference"/>
          <w:sz w:val="24"/>
          <w:lang w:val="pt-PT"/>
        </w:rPr>
        <w:footnoteRef/>
      </w:r>
      <w:r w:rsidR="006F336B" w:rsidRPr="0041590E">
        <w:rPr>
          <w:sz w:val="24"/>
          <w:lang w:val="fi-FI"/>
        </w:rPr>
        <w:t xml:space="preserve"> </w:t>
      </w:r>
      <w:r w:rsidR="006F336B" w:rsidRPr="0041590E">
        <w:rPr>
          <w:sz w:val="24"/>
          <w:lang w:val="fi-FI"/>
        </w:rPr>
        <w:tab/>
      </w:r>
      <w:r w:rsidRPr="0041590E">
        <w:rPr>
          <w:sz w:val="24"/>
          <w:lang w:val="fi-FI"/>
        </w:rPr>
        <w:t xml:space="preserve">JO L 325 de 20.12.2022, p. 11, ELI: </w:t>
      </w:r>
      <w:hyperlink r:id="rId2" w:tgtFrame="http://data.europa.eu/eli/reg/2022/2496/oj" w:history="1">
        <w:r w:rsidRPr="0041590E">
          <w:rPr>
            <w:rStyle w:val="Hyperlink"/>
            <w:sz w:val="24"/>
            <w:lang w:val="fi-FI"/>
          </w:rPr>
          <w:t>http://data.europa.eu/eli/reg/2022/2496/oj</w:t>
        </w:r>
      </w:hyperlink>
      <w:r w:rsidRPr="0041590E">
        <w:rPr>
          <w:sz w:val="24"/>
          <w:lang w:val="fi-FI"/>
        </w:rPr>
        <w:t>.</w:t>
      </w:r>
    </w:p>
  </w:footnote>
  <w:footnote w:id="3">
    <w:p w14:paraId="3C532CAF" w14:textId="09B27762" w:rsidR="00806CE3" w:rsidRPr="0041590E" w:rsidRDefault="00806CE3" w:rsidP="006F336B">
      <w:pPr>
        <w:pStyle w:val="FootnoteText"/>
        <w:ind w:left="567" w:hanging="567"/>
        <w:rPr>
          <w:sz w:val="24"/>
          <w:lang w:val="fi-FI"/>
        </w:rPr>
      </w:pPr>
      <w:r w:rsidRPr="006F336B">
        <w:rPr>
          <w:rStyle w:val="FootnoteReference"/>
          <w:sz w:val="24"/>
          <w:lang w:val="pt-PT"/>
        </w:rPr>
        <w:footnoteRef/>
      </w:r>
      <w:r w:rsidR="006F336B" w:rsidRPr="0041590E">
        <w:rPr>
          <w:sz w:val="24"/>
          <w:lang w:val="fi-FI"/>
        </w:rPr>
        <w:t xml:space="preserve"> </w:t>
      </w:r>
      <w:r w:rsidR="006F336B" w:rsidRPr="0041590E">
        <w:rPr>
          <w:sz w:val="24"/>
          <w:lang w:val="fi-FI"/>
        </w:rPr>
        <w:tab/>
      </w:r>
      <w:r w:rsidRPr="0041590E">
        <w:rPr>
          <w:sz w:val="24"/>
          <w:lang w:val="fi-FI"/>
        </w:rPr>
        <w:t xml:space="preserve">JO L, 2024/765, 29.2.2024, ELI: </w:t>
      </w:r>
      <w:hyperlink r:id="rId3" w:history="1">
        <w:r w:rsidRPr="0041590E">
          <w:rPr>
            <w:rStyle w:val="Hyperlink"/>
            <w:sz w:val="24"/>
            <w:lang w:val="fi-FI"/>
          </w:rPr>
          <w:t>https://eur</w:t>
        </w:r>
        <w:r w:rsidRPr="0041590E">
          <w:rPr>
            <w:rStyle w:val="Hyperlink"/>
            <w:sz w:val="24"/>
            <w:lang w:val="fi-FI"/>
          </w:rPr>
          <w:noBreakHyphen/>
          <w:t>le</w:t>
        </w:r>
        <w:r w:rsidRPr="0041590E">
          <w:rPr>
            <w:rStyle w:val="Hyperlink"/>
            <w:sz w:val="24"/>
            <w:lang w:val="fi-FI"/>
          </w:rPr>
          <w:t>x</w:t>
        </w:r>
        <w:r w:rsidRPr="0041590E">
          <w:rPr>
            <w:rStyle w:val="Hyperlink"/>
            <w:sz w:val="24"/>
            <w:lang w:val="fi-FI"/>
          </w:rPr>
          <w:t>.europa.eu/eli/reg/2024/765/oj</w:t>
        </w:r>
      </w:hyperlink>
      <w:r w:rsidRPr="0041590E">
        <w:rPr>
          <w:sz w:val="24"/>
          <w:lang w:val="fi-FI"/>
        </w:rPr>
        <w:t>.</w:t>
      </w:r>
    </w:p>
  </w:footnote>
  <w:footnote w:id="4">
    <w:p w14:paraId="5DE61242" w14:textId="2F52B88C" w:rsidR="00806CE3" w:rsidRPr="0041590E" w:rsidRDefault="00806CE3" w:rsidP="006F336B">
      <w:pPr>
        <w:pStyle w:val="FootnoteText"/>
        <w:ind w:left="567" w:hanging="567"/>
        <w:rPr>
          <w:sz w:val="24"/>
          <w:lang w:val="da-DK"/>
        </w:rPr>
      </w:pPr>
      <w:r w:rsidRPr="006F336B">
        <w:rPr>
          <w:rStyle w:val="FootnoteReference"/>
          <w:sz w:val="24"/>
          <w:lang w:val="pt-PT"/>
        </w:rPr>
        <w:footnoteRef/>
      </w:r>
      <w:r w:rsidR="006F336B" w:rsidRPr="0041590E">
        <w:rPr>
          <w:sz w:val="24"/>
          <w:lang w:val="da-DK"/>
        </w:rPr>
        <w:t xml:space="preserve"> </w:t>
      </w:r>
      <w:r w:rsidR="006F336B" w:rsidRPr="0041590E">
        <w:rPr>
          <w:sz w:val="24"/>
          <w:lang w:val="da-DK"/>
        </w:rPr>
        <w:tab/>
      </w:r>
      <w:r w:rsidRPr="0041590E">
        <w:rPr>
          <w:sz w:val="24"/>
          <w:lang w:val="da-DK"/>
        </w:rPr>
        <w:t xml:space="preserve">JO L 433 I de 22.12.2020, p. 28, ELI: </w:t>
      </w:r>
      <w:hyperlink r:id="rId4" w:tgtFrame="http://data.europa.eu/eli/agree_interinstit/2020/1222/oj" w:history="1">
        <w:r w:rsidRPr="0041590E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41590E">
        <w:rPr>
          <w:sz w:val="24"/>
          <w:lang w:val="da-DK"/>
        </w:rPr>
        <w:t>.</w:t>
      </w:r>
    </w:p>
  </w:footnote>
  <w:footnote w:id="5">
    <w:p w14:paraId="5E576244" w14:textId="7C3B91A3" w:rsidR="00806CE3" w:rsidRPr="0041590E" w:rsidRDefault="00806CE3" w:rsidP="006F336B">
      <w:pPr>
        <w:pStyle w:val="FootnoteText"/>
        <w:ind w:left="567" w:hanging="567"/>
        <w:rPr>
          <w:sz w:val="24"/>
          <w:lang w:val="fi-FI"/>
        </w:rPr>
      </w:pPr>
      <w:r w:rsidRPr="006F336B">
        <w:rPr>
          <w:rStyle w:val="FootnoteReference"/>
          <w:sz w:val="24"/>
          <w:lang w:val="pt-PT"/>
        </w:rPr>
        <w:footnoteRef/>
      </w:r>
      <w:r w:rsidR="006F336B" w:rsidRPr="0041590E">
        <w:rPr>
          <w:sz w:val="24"/>
          <w:lang w:val="fi-FI"/>
        </w:rPr>
        <w:t xml:space="preserve"> </w:t>
      </w:r>
      <w:r w:rsidR="006F336B" w:rsidRPr="0041590E">
        <w:rPr>
          <w:sz w:val="24"/>
          <w:lang w:val="fi-FI"/>
        </w:rPr>
        <w:tab/>
      </w:r>
      <w:r w:rsidRPr="0041590E">
        <w:rPr>
          <w:sz w:val="24"/>
          <w:lang w:val="fi-FI"/>
        </w:rPr>
        <w:t xml:space="preserve">JO L, 2024/2509, 26.9.2024, ELI: </w:t>
      </w:r>
      <w:hyperlink r:id="rId5" w:history="1">
        <w:r w:rsidRPr="0041590E">
          <w:rPr>
            <w:rStyle w:val="Hyperlink"/>
            <w:sz w:val="24"/>
            <w:lang w:val="fi-FI"/>
          </w:rPr>
          <w:t>https://eur</w:t>
        </w:r>
        <w:r w:rsidRPr="0041590E">
          <w:rPr>
            <w:rStyle w:val="Hyperlink"/>
            <w:sz w:val="24"/>
            <w:lang w:val="fi-FI"/>
          </w:rPr>
          <w:noBreakHyphen/>
          <w:t>lex.europa.eu/eli/reg/2024/2509/oj</w:t>
        </w:r>
      </w:hyperlink>
      <w:r w:rsidRPr="0041590E">
        <w:rPr>
          <w:sz w:val="24"/>
          <w:lang w:val="fi-FI"/>
        </w:rPr>
        <w:t>.</w:t>
      </w:r>
    </w:p>
  </w:footnote>
  <w:footnote w:id="6">
    <w:p w14:paraId="5961A0F2" w14:textId="3A0E68AF" w:rsidR="00806CE3" w:rsidRPr="006F336B" w:rsidRDefault="00806CE3" w:rsidP="006F336B">
      <w:pPr>
        <w:pStyle w:val="FootnoteText"/>
        <w:ind w:left="567" w:hanging="567"/>
        <w:rPr>
          <w:sz w:val="24"/>
          <w:lang w:val="pt-PT"/>
        </w:rPr>
      </w:pPr>
      <w:r w:rsidRPr="006F336B">
        <w:rPr>
          <w:rStyle w:val="FootnoteReference"/>
          <w:sz w:val="24"/>
          <w:lang w:val="pt-PT"/>
        </w:rPr>
        <w:footnoteRef/>
      </w:r>
      <w:r w:rsidR="006F336B" w:rsidRPr="006F336B">
        <w:rPr>
          <w:sz w:val="24"/>
          <w:lang w:val="pt-PT"/>
        </w:rPr>
        <w:t xml:space="preserve"> </w:t>
      </w:r>
      <w:r w:rsidR="006F336B" w:rsidRPr="006F336B">
        <w:rPr>
          <w:sz w:val="24"/>
          <w:lang w:val="pt-PT"/>
        </w:rPr>
        <w:tab/>
      </w:r>
      <w:r w:rsidRPr="006F336B">
        <w:rPr>
          <w:sz w:val="24"/>
          <w:lang w:val="pt-PT"/>
        </w:rPr>
        <w:t>Textos Aprovados, P10_</w:t>
      </w:r>
      <w:proofErr w:type="gramStart"/>
      <w:r w:rsidRPr="006F336B">
        <w:rPr>
          <w:sz w:val="24"/>
          <w:lang w:val="pt-PT"/>
        </w:rPr>
        <w:t>TA(</w:t>
      </w:r>
      <w:proofErr w:type="gramEnd"/>
      <w:r w:rsidRPr="006F336B">
        <w:rPr>
          <w:sz w:val="24"/>
          <w:lang w:val="pt-PT"/>
        </w:rPr>
        <w:t>2025)0090.</w:t>
      </w:r>
    </w:p>
  </w:footnote>
  <w:footnote w:id="7">
    <w:p w14:paraId="11684061" w14:textId="10D3DBDE" w:rsidR="00806CE3" w:rsidRPr="006F336B" w:rsidRDefault="00806CE3" w:rsidP="006F336B">
      <w:pPr>
        <w:pStyle w:val="FootnoteText"/>
        <w:ind w:left="567" w:hanging="567"/>
        <w:rPr>
          <w:sz w:val="24"/>
          <w:lang w:val="pt-PT"/>
        </w:rPr>
      </w:pPr>
      <w:r w:rsidRPr="006F336B">
        <w:rPr>
          <w:rStyle w:val="FootnoteReference"/>
          <w:sz w:val="24"/>
          <w:lang w:val="pt-PT"/>
        </w:rPr>
        <w:footnoteRef/>
      </w:r>
      <w:r w:rsidR="006F336B" w:rsidRPr="006F336B">
        <w:rPr>
          <w:sz w:val="24"/>
          <w:lang w:val="pt-PT"/>
        </w:rPr>
        <w:t xml:space="preserve"> </w:t>
      </w:r>
      <w:r w:rsidR="006F336B" w:rsidRPr="006F336B">
        <w:rPr>
          <w:sz w:val="24"/>
          <w:lang w:val="pt-PT"/>
        </w:rPr>
        <w:tab/>
      </w:r>
      <w:r w:rsidRPr="006F336B">
        <w:rPr>
          <w:sz w:val="24"/>
          <w:lang w:val="pt-PT"/>
        </w:rPr>
        <w:t xml:space="preserve">Estudo </w:t>
      </w:r>
      <w:r w:rsidR="006D5E32">
        <w:rPr>
          <w:sz w:val="24"/>
          <w:lang w:val="pt-PT"/>
        </w:rPr>
        <w:t>–</w:t>
      </w:r>
      <w:r w:rsidR="006D5E32" w:rsidRPr="006F336B">
        <w:rPr>
          <w:sz w:val="24"/>
          <w:lang w:val="pt-PT"/>
        </w:rPr>
        <w:t xml:space="preserve"> </w:t>
      </w:r>
      <w:r w:rsidRPr="006F336B">
        <w:rPr>
          <w:sz w:val="24"/>
          <w:lang w:val="pt-PT"/>
        </w:rPr>
        <w:t xml:space="preserve">«Performance </w:t>
      </w:r>
      <w:proofErr w:type="spellStart"/>
      <w:r w:rsidRPr="006F336B">
        <w:rPr>
          <w:sz w:val="24"/>
          <w:lang w:val="pt-PT"/>
        </w:rPr>
        <w:t>framework</w:t>
      </w:r>
      <w:proofErr w:type="spellEnd"/>
      <w:r w:rsidRPr="006F336B">
        <w:rPr>
          <w:sz w:val="24"/>
          <w:lang w:val="pt-PT"/>
        </w:rPr>
        <w:t xml:space="preserve"> for the EU budget </w:t>
      </w:r>
      <w:r w:rsidR="006D5E32">
        <w:rPr>
          <w:sz w:val="24"/>
          <w:lang w:val="pt-PT"/>
        </w:rPr>
        <w:t>–</w:t>
      </w:r>
      <w:r w:rsidR="006D5E32" w:rsidRPr="006F336B">
        <w:rPr>
          <w:sz w:val="24"/>
          <w:lang w:val="pt-PT"/>
        </w:rPr>
        <w:t xml:space="preserve"> </w:t>
      </w:r>
      <w:proofErr w:type="spellStart"/>
      <w:r w:rsidRPr="006F336B">
        <w:rPr>
          <w:sz w:val="24"/>
          <w:lang w:val="pt-PT"/>
        </w:rPr>
        <w:t>Concepts</w:t>
      </w:r>
      <w:proofErr w:type="spellEnd"/>
      <w:r w:rsidRPr="006F336B">
        <w:rPr>
          <w:sz w:val="24"/>
          <w:lang w:val="pt-PT"/>
        </w:rPr>
        <w:t xml:space="preserve"> </w:t>
      </w:r>
      <w:proofErr w:type="spellStart"/>
      <w:r w:rsidRPr="006F336B">
        <w:rPr>
          <w:sz w:val="24"/>
          <w:lang w:val="pt-PT"/>
        </w:rPr>
        <w:t>and</w:t>
      </w:r>
      <w:proofErr w:type="spellEnd"/>
      <w:r w:rsidRPr="006F336B">
        <w:rPr>
          <w:sz w:val="24"/>
          <w:lang w:val="pt-PT"/>
        </w:rPr>
        <w:t xml:space="preserve"> </w:t>
      </w:r>
      <w:proofErr w:type="spellStart"/>
      <w:r w:rsidRPr="006F336B">
        <w:rPr>
          <w:sz w:val="24"/>
          <w:lang w:val="pt-PT"/>
        </w:rPr>
        <w:t>practices</w:t>
      </w:r>
      <w:proofErr w:type="spellEnd"/>
      <w:r w:rsidRPr="006F336B">
        <w:rPr>
          <w:sz w:val="24"/>
          <w:lang w:val="pt-PT"/>
        </w:rPr>
        <w:t>», Parlamento Europeu, Direção</w:t>
      </w:r>
      <w:r w:rsidRPr="006F336B">
        <w:rPr>
          <w:sz w:val="24"/>
          <w:lang w:val="pt-PT"/>
        </w:rPr>
        <w:noBreakHyphen/>
        <w:t>Geral das Políticas Internas, Departamento Temático dos Assuntos Orçamentais, março de 2024.</w:t>
      </w:r>
    </w:p>
  </w:footnote>
  <w:footnote w:id="8">
    <w:p w14:paraId="677A8242" w14:textId="335BC6E7" w:rsidR="00806CE3" w:rsidRPr="006F336B" w:rsidRDefault="00806CE3" w:rsidP="006F336B">
      <w:pPr>
        <w:pStyle w:val="FootnoteText"/>
        <w:ind w:left="567" w:hanging="567"/>
        <w:rPr>
          <w:sz w:val="24"/>
          <w:lang w:val="pt-PT"/>
        </w:rPr>
      </w:pPr>
      <w:r w:rsidRPr="006F336B">
        <w:rPr>
          <w:rStyle w:val="FootnoteReference"/>
          <w:sz w:val="24"/>
          <w:lang w:val="pt-PT"/>
        </w:rPr>
        <w:footnoteRef/>
      </w:r>
      <w:r w:rsidR="006F336B" w:rsidRPr="006F336B">
        <w:rPr>
          <w:sz w:val="24"/>
          <w:lang w:val="pt-PT"/>
        </w:rPr>
        <w:t xml:space="preserve"> </w:t>
      </w:r>
      <w:r w:rsidR="006F336B" w:rsidRPr="006F336B">
        <w:rPr>
          <w:sz w:val="24"/>
          <w:lang w:val="pt-PT"/>
        </w:rPr>
        <w:tab/>
      </w:r>
      <w:r w:rsidRPr="006F336B">
        <w:rPr>
          <w:sz w:val="24"/>
          <w:lang w:val="pt-PT"/>
        </w:rPr>
        <w:t>Relatório de avaliação de impacto (</w:t>
      </w:r>
      <w:proofErr w:type="gramStart"/>
      <w:r w:rsidRPr="006F336B">
        <w:rPr>
          <w:sz w:val="24"/>
          <w:lang w:val="pt-PT"/>
        </w:rPr>
        <w:t>SWD(</w:t>
      </w:r>
      <w:proofErr w:type="gramEnd"/>
      <w:r w:rsidRPr="006F336B">
        <w:rPr>
          <w:sz w:val="24"/>
          <w:lang w:val="pt-PT"/>
        </w:rPr>
        <w:t>2025)0590) que acompanha a proposta da Comissão de regulamento que estabelece um quadro de acompanhamento das despesas orçamentais e de desempenho (COM(2025)0545).</w:t>
      </w:r>
    </w:p>
  </w:footnote>
  <w:footnote w:id="9">
    <w:p w14:paraId="61E40095" w14:textId="5323CE1C" w:rsidR="00806CE3" w:rsidRPr="006F336B" w:rsidRDefault="00806CE3" w:rsidP="006F336B">
      <w:pPr>
        <w:pStyle w:val="FootnoteText"/>
        <w:ind w:left="567" w:hanging="567"/>
        <w:rPr>
          <w:sz w:val="24"/>
          <w:lang w:val="pt-PT"/>
        </w:rPr>
      </w:pPr>
      <w:r w:rsidRPr="006F336B">
        <w:rPr>
          <w:rStyle w:val="FootnoteReference"/>
          <w:sz w:val="24"/>
          <w:lang w:val="pt-PT"/>
        </w:rPr>
        <w:footnoteRef/>
      </w:r>
      <w:r w:rsidR="006F336B" w:rsidRPr="006F336B">
        <w:rPr>
          <w:sz w:val="24"/>
          <w:lang w:val="pt-PT"/>
        </w:rPr>
        <w:t xml:space="preserve"> </w:t>
      </w:r>
      <w:r w:rsidR="006F336B" w:rsidRPr="006F336B">
        <w:rPr>
          <w:sz w:val="24"/>
          <w:lang w:val="pt-PT"/>
        </w:rPr>
        <w:tab/>
      </w:r>
      <w:proofErr w:type="gramStart"/>
      <w:r w:rsidRPr="006F336B">
        <w:rPr>
          <w:sz w:val="24"/>
          <w:lang w:val="pt-PT"/>
        </w:rPr>
        <w:t>COM(</w:t>
      </w:r>
      <w:proofErr w:type="gramEnd"/>
      <w:r w:rsidRPr="006F336B">
        <w:rPr>
          <w:sz w:val="24"/>
          <w:lang w:val="pt-PT"/>
        </w:rPr>
        <w:t>2025)0545.</w:t>
      </w:r>
    </w:p>
  </w:footnote>
  <w:footnote w:id="10">
    <w:p w14:paraId="02F72F78" w14:textId="76F93426" w:rsidR="00806CE3" w:rsidRPr="006F336B" w:rsidRDefault="00806CE3" w:rsidP="006F336B">
      <w:pPr>
        <w:pStyle w:val="FootnoteText"/>
        <w:ind w:left="567" w:hanging="567"/>
        <w:rPr>
          <w:sz w:val="24"/>
          <w:lang w:val="pt-PT"/>
        </w:rPr>
      </w:pPr>
      <w:r w:rsidRPr="006F336B">
        <w:rPr>
          <w:rStyle w:val="FootnoteReference"/>
          <w:sz w:val="24"/>
          <w:lang w:val="pt-PT"/>
        </w:rPr>
        <w:footnoteRef/>
      </w:r>
      <w:r w:rsidR="006F336B" w:rsidRPr="006F336B">
        <w:rPr>
          <w:sz w:val="24"/>
          <w:lang w:val="pt-PT"/>
        </w:rPr>
        <w:t xml:space="preserve"> </w:t>
      </w:r>
      <w:r w:rsidR="006F336B" w:rsidRPr="006F336B">
        <w:rPr>
          <w:sz w:val="24"/>
          <w:lang w:val="pt-PT"/>
        </w:rPr>
        <w:tab/>
      </w:r>
      <w:r w:rsidRPr="006F336B">
        <w:rPr>
          <w:sz w:val="24"/>
          <w:lang w:val="pt-PT"/>
        </w:rPr>
        <w:t xml:space="preserve">OCDE (2025), </w:t>
      </w:r>
      <w:r w:rsidR="006D5E32">
        <w:rPr>
          <w:sz w:val="24"/>
          <w:lang w:val="pt-PT"/>
        </w:rPr>
        <w:t>«</w:t>
      </w:r>
      <w:proofErr w:type="spellStart"/>
      <w:r w:rsidR="005E2758">
        <w:fldChar w:fldCharType="begin"/>
      </w:r>
      <w:r w:rsidR="006D5E32" w:rsidRPr="006D5E32">
        <w:rPr>
          <w:lang w:val="pt-PT"/>
        </w:rPr>
        <w:instrText>HYPERLINK "https://doi.org/10.1787/bcea6d2d-en"</w:instrText>
      </w:r>
      <w:r w:rsidR="005E2758">
        <w:fldChar w:fldCharType="separate"/>
      </w:r>
      <w:r w:rsidR="006D5E32">
        <w:rPr>
          <w:rStyle w:val="Hyperlink"/>
          <w:sz w:val="24"/>
          <w:lang w:val="pt-PT"/>
        </w:rPr>
        <w:t>Strengthening</w:t>
      </w:r>
      <w:proofErr w:type="spellEnd"/>
      <w:r w:rsidR="006D5E32">
        <w:rPr>
          <w:rStyle w:val="Hyperlink"/>
          <w:sz w:val="24"/>
          <w:lang w:val="pt-PT"/>
        </w:rPr>
        <w:t xml:space="preserve"> performance </w:t>
      </w:r>
      <w:proofErr w:type="spellStart"/>
      <w:r w:rsidR="006D5E32">
        <w:rPr>
          <w:rStyle w:val="Hyperlink"/>
          <w:sz w:val="24"/>
          <w:lang w:val="pt-PT"/>
        </w:rPr>
        <w:t>reporting</w:t>
      </w:r>
      <w:proofErr w:type="spellEnd"/>
      <w:r w:rsidR="006D5E32">
        <w:rPr>
          <w:rStyle w:val="Hyperlink"/>
          <w:sz w:val="24"/>
          <w:lang w:val="pt-PT"/>
        </w:rPr>
        <w:t xml:space="preserve"> </w:t>
      </w:r>
      <w:proofErr w:type="spellStart"/>
      <w:r w:rsidR="006D5E32">
        <w:rPr>
          <w:rStyle w:val="Hyperlink"/>
          <w:sz w:val="24"/>
          <w:lang w:val="pt-PT"/>
        </w:rPr>
        <w:t>practices</w:t>
      </w:r>
      <w:proofErr w:type="spellEnd"/>
      <w:r w:rsidR="005E2758">
        <w:rPr>
          <w:rStyle w:val="Hyperlink"/>
          <w:sz w:val="24"/>
          <w:lang w:val="pt-PT"/>
        </w:rPr>
        <w:fldChar w:fldCharType="end"/>
      </w:r>
      <w:r w:rsidR="006D5E32">
        <w:rPr>
          <w:rStyle w:val="Hyperlink"/>
          <w:sz w:val="24"/>
          <w:lang w:val="pt-PT"/>
        </w:rPr>
        <w:t>»</w:t>
      </w:r>
      <w:r w:rsidRPr="006F336B">
        <w:rPr>
          <w:sz w:val="24"/>
          <w:lang w:val="pt-PT"/>
        </w:rPr>
        <w:t xml:space="preserve"> [Reforçar as práticas de comunicação de informações sobre o desempenho], </w:t>
      </w:r>
      <w:r w:rsidRPr="006F336B">
        <w:rPr>
          <w:i/>
          <w:iCs/>
          <w:sz w:val="24"/>
          <w:lang w:val="pt-PT"/>
        </w:rPr>
        <w:t xml:space="preserve">OECD </w:t>
      </w:r>
      <w:proofErr w:type="spellStart"/>
      <w:r w:rsidRPr="006F336B">
        <w:rPr>
          <w:i/>
          <w:iCs/>
          <w:sz w:val="24"/>
          <w:lang w:val="pt-PT"/>
        </w:rPr>
        <w:t>Papers</w:t>
      </w:r>
      <w:proofErr w:type="spellEnd"/>
      <w:r w:rsidRPr="006F336B">
        <w:rPr>
          <w:i/>
          <w:iCs/>
          <w:sz w:val="24"/>
          <w:lang w:val="pt-PT"/>
        </w:rPr>
        <w:t xml:space="preserve"> </w:t>
      </w:r>
      <w:proofErr w:type="spellStart"/>
      <w:r w:rsidRPr="006F336B">
        <w:rPr>
          <w:i/>
          <w:iCs/>
          <w:sz w:val="24"/>
          <w:lang w:val="pt-PT"/>
        </w:rPr>
        <w:t>on</w:t>
      </w:r>
      <w:proofErr w:type="spellEnd"/>
      <w:r w:rsidRPr="006F336B">
        <w:rPr>
          <w:i/>
          <w:iCs/>
          <w:sz w:val="24"/>
          <w:lang w:val="pt-PT"/>
        </w:rPr>
        <w:t xml:space="preserve"> Budgeting</w:t>
      </w:r>
      <w:r w:rsidRPr="006F336B">
        <w:rPr>
          <w:sz w:val="24"/>
          <w:lang w:val="pt-PT"/>
        </w:rPr>
        <w:t xml:space="preserve"> [Documentos da OCDE sobre a orçamentação], n.º 2025/07, Publicações da OCDE, Paris.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0648183">
    <w:abstractNumId w:val="9"/>
  </w:num>
  <w:num w:numId="2" w16cid:durableId="1262882160">
    <w:abstractNumId w:val="9"/>
  </w:num>
  <w:num w:numId="3" w16cid:durableId="769738885">
    <w:abstractNumId w:val="7"/>
  </w:num>
  <w:num w:numId="4" w16cid:durableId="490102138">
    <w:abstractNumId w:val="7"/>
  </w:num>
  <w:num w:numId="5" w16cid:durableId="1124615202">
    <w:abstractNumId w:val="6"/>
  </w:num>
  <w:num w:numId="6" w16cid:durableId="1635791462">
    <w:abstractNumId w:val="6"/>
  </w:num>
  <w:num w:numId="7" w16cid:durableId="1385790937">
    <w:abstractNumId w:val="5"/>
  </w:num>
  <w:num w:numId="8" w16cid:durableId="923565362">
    <w:abstractNumId w:val="5"/>
  </w:num>
  <w:num w:numId="9" w16cid:durableId="264844781">
    <w:abstractNumId w:val="4"/>
  </w:num>
  <w:num w:numId="10" w16cid:durableId="2040886941">
    <w:abstractNumId w:val="4"/>
  </w:num>
  <w:num w:numId="11" w16cid:durableId="1223832581">
    <w:abstractNumId w:val="8"/>
  </w:num>
  <w:num w:numId="12" w16cid:durableId="499929167">
    <w:abstractNumId w:val="8"/>
  </w:num>
  <w:num w:numId="13" w16cid:durableId="52507280">
    <w:abstractNumId w:val="3"/>
  </w:num>
  <w:num w:numId="14" w16cid:durableId="1785227236">
    <w:abstractNumId w:val="3"/>
  </w:num>
  <w:num w:numId="15" w16cid:durableId="180709932">
    <w:abstractNumId w:val="2"/>
  </w:num>
  <w:num w:numId="16" w16cid:durableId="1671562656">
    <w:abstractNumId w:val="2"/>
  </w:num>
  <w:num w:numId="17" w16cid:durableId="1375887143">
    <w:abstractNumId w:val="1"/>
  </w:num>
  <w:num w:numId="18" w16cid:durableId="669065625">
    <w:abstractNumId w:val="1"/>
  </w:num>
  <w:num w:numId="19" w16cid:durableId="2119913109">
    <w:abstractNumId w:val="0"/>
  </w:num>
  <w:num w:numId="20" w16cid:durableId="1408531851">
    <w:abstractNumId w:val="0"/>
  </w:num>
  <w:num w:numId="21" w16cid:durableId="1246845533">
    <w:abstractNumId w:val="9"/>
  </w:num>
  <w:num w:numId="22" w16cid:durableId="517086607">
    <w:abstractNumId w:val="7"/>
  </w:num>
  <w:num w:numId="23" w16cid:durableId="1719359786">
    <w:abstractNumId w:val="6"/>
  </w:num>
  <w:num w:numId="24" w16cid:durableId="450788328">
    <w:abstractNumId w:val="5"/>
  </w:num>
  <w:num w:numId="25" w16cid:durableId="1813672119">
    <w:abstractNumId w:val="4"/>
  </w:num>
  <w:num w:numId="26" w16cid:durableId="1742293459">
    <w:abstractNumId w:val="8"/>
  </w:num>
  <w:num w:numId="27" w16cid:durableId="792989637">
    <w:abstractNumId w:val="3"/>
  </w:num>
  <w:num w:numId="28" w16cid:durableId="476148681">
    <w:abstractNumId w:val="2"/>
  </w:num>
  <w:num w:numId="29" w16cid:durableId="1991208817">
    <w:abstractNumId w:val="1"/>
  </w:num>
  <w:num w:numId="30" w16cid:durableId="1364944290">
    <w:abstractNumId w:val="0"/>
  </w:num>
  <w:num w:numId="31" w16cid:durableId="1234437654">
    <w:abstractNumId w:val="9"/>
  </w:num>
  <w:num w:numId="32" w16cid:durableId="422141602">
    <w:abstractNumId w:val="7"/>
  </w:num>
  <w:num w:numId="33" w16cid:durableId="1642661343">
    <w:abstractNumId w:val="6"/>
  </w:num>
  <w:num w:numId="34" w16cid:durableId="665280298">
    <w:abstractNumId w:val="5"/>
  </w:num>
  <w:num w:numId="35" w16cid:durableId="1759016463">
    <w:abstractNumId w:val="4"/>
  </w:num>
  <w:num w:numId="36" w16cid:durableId="215555547">
    <w:abstractNumId w:val="8"/>
  </w:num>
  <w:num w:numId="37" w16cid:durableId="1890341208">
    <w:abstractNumId w:val="3"/>
  </w:num>
  <w:num w:numId="38" w16cid:durableId="1442186451">
    <w:abstractNumId w:val="2"/>
  </w:num>
  <w:num w:numId="39" w16cid:durableId="357894189">
    <w:abstractNumId w:val="1"/>
  </w:num>
  <w:num w:numId="40" w16cid:durableId="1177236810">
    <w:abstractNumId w:val="0"/>
  </w:num>
  <w:num w:numId="41" w16cid:durableId="98913998">
    <w:abstractNumId w:val="10"/>
  </w:num>
  <w:num w:numId="42" w16cid:durableId="1219395440">
    <w:abstractNumId w:val="10"/>
  </w:num>
  <w:num w:numId="43" w16cid:durableId="937442810">
    <w:abstractNumId w:val="10"/>
  </w:num>
  <w:num w:numId="44" w16cid:durableId="5633736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8/2025"/>
    <w:docVar w:name="dvlangue" w:val="PT"/>
    <w:docVar w:name="dvnumam" w:val="0"/>
    <w:docVar w:name="dvpe" w:val="778.327"/>
    <w:docVar w:name="dvrapporteur" w:val="Relator: "/>
    <w:docVar w:name="dvtitre" w:val="Resolução do Parlamento Europeu, de ... de ... de 2026,_x000d__x000a_ sobre a escolha de indicadores de desempenho para auditoria e controlo orçamental no contexto das medidas de apoio financeiro à competitividade futura da Europa(2025/2034(INI))"/>
  </w:docVars>
  <w:rsids>
    <w:rsidRoot w:val="00B10D72"/>
    <w:rsid w:val="00002272"/>
    <w:rsid w:val="00052129"/>
    <w:rsid w:val="00064002"/>
    <w:rsid w:val="000677B9"/>
    <w:rsid w:val="00081D87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3287"/>
    <w:rsid w:val="00343214"/>
    <w:rsid w:val="00361C00"/>
    <w:rsid w:val="00395FA1"/>
    <w:rsid w:val="003E15D4"/>
    <w:rsid w:val="00411CCE"/>
    <w:rsid w:val="0041590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447"/>
    <w:rsid w:val="00545827"/>
    <w:rsid w:val="00560270"/>
    <w:rsid w:val="005C2568"/>
    <w:rsid w:val="005E2758"/>
    <w:rsid w:val="005F1B17"/>
    <w:rsid w:val="006037C0"/>
    <w:rsid w:val="006631B6"/>
    <w:rsid w:val="00680577"/>
    <w:rsid w:val="006D5E32"/>
    <w:rsid w:val="006F336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CE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5357"/>
    <w:rsid w:val="00A778C7"/>
    <w:rsid w:val="00AB441E"/>
    <w:rsid w:val="00AB6293"/>
    <w:rsid w:val="00AE0928"/>
    <w:rsid w:val="00AF3B82"/>
    <w:rsid w:val="00B10D72"/>
    <w:rsid w:val="00B12E95"/>
    <w:rsid w:val="00B22876"/>
    <w:rsid w:val="00B558F0"/>
    <w:rsid w:val="00B63ADA"/>
    <w:rsid w:val="00BD48FE"/>
    <w:rsid w:val="00BD7BD8"/>
    <w:rsid w:val="00BE6ADC"/>
    <w:rsid w:val="00C05BFE"/>
    <w:rsid w:val="00C23CD4"/>
    <w:rsid w:val="00C61C0C"/>
    <w:rsid w:val="00C941CB"/>
    <w:rsid w:val="00CC2357"/>
    <w:rsid w:val="00CC4AA0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716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90DA0E"/>
  <w15:chartTrackingRefBased/>
  <w15:docId w15:val="{A12E946A-E5C4-4051-B828-7760668C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06CE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806CE3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806CE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806CE3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806CE3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806CE3"/>
    <w:rPr>
      <w:sz w:val="24"/>
      <w:szCs w:val="24"/>
      <w:lang w:val="pt-PT" w:eastAsia="en-US"/>
    </w:rPr>
  </w:style>
  <w:style w:type="paragraph" w:customStyle="1" w:styleId="StyleBoldItalicAfter12pt">
    <w:name w:val="Style Bold Italic After:  12 pt"/>
    <w:basedOn w:val="Normal"/>
    <w:rsid w:val="00806CE3"/>
    <w:pPr>
      <w:spacing w:after="240"/>
    </w:pPr>
    <w:rPr>
      <w:b/>
      <w:bCs/>
      <w:i/>
      <w:iCs/>
      <w:lang w:eastAsia="en-US"/>
    </w:rPr>
  </w:style>
  <w:style w:type="paragraph" w:styleId="Revision">
    <w:name w:val="Revision"/>
    <w:hidden/>
    <w:uiPriority w:val="99"/>
    <w:semiHidden/>
    <w:rsid w:val="00CC4AA0"/>
    <w:rPr>
      <w:sz w:val="24"/>
      <w:lang w:val="pt-PT"/>
    </w:rPr>
  </w:style>
  <w:style w:type="character" w:styleId="CommentReference">
    <w:name w:val="annotation reference"/>
    <w:basedOn w:val="DefaultParagraphFont"/>
    <w:rsid w:val="00081D8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81D8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81D8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81D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81D87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081D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6D5E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/2024/765/oj" TargetMode="External"/><Relationship Id="rId2" Type="http://schemas.openxmlformats.org/officeDocument/2006/relationships/hyperlink" Target="http://data.europa.eu/eli/reg/2022/2496/oj" TargetMode="External"/><Relationship Id="rId1" Type="http://schemas.openxmlformats.org/officeDocument/2006/relationships/hyperlink" Target="http://data.europa.eu/eli/reg/2020/2093/oj" TargetMode="External"/><Relationship Id="rId5" Type="http://schemas.openxmlformats.org/officeDocument/2006/relationships/hyperlink" Target="https://eur-lex.europa.eu/eli/reg/2024/2509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5637</Words>
  <Characters>31638</Characters>
  <Application>Microsoft Office Word</Application>
  <DocSecurity>0</DocSecurity>
  <Lines>263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2026-01-22T15:24:00Z</dcterms:created>
  <dcterms:modified xsi:type="dcterms:W3CDTF">2026-01-22T15:24:00Z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A10-0268/2025</vt:lpwstr>
  </property>
  <property fmtid="{D5CDD505-2E9C-101B-9397-08002B2CF9AE}" pid="4" name="&lt;Type&gt;">
    <vt:lpwstr>RR</vt:lpwstr>
  </property>
</Properties>
</file>