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08A0" w14:paraId="6E19FE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7949BE" w14:textId="77777777" w:rsidR="00751A4A" w:rsidRPr="008308A0" w:rsidRDefault="00065B67" w:rsidP="0010095E">
            <w:pPr>
              <w:pStyle w:val="EPName"/>
            </w:pPr>
            <w:r w:rsidRPr="008308A0">
              <w:t>Europski parlament</w:t>
            </w:r>
          </w:p>
          <w:p w14:paraId="5B0EC641" w14:textId="77777777" w:rsidR="00751A4A" w:rsidRPr="008308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08A0">
              <w:t>2024</w:t>
            </w:r>
            <w:r w:rsidR="00817416" w:rsidRPr="008308A0">
              <w:t>-202</w:t>
            </w:r>
            <w:r w:rsidRPr="008308A0">
              <w:t>9</w:t>
            </w:r>
          </w:p>
        </w:tc>
        <w:tc>
          <w:tcPr>
            <w:tcW w:w="2268" w:type="dxa"/>
            <w:shd w:val="clear" w:color="auto" w:fill="auto"/>
          </w:tcPr>
          <w:p w14:paraId="60D88959" w14:textId="77777777" w:rsidR="00751A4A" w:rsidRPr="008308A0" w:rsidRDefault="00187494" w:rsidP="0010095E">
            <w:pPr>
              <w:pStyle w:val="EPLogo"/>
            </w:pPr>
            <w:r w:rsidRPr="008308A0">
              <w:rPr>
                <w:noProof/>
                <w:lang w:eastAsia="ja-JP"/>
              </w:rPr>
              <w:drawing>
                <wp:inline distT="0" distB="0" distL="0" distR="0" wp14:anchorId="78357AC5" wp14:editId="36B3D8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357B43" w14:textId="77777777" w:rsidR="00D058B8" w:rsidRPr="008308A0" w:rsidRDefault="00D058B8" w:rsidP="004C5D52">
      <w:pPr>
        <w:pStyle w:val="LineTop"/>
      </w:pPr>
    </w:p>
    <w:p w14:paraId="7CC6C17B" w14:textId="77777777" w:rsidR="00680577" w:rsidRPr="008308A0" w:rsidRDefault="00065B67" w:rsidP="00680577">
      <w:pPr>
        <w:pStyle w:val="EPBodyTA1"/>
      </w:pPr>
      <w:r w:rsidRPr="008308A0">
        <w:t>USVOJENI TEKSTOVI</w:t>
      </w:r>
    </w:p>
    <w:p w14:paraId="6FF98D88" w14:textId="77777777" w:rsidR="00D058B8" w:rsidRPr="008308A0" w:rsidRDefault="00D058B8" w:rsidP="00D058B8">
      <w:pPr>
        <w:pStyle w:val="LineBottom"/>
      </w:pPr>
    </w:p>
    <w:p w14:paraId="53B7925E" w14:textId="055D6108" w:rsidR="00065B67" w:rsidRPr="008308A0" w:rsidRDefault="00065B67" w:rsidP="00065B67">
      <w:pPr>
        <w:pStyle w:val="ATHeading1"/>
      </w:pPr>
      <w:bookmarkStart w:id="0" w:name="TANumber"/>
      <w:r w:rsidRPr="008308A0">
        <w:t>P10_TA(2026)00</w:t>
      </w:r>
      <w:r w:rsidR="000404C2">
        <w:t>22</w:t>
      </w:r>
      <w:bookmarkEnd w:id="0"/>
    </w:p>
    <w:p w14:paraId="4476F2A5" w14:textId="77777777" w:rsidR="00065B67" w:rsidRPr="008308A0" w:rsidRDefault="00065B67" w:rsidP="00065B67">
      <w:pPr>
        <w:pStyle w:val="ATHeading2"/>
      </w:pPr>
      <w:bookmarkStart w:id="1" w:name="title"/>
      <w:r w:rsidRPr="008308A0">
        <w:t>Europska tehnološka suverenost i digitalna infrastruktura</w:t>
      </w:r>
      <w:bookmarkEnd w:id="1"/>
    </w:p>
    <w:p w14:paraId="22477D42" w14:textId="77777777" w:rsidR="00065B67" w:rsidRPr="008308A0" w:rsidRDefault="00065B67" w:rsidP="00065B67">
      <w:pPr>
        <w:rPr>
          <w:i/>
          <w:vanish/>
        </w:rPr>
      </w:pPr>
      <w:r w:rsidRPr="008308A0">
        <w:rPr>
          <w:i/>
        </w:rPr>
        <w:fldChar w:fldCharType="begin"/>
      </w:r>
      <w:r w:rsidRPr="008308A0">
        <w:rPr>
          <w:i/>
        </w:rPr>
        <w:instrText xml:space="preserve"> TC"(</w:instrText>
      </w:r>
      <w:bookmarkStart w:id="2" w:name="DocNumber"/>
      <w:r w:rsidRPr="008308A0">
        <w:rPr>
          <w:i/>
        </w:rPr>
        <w:instrText>A10-0107/2025</w:instrText>
      </w:r>
      <w:bookmarkEnd w:id="2"/>
      <w:r w:rsidRPr="008308A0">
        <w:rPr>
          <w:i/>
        </w:rPr>
        <w:instrText xml:space="preserve"> - Izvjestiteljica: Sarah </w:instrText>
      </w:r>
      <w:proofErr w:type="spellStart"/>
      <w:r w:rsidRPr="008308A0">
        <w:rPr>
          <w:i/>
        </w:rPr>
        <w:instrText>Knafo</w:instrText>
      </w:r>
      <w:proofErr w:type="spellEnd"/>
      <w:r w:rsidRPr="008308A0">
        <w:rPr>
          <w:i/>
        </w:rPr>
        <w:instrText xml:space="preserve">)"\l3 \n&gt; \* MERGEFORMAT </w:instrText>
      </w:r>
      <w:r w:rsidRPr="008308A0">
        <w:rPr>
          <w:i/>
        </w:rPr>
        <w:fldChar w:fldCharType="end"/>
      </w:r>
    </w:p>
    <w:p w14:paraId="2B9D143C" w14:textId="77777777" w:rsidR="00065B67" w:rsidRPr="008308A0" w:rsidRDefault="00065B67" w:rsidP="00065B67">
      <w:pPr>
        <w:rPr>
          <w:vanish/>
        </w:rPr>
      </w:pPr>
      <w:bookmarkStart w:id="3" w:name="Commission"/>
      <w:r w:rsidRPr="008308A0">
        <w:rPr>
          <w:vanish/>
        </w:rPr>
        <w:t>Odbor za industriju, istraživanje i energetiku</w:t>
      </w:r>
      <w:bookmarkEnd w:id="3"/>
    </w:p>
    <w:p w14:paraId="441E11AC" w14:textId="77777777" w:rsidR="00065B67" w:rsidRPr="008308A0" w:rsidRDefault="00065B67" w:rsidP="00065B67">
      <w:pPr>
        <w:rPr>
          <w:vanish/>
        </w:rPr>
      </w:pPr>
      <w:bookmarkStart w:id="4" w:name="PE"/>
      <w:r w:rsidRPr="008308A0">
        <w:rPr>
          <w:vanish/>
        </w:rPr>
        <w:t>PE768.180</w:t>
      </w:r>
      <w:bookmarkEnd w:id="4"/>
    </w:p>
    <w:p w14:paraId="5098BF16" w14:textId="5FCD21E1" w:rsidR="00065B67" w:rsidRPr="008308A0" w:rsidRDefault="00065B67" w:rsidP="00065B67">
      <w:pPr>
        <w:pStyle w:val="ATHeading3"/>
      </w:pPr>
      <w:bookmarkStart w:id="5" w:name="Sujet"/>
      <w:r w:rsidRPr="008308A0">
        <w:t xml:space="preserve">Rezolucija Europskog parlamenta od </w:t>
      </w:r>
      <w:r w:rsidR="008308A0">
        <w:t>2</w:t>
      </w:r>
      <w:r w:rsidR="009976EE">
        <w:t>2</w:t>
      </w:r>
      <w:r w:rsidRPr="008308A0">
        <w:t xml:space="preserve">. </w:t>
      </w:r>
      <w:r w:rsidR="008308A0">
        <w:t xml:space="preserve">siječnja </w:t>
      </w:r>
      <w:r w:rsidRPr="008308A0">
        <w:t>2026. o europskoj tehnološkoj suverenosti i digitalnoj infrastrukturi</w:t>
      </w:r>
      <w:bookmarkEnd w:id="5"/>
      <w:r w:rsidRPr="008308A0">
        <w:t xml:space="preserve"> </w:t>
      </w:r>
      <w:bookmarkStart w:id="6" w:name="References"/>
      <w:r w:rsidRPr="008308A0">
        <w:t>(2025/2007(INI))</w:t>
      </w:r>
      <w:bookmarkEnd w:id="6"/>
    </w:p>
    <w:p w14:paraId="09BE1777" w14:textId="77777777" w:rsidR="00BB277F" w:rsidRPr="008308A0" w:rsidRDefault="00BB277F" w:rsidP="00BB277F">
      <w:pPr>
        <w:pStyle w:val="EPComma"/>
        <w:rPr>
          <w:lang w:val="hr-HR"/>
        </w:rPr>
      </w:pPr>
      <w:r w:rsidRPr="008308A0">
        <w:rPr>
          <w:rStyle w:val="Italic"/>
          <w:lang w:val="hr-HR"/>
        </w:rPr>
        <w:t>Europski parlament</w:t>
      </w:r>
      <w:r w:rsidRPr="008308A0">
        <w:rPr>
          <w:lang w:val="hr-HR"/>
        </w:rPr>
        <w:t>,</w:t>
      </w:r>
    </w:p>
    <w:p w14:paraId="5C96D5D8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Ugovor o funkcioniranju Europske unije (UFEU), a posebno njegove članke 173., 179. i 190.,</w:t>
      </w:r>
    </w:p>
    <w:p w14:paraId="2196A05A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komunikaciju Komisije od 29. siječnja 2025. naslovljenu „Kompas konkurentnosti za EU” (COM(2025)0030),</w:t>
      </w:r>
    </w:p>
    <w:p w14:paraId="2A927137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komunikaciju Komisije od 11. veljače 2025. naslovljenu „Program rada Komisije za 2025. – Zajedno naprijed: odvažnija, jednostavnija i brža Unija” (COM(2025)0045),</w:t>
      </w:r>
    </w:p>
    <w:p w14:paraId="4F0E209F" w14:textId="5D91F41D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2023/1781 Europskog parlamenta i Vijeća od 13. rujna 2023. o uspostavi okvira mjera za jačanje europskog ekosustava poluvodiča</w:t>
      </w:r>
      <w:r w:rsidR="00EE67FD" w:rsidRPr="00EE67FD">
        <w:rPr>
          <w:lang w:val="hr-HR"/>
        </w:rPr>
        <w:t xml:space="preserve"> i izmjeni Uredbe (EU) 2021/694</w:t>
      </w:r>
      <w:r w:rsidR="009976EE">
        <w:rPr>
          <w:lang w:val="hr-HR"/>
        </w:rPr>
        <w:t xml:space="preserve"> </w:t>
      </w:r>
      <w:r w:rsidR="009976EE" w:rsidRPr="008308A0">
        <w:rPr>
          <w:lang w:val="hr-HR"/>
        </w:rPr>
        <w:t>(Akt o čipovima)</w:t>
      </w:r>
      <w:r w:rsidRPr="008308A0">
        <w:rPr>
          <w:rStyle w:val="FootnoteReference"/>
          <w:lang w:val="hr-HR"/>
        </w:rPr>
        <w:footnoteReference w:id="1"/>
      </w:r>
      <w:r w:rsidRPr="008308A0">
        <w:rPr>
          <w:lang w:val="hr-HR"/>
        </w:rPr>
        <w:t>,</w:t>
      </w:r>
    </w:p>
    <w:p w14:paraId="6C066533" w14:textId="6F19A1E0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Direktivu (EU) 2022/2555 Europskog parlamenta i Vijeća od 14. prosinca 2022. o mjerama za visoku zajedničku razinu </w:t>
      </w:r>
      <w:proofErr w:type="spellStart"/>
      <w:r w:rsidRPr="008308A0">
        <w:rPr>
          <w:lang w:val="hr-HR"/>
        </w:rPr>
        <w:t>kibersigurnosti</w:t>
      </w:r>
      <w:proofErr w:type="spellEnd"/>
      <w:r w:rsidRPr="008308A0">
        <w:rPr>
          <w:lang w:val="hr-HR"/>
        </w:rPr>
        <w:t xml:space="preserve"> širom Unije</w:t>
      </w:r>
      <w:r w:rsidR="009976EE" w:rsidRPr="000404C2">
        <w:rPr>
          <w:szCs w:val="24"/>
          <w:shd w:val="clear" w:color="auto" w:fill="FFFFFF"/>
          <w:lang w:val="hr-HR"/>
        </w:rPr>
        <w:t>, izmjeni Uredbe (EU) br. 910/2014 i Direktive (EU) 2018/1972 i stavljanju izvan snage Direktive (EU) 2016/1148</w:t>
      </w:r>
      <w:r w:rsidR="009976EE">
        <w:rPr>
          <w:szCs w:val="24"/>
          <w:shd w:val="clear" w:color="auto" w:fill="FFFFFF"/>
          <w:lang w:val="hr-HR"/>
        </w:rPr>
        <w:t xml:space="preserve"> </w:t>
      </w:r>
      <w:r w:rsidR="009976EE" w:rsidRPr="008308A0">
        <w:rPr>
          <w:lang w:val="hr-HR"/>
        </w:rPr>
        <w:t>(Direktiva NIS 2)</w:t>
      </w:r>
      <w:r w:rsidRPr="008308A0">
        <w:rPr>
          <w:rStyle w:val="FootnoteReference"/>
          <w:lang w:val="hr-HR"/>
        </w:rPr>
        <w:footnoteReference w:id="2"/>
      </w:r>
      <w:r w:rsidRPr="008308A0">
        <w:rPr>
          <w:lang w:val="hr-HR"/>
        </w:rPr>
        <w:t>,</w:t>
      </w:r>
    </w:p>
    <w:p w14:paraId="4C6555E1" w14:textId="4A8758EC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detaljno izvješće Agencije Europske unije za </w:t>
      </w:r>
      <w:proofErr w:type="spellStart"/>
      <w:r w:rsidRPr="008308A0">
        <w:rPr>
          <w:lang w:val="hr-HR"/>
        </w:rPr>
        <w:t>kibersigurnost</w:t>
      </w:r>
      <w:proofErr w:type="spellEnd"/>
      <w:r w:rsidRPr="008308A0">
        <w:rPr>
          <w:lang w:val="hr-HR"/>
        </w:rPr>
        <w:t xml:space="preserve"> (ENISA) naslovljeno „Predviđanje kibernetičkih sigurnosnih prijetnji do 2030. – ažurirana verzija 2024.”, objavljeno u ožujku 2024.</w:t>
      </w:r>
      <w:r w:rsidR="009976EE">
        <w:rPr>
          <w:rStyle w:val="FootnoteReference"/>
          <w:lang w:val="hr-HR"/>
        </w:rPr>
        <w:footnoteReference w:id="3"/>
      </w:r>
      <w:r w:rsidRPr="008308A0">
        <w:rPr>
          <w:lang w:val="hr-HR"/>
        </w:rPr>
        <w:t>,</w:t>
      </w:r>
    </w:p>
    <w:p w14:paraId="669C786B" w14:textId="45640210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(EU) 2024/2847 Europskog parlamenta i Vijeća od 23. listopada 2024. o horizontalnim zahtjevima u pogledu kibernetičke sigurnosti za </w:t>
      </w:r>
      <w:r w:rsidRPr="008308A0">
        <w:rPr>
          <w:lang w:val="hr-HR"/>
        </w:rPr>
        <w:lastRenderedPageBreak/>
        <w:t>proizvode s digitalnim elementima</w:t>
      </w:r>
      <w:r w:rsidR="009976EE">
        <w:rPr>
          <w:szCs w:val="24"/>
          <w:shd w:val="clear" w:color="auto" w:fill="FFFFFF"/>
          <w:lang w:val="hr-HR"/>
        </w:rPr>
        <w:t xml:space="preserve"> </w:t>
      </w:r>
      <w:r w:rsidR="009976EE" w:rsidRPr="000404C2">
        <w:rPr>
          <w:szCs w:val="24"/>
          <w:shd w:val="clear" w:color="auto" w:fill="FFFFFF"/>
          <w:lang w:val="hr-HR"/>
        </w:rPr>
        <w:t>i</w:t>
      </w:r>
      <w:r w:rsidR="009976EE">
        <w:rPr>
          <w:szCs w:val="24"/>
          <w:shd w:val="clear" w:color="auto" w:fill="FFFFFF"/>
          <w:lang w:val="hr-HR"/>
        </w:rPr>
        <w:t xml:space="preserve"> </w:t>
      </w:r>
      <w:r w:rsidR="009976EE" w:rsidRPr="000404C2">
        <w:rPr>
          <w:szCs w:val="24"/>
          <w:shd w:val="clear" w:color="auto" w:fill="FFFFFF"/>
          <w:lang w:val="hr-HR"/>
        </w:rPr>
        <w:t>o</w:t>
      </w:r>
      <w:r w:rsidR="009976EE">
        <w:rPr>
          <w:szCs w:val="24"/>
          <w:shd w:val="clear" w:color="auto" w:fill="FFFFFF"/>
          <w:lang w:val="hr-HR"/>
        </w:rPr>
        <w:t xml:space="preserve"> </w:t>
      </w:r>
      <w:r w:rsidR="009976EE" w:rsidRPr="000404C2">
        <w:rPr>
          <w:szCs w:val="24"/>
          <w:shd w:val="clear" w:color="auto" w:fill="FFFFFF"/>
          <w:lang w:val="hr-HR"/>
        </w:rPr>
        <w:t>izmjeni uredbi (EU) br. 168/2013 i</w:t>
      </w:r>
      <w:r w:rsidR="009976EE">
        <w:rPr>
          <w:szCs w:val="24"/>
          <w:shd w:val="clear" w:color="auto" w:fill="FFFFFF"/>
          <w:lang w:val="hr-HR"/>
        </w:rPr>
        <w:t xml:space="preserve"> </w:t>
      </w:r>
      <w:r w:rsidR="009976EE" w:rsidRPr="000404C2">
        <w:rPr>
          <w:szCs w:val="24"/>
          <w:shd w:val="clear" w:color="auto" w:fill="FFFFFF"/>
          <w:lang w:val="hr-HR"/>
        </w:rPr>
        <w:t>(EU) 2019/1020 te Direktive (EU) 2020/1828</w:t>
      </w:r>
      <w:r w:rsidR="009976EE">
        <w:rPr>
          <w:szCs w:val="24"/>
          <w:shd w:val="clear" w:color="auto" w:fill="FFFFFF"/>
          <w:lang w:val="hr-HR"/>
        </w:rPr>
        <w:t xml:space="preserve"> </w:t>
      </w:r>
      <w:r w:rsidR="009976EE" w:rsidRPr="008308A0">
        <w:rPr>
          <w:lang w:val="hr-HR"/>
        </w:rPr>
        <w:t>(Akt o kibernetičkoj otpornosti)</w:t>
      </w:r>
      <w:r w:rsidRPr="008308A0">
        <w:rPr>
          <w:rStyle w:val="FootnoteReference"/>
          <w:lang w:val="hr-HR"/>
        </w:rPr>
        <w:footnoteReference w:id="4"/>
      </w:r>
      <w:r w:rsidRPr="008308A0">
        <w:rPr>
          <w:lang w:val="hr-HR"/>
        </w:rPr>
        <w:t>,</w:t>
      </w:r>
    </w:p>
    <w:p w14:paraId="1BC49F5A" w14:textId="28B00B09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(EU) 2019/881 Europskog parlamenta i Vijeća od 17. travnja 2019. o ENISA-i (Agencija Europske unije za </w:t>
      </w:r>
      <w:proofErr w:type="spellStart"/>
      <w:r w:rsidRPr="008308A0">
        <w:rPr>
          <w:lang w:val="hr-HR"/>
        </w:rPr>
        <w:t>kibersigurnost</w:t>
      </w:r>
      <w:proofErr w:type="spellEnd"/>
      <w:r w:rsidRPr="008308A0">
        <w:rPr>
          <w:lang w:val="hr-HR"/>
        </w:rPr>
        <w:t xml:space="preserve">) te o </w:t>
      </w:r>
      <w:proofErr w:type="spellStart"/>
      <w:r w:rsidRPr="008308A0">
        <w:rPr>
          <w:lang w:val="hr-HR"/>
        </w:rPr>
        <w:t>kibersigurnosnoj</w:t>
      </w:r>
      <w:proofErr w:type="spellEnd"/>
      <w:r w:rsidRPr="008308A0">
        <w:rPr>
          <w:lang w:val="hr-HR"/>
        </w:rPr>
        <w:t xml:space="preserve"> certifikaciji u području informacijske i komunikacijske tehnologije i stavljanju izvan snage Uredbe (EU) br. 526/2013</w:t>
      </w:r>
      <w:r w:rsidR="009976EE">
        <w:rPr>
          <w:lang w:val="hr-HR"/>
        </w:rPr>
        <w:t xml:space="preserve"> </w:t>
      </w:r>
      <w:r w:rsidR="009976EE" w:rsidRPr="008308A0">
        <w:rPr>
          <w:lang w:val="hr-HR"/>
        </w:rPr>
        <w:t xml:space="preserve">(Akt o </w:t>
      </w:r>
      <w:proofErr w:type="spellStart"/>
      <w:r w:rsidR="009976EE" w:rsidRPr="008308A0">
        <w:rPr>
          <w:lang w:val="hr-HR"/>
        </w:rPr>
        <w:t>kibersigurnosti</w:t>
      </w:r>
      <w:proofErr w:type="spellEnd"/>
      <w:r w:rsidR="009976EE" w:rsidRPr="008308A0">
        <w:rPr>
          <w:lang w:val="hr-HR"/>
        </w:rPr>
        <w:t>)</w:t>
      </w:r>
      <w:r w:rsidRPr="008308A0">
        <w:rPr>
          <w:rStyle w:val="FootnoteReference"/>
          <w:lang w:val="hr-HR"/>
        </w:rPr>
        <w:footnoteReference w:id="5"/>
      </w:r>
      <w:r w:rsidRPr="008308A0">
        <w:rPr>
          <w:lang w:val="hr-HR"/>
        </w:rPr>
        <w:t>,</w:t>
      </w:r>
    </w:p>
    <w:p w14:paraId="61220A8C" w14:textId="04A42F5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2025/38 Europskog parlamenta i Vijeća od 19. prosinca 2024. o utvrđivanju mjera za povećanje solidarnosti i kapaciteta u Uniji za otkrivanje kibernetičkih prijetnji i incidenata, pripremu za njih i odgovor na njih</w:t>
      </w:r>
      <w:r w:rsidR="00781F1B">
        <w:rPr>
          <w:lang w:val="hr-HR"/>
        </w:rPr>
        <w:t xml:space="preserve"> </w:t>
      </w:r>
      <w:r w:rsidR="00781F1B" w:rsidRPr="000404C2">
        <w:rPr>
          <w:szCs w:val="24"/>
          <w:shd w:val="clear" w:color="auto" w:fill="FFFFFF"/>
          <w:lang w:val="hr-HR"/>
        </w:rPr>
        <w:t>te o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0404C2">
        <w:rPr>
          <w:szCs w:val="24"/>
          <w:shd w:val="clear" w:color="auto" w:fill="FFFFFF"/>
          <w:lang w:val="hr-HR"/>
        </w:rPr>
        <w:t>izmjeni Uredbe (EU) 2021/694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8308A0">
        <w:rPr>
          <w:lang w:val="hr-HR"/>
        </w:rPr>
        <w:t>(Akt o kibernetičkoj solidarnosti)</w:t>
      </w:r>
      <w:r w:rsidRPr="008308A0">
        <w:rPr>
          <w:rStyle w:val="FootnoteReference"/>
          <w:lang w:val="hr-HR"/>
        </w:rPr>
        <w:footnoteReference w:id="6"/>
      </w:r>
      <w:r w:rsidRPr="008308A0">
        <w:rPr>
          <w:lang w:val="hr-HR"/>
        </w:rPr>
        <w:t>,</w:t>
      </w:r>
    </w:p>
    <w:p w14:paraId="71FB884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2025/37 Europskog parlamenta i Vijeća od 19. prosinca 2024. o izmjeni Uredbe (EU) 2019/881 u pogledu upravljanih sigurnosnih usluga</w:t>
      </w:r>
      <w:r w:rsidRPr="008308A0">
        <w:rPr>
          <w:rStyle w:val="FootnoteReference"/>
          <w:lang w:val="hr-HR"/>
        </w:rPr>
        <w:footnoteReference w:id="7"/>
      </w:r>
      <w:r w:rsidRPr="008308A0">
        <w:rPr>
          <w:lang w:val="hr-HR"/>
        </w:rPr>
        <w:t>,</w:t>
      </w:r>
    </w:p>
    <w:p w14:paraId="59A9044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Bijelu knjigu Komisije od 21. veljače 2024. naslovljenu „Kako odgovoriti na potrebe europske digitalne infrastrukture?” (COM(2024)0081),</w:t>
      </w:r>
    </w:p>
    <w:p w14:paraId="44171AC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izvješće Marija </w:t>
      </w:r>
      <w:proofErr w:type="spellStart"/>
      <w:r w:rsidRPr="008308A0">
        <w:rPr>
          <w:lang w:val="hr-HR"/>
        </w:rPr>
        <w:t>Draghija</w:t>
      </w:r>
      <w:proofErr w:type="spellEnd"/>
      <w:r w:rsidRPr="008308A0">
        <w:rPr>
          <w:lang w:val="hr-HR"/>
        </w:rPr>
        <w:t xml:space="preserve"> od 9. rujna 2024. naslovljeno „Budućnost europske konkurentnosti”,</w:t>
      </w:r>
    </w:p>
    <w:p w14:paraId="456BE49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izvješće Enrica </w:t>
      </w:r>
      <w:proofErr w:type="spellStart"/>
      <w:r w:rsidRPr="008308A0">
        <w:rPr>
          <w:lang w:val="hr-HR"/>
        </w:rPr>
        <w:t>Lette</w:t>
      </w:r>
      <w:proofErr w:type="spellEnd"/>
      <w:r w:rsidRPr="008308A0">
        <w:rPr>
          <w:lang w:val="hr-HR"/>
        </w:rPr>
        <w:t xml:space="preserve"> od 17. travnja 2024. naslovljeno „Puno više od tržišta”,</w:t>
      </w:r>
    </w:p>
    <w:p w14:paraId="572E5970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komunikaciju Komisije od 2. srpnja 2024. naslovljenu „Stanje digitalnog desetljeća za 2024.” (COM(2024)0260),</w:t>
      </w:r>
    </w:p>
    <w:p w14:paraId="282A07F0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Odluku (EU) 2022/2481 Europskog parlamenta i Vijeća od 14. prosinca 2022. o uspostavi programa politike za digitalno desetljeće do 2030.</w:t>
      </w:r>
      <w:r w:rsidRPr="008308A0">
        <w:rPr>
          <w:rStyle w:val="FootnoteReference"/>
          <w:lang w:val="hr-HR"/>
        </w:rPr>
        <w:footnoteReference w:id="8"/>
      </w:r>
      <w:r w:rsidRPr="008308A0">
        <w:rPr>
          <w:lang w:val="hr-HR"/>
        </w:rPr>
        <w:t>,</w:t>
      </w:r>
    </w:p>
    <w:p w14:paraId="6F7F4B64" w14:textId="29B8D2A1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2024/903 Europskog parlamenta i Vijeća od 13. ožujka 2024. o utvrđivanju mjera za visoku razinu interoperabilnosti javnog sektora u Uniji</w:t>
      </w:r>
      <w:r w:rsidR="00781F1B">
        <w:rPr>
          <w:lang w:val="hr-HR"/>
        </w:rPr>
        <w:t xml:space="preserve"> </w:t>
      </w:r>
      <w:r w:rsidR="00781F1B" w:rsidRPr="008308A0">
        <w:rPr>
          <w:lang w:val="hr-HR"/>
        </w:rPr>
        <w:t xml:space="preserve">(Akt o </w:t>
      </w:r>
      <w:proofErr w:type="spellStart"/>
      <w:r w:rsidR="00781F1B" w:rsidRPr="008308A0">
        <w:rPr>
          <w:lang w:val="hr-HR"/>
        </w:rPr>
        <w:t>interoperabilnoj</w:t>
      </w:r>
      <w:proofErr w:type="spellEnd"/>
      <w:r w:rsidR="00781F1B" w:rsidRPr="008308A0">
        <w:rPr>
          <w:lang w:val="hr-HR"/>
        </w:rPr>
        <w:t xml:space="preserve"> Europi)</w:t>
      </w:r>
      <w:r w:rsidRPr="008308A0">
        <w:rPr>
          <w:rStyle w:val="FootnoteReference"/>
          <w:lang w:val="hr-HR"/>
        </w:rPr>
        <w:footnoteReference w:id="9"/>
      </w:r>
      <w:r w:rsidRPr="008308A0">
        <w:rPr>
          <w:lang w:val="hr-HR"/>
        </w:rPr>
        <w:t>,</w:t>
      </w:r>
    </w:p>
    <w:p w14:paraId="017C26EE" w14:textId="327542E8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Direktivu (EU) 2019/1024 Europskog parlamenta i Vijeća od 20. lipnja 2019. o otvorenim podatcima i ponovnoj uporabi informacija javnog sektora</w:t>
      </w:r>
      <w:r w:rsidRPr="008308A0">
        <w:rPr>
          <w:rStyle w:val="FootnoteReference"/>
          <w:lang w:val="hr-HR"/>
        </w:rPr>
        <w:footnoteReference w:id="10"/>
      </w:r>
      <w:r w:rsidRPr="008308A0">
        <w:rPr>
          <w:lang w:val="hr-HR"/>
        </w:rPr>
        <w:t>,</w:t>
      </w:r>
    </w:p>
    <w:p w14:paraId="12EE25A5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(EU) 2024/795 Europskog parlamenta i Vijeća od 29. veljače 2024. o uspostavi Platforme za strateške tehnologije za Europu (STEP) i o izmjeni Direktive 2003/87/EZ i uredbi (EU) 2021/1058, (EU) 2021/1056, </w:t>
      </w:r>
      <w:r w:rsidRPr="008308A0">
        <w:rPr>
          <w:lang w:val="hr-HR"/>
        </w:rPr>
        <w:lastRenderedPageBreak/>
        <w:t>(EU) 2021/1057, (EU) br. 1303/2013, (EU) br. 223/2014, (EU) 2021/1060, (EU) 2021/523, (EU) 2021/695, (EU) 2021/697 i (EU) 2021/241</w:t>
      </w:r>
      <w:r w:rsidRPr="008308A0">
        <w:rPr>
          <w:rStyle w:val="FootnoteReference"/>
          <w:lang w:val="hr-HR"/>
        </w:rPr>
        <w:footnoteReference w:id="11"/>
      </w:r>
      <w:r w:rsidRPr="008308A0">
        <w:rPr>
          <w:lang w:val="hr-HR"/>
        </w:rPr>
        <w:t>,</w:t>
      </w:r>
    </w:p>
    <w:p w14:paraId="5526F2B9" w14:textId="57947EA5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2023/2854 Europskog parlamenta i Vijeća od 13. prosinca 2023. o usklađenim pravilima za pravedan pristup podacima i njihovu uporabu i o izmjeni Uredbe (EU) 2017/2394 i Direktive (EU) 2020/1828</w:t>
      </w:r>
      <w:r w:rsidR="00781F1B">
        <w:rPr>
          <w:lang w:val="hr-HR"/>
        </w:rPr>
        <w:t xml:space="preserve"> </w:t>
      </w:r>
      <w:r w:rsidR="00781F1B" w:rsidRPr="008308A0">
        <w:rPr>
          <w:lang w:val="hr-HR"/>
        </w:rPr>
        <w:t>(Akt o podacima)</w:t>
      </w:r>
      <w:r w:rsidRPr="008308A0">
        <w:rPr>
          <w:rStyle w:val="FootnoteReference"/>
          <w:lang w:val="hr-HR"/>
        </w:rPr>
        <w:footnoteReference w:id="12"/>
      </w:r>
      <w:r w:rsidRPr="008308A0">
        <w:rPr>
          <w:lang w:val="hr-HR"/>
        </w:rPr>
        <w:t>,</w:t>
      </w:r>
    </w:p>
    <w:p w14:paraId="523A88FF" w14:textId="76CB5AE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2024/1309 Europskog parlamenta i Vijeća od 29. travnja 2024. o mjerama za smanjenje troškova postavljanja gigabitnih elektroničkih komunikacijskih mreža, izmjeni Uredbe (EU) 2015/2120 i stavljanju izvan snage Direktive 2014/61/EU</w:t>
      </w:r>
      <w:r w:rsidR="00781F1B">
        <w:rPr>
          <w:lang w:val="hr-HR"/>
        </w:rPr>
        <w:t xml:space="preserve"> </w:t>
      </w:r>
      <w:r w:rsidR="00781F1B" w:rsidRPr="008308A0">
        <w:rPr>
          <w:lang w:val="hr-HR"/>
        </w:rPr>
        <w:t>(Akt o gigabitnoj infrastrukturi)</w:t>
      </w:r>
      <w:r w:rsidRPr="008308A0">
        <w:rPr>
          <w:rStyle w:val="FootnoteReference"/>
          <w:lang w:val="hr-HR"/>
        </w:rPr>
        <w:footnoteReference w:id="13"/>
      </w:r>
      <w:r w:rsidRPr="008308A0">
        <w:rPr>
          <w:lang w:val="hr-HR"/>
        </w:rPr>
        <w:t>,</w:t>
      </w:r>
    </w:p>
    <w:p w14:paraId="2AA68271" w14:textId="726B3D63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2024/1689 Europskog parlamenta i Vijeća od 13. lipnja 2024. o utvrđivanju usklađenih pravila o umjetnoj inteligenciji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0404C2">
        <w:rPr>
          <w:szCs w:val="24"/>
          <w:shd w:val="clear" w:color="auto" w:fill="FFFFFF"/>
          <w:lang w:val="hr-HR"/>
        </w:rPr>
        <w:t>i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0404C2">
        <w:rPr>
          <w:szCs w:val="24"/>
          <w:shd w:val="clear" w:color="auto" w:fill="FFFFFF"/>
          <w:lang w:val="hr-HR"/>
        </w:rPr>
        <w:t>o izmjeni uredaba (EZ) br. 300/2008, (EU) br. 167/2013, (EU) br. 168/2013, (EU) 2018/858, (EU) 2018/1139 i (EU) 2019/2144 te direktiva 2014/90/EU, (EU) 2016/797 i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0404C2">
        <w:rPr>
          <w:szCs w:val="24"/>
          <w:shd w:val="clear" w:color="auto" w:fill="FFFFFF"/>
          <w:lang w:val="hr-HR"/>
        </w:rPr>
        <w:t>(EU) 2020/1828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8308A0">
        <w:rPr>
          <w:lang w:val="hr-HR"/>
        </w:rPr>
        <w:t>(Akt o umjetnoj inteligenciji)</w:t>
      </w:r>
      <w:r w:rsidRPr="008308A0">
        <w:rPr>
          <w:rStyle w:val="FootnoteReference"/>
          <w:lang w:val="hr-HR"/>
        </w:rPr>
        <w:footnoteReference w:id="14"/>
      </w:r>
      <w:r w:rsidRPr="008308A0">
        <w:rPr>
          <w:lang w:val="hr-HR"/>
        </w:rPr>
        <w:t>,</w:t>
      </w:r>
    </w:p>
    <w:p w14:paraId="50E700CB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 2021/1153 Europskog parlamenta i Vijeća od 7. srpnja 2021. o uspostavi Instrumenta za povezivanje Europe i stavljanju izvan snage uredaba (EU) br. 1316/2013 i (EU) br. 283/2014</w:t>
      </w:r>
      <w:r w:rsidRPr="008308A0">
        <w:rPr>
          <w:rStyle w:val="FootnoteReference"/>
          <w:lang w:val="hr-HR"/>
        </w:rPr>
        <w:footnoteReference w:id="15"/>
      </w:r>
      <w:r w:rsidRPr="008308A0">
        <w:rPr>
          <w:lang w:val="hr-HR"/>
        </w:rPr>
        <w:t>,</w:t>
      </w:r>
    </w:p>
    <w:p w14:paraId="49163A1F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 (EU) 2021/694 Europskog parlamenta i Vijeća od 29. travnja 2021. o uspostavi programa Digitalna Europa te o stavljanju izvan snage Odluke (EU) 2015/2240</w:t>
      </w:r>
      <w:r w:rsidRPr="008308A0">
        <w:rPr>
          <w:rStyle w:val="FootnoteReference"/>
          <w:lang w:val="hr-HR"/>
        </w:rPr>
        <w:footnoteReference w:id="16"/>
      </w:r>
      <w:r w:rsidRPr="008308A0">
        <w:rPr>
          <w:lang w:val="hr-HR"/>
        </w:rPr>
        <w:t>,</w:t>
      </w:r>
    </w:p>
    <w:p w14:paraId="74C090F3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 2021/695 Europskog parlamenta i Vijeća od 28. travnja 2021. o uspostavi Okvirnog programa za istraživanja i inovacije Obzor Europa, o utvrđivanju pravila za sudjelovanje i širenje rezultata te o stavljanju izvan snage uredbi (EU) br. 1290/2013 i (EU) br. 1291/2013</w:t>
      </w:r>
      <w:r w:rsidRPr="008308A0">
        <w:rPr>
          <w:rStyle w:val="FootnoteReference"/>
          <w:lang w:val="hr-HR"/>
        </w:rPr>
        <w:footnoteReference w:id="17"/>
      </w:r>
      <w:r w:rsidRPr="008308A0">
        <w:rPr>
          <w:lang w:val="hr-HR"/>
        </w:rPr>
        <w:t>,</w:t>
      </w:r>
    </w:p>
    <w:p w14:paraId="1A85A461" w14:textId="0558B15B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(EU) 2021/696 Europskog parlamenta i Vijeća od 28. travnja 2021. o uspostavi Svemirskog programa Unije i osnivanju Agencije Europske unije za svemirski </w:t>
      </w:r>
      <w:r w:rsidRPr="00781F1B">
        <w:rPr>
          <w:szCs w:val="24"/>
          <w:lang w:val="hr-HR"/>
        </w:rPr>
        <w:t>program</w:t>
      </w:r>
      <w:r w:rsidR="00781F1B">
        <w:rPr>
          <w:szCs w:val="24"/>
          <w:shd w:val="clear" w:color="auto" w:fill="FFFFFF"/>
          <w:lang w:val="hr-HR"/>
        </w:rPr>
        <w:t xml:space="preserve"> </w:t>
      </w:r>
      <w:r w:rsidR="00781F1B" w:rsidRPr="000404C2">
        <w:rPr>
          <w:szCs w:val="24"/>
          <w:shd w:val="clear" w:color="auto" w:fill="FFFFFF"/>
          <w:lang w:val="hr-HR"/>
        </w:rPr>
        <w:t>te o stavljanju izvan snage uredaba (EU) br. 912/2010, (EU) br. 1285/2013 i (EU) br. 377/2014 i Odluke br. 541/2014/EU</w:t>
      </w:r>
      <w:r w:rsidRPr="008308A0">
        <w:rPr>
          <w:rStyle w:val="FootnoteReference"/>
          <w:lang w:val="hr-HR"/>
        </w:rPr>
        <w:footnoteReference w:id="18"/>
      </w:r>
      <w:r w:rsidRPr="008308A0">
        <w:rPr>
          <w:lang w:val="hr-HR"/>
        </w:rPr>
        <w:t>,</w:t>
      </w:r>
    </w:p>
    <w:p w14:paraId="13FFD882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(EU) 2023/588 Europskog parlamenta i Vijeća od 15. ožujka 2023. o uspostavi Programa Unije za sigurnu </w:t>
      </w:r>
      <w:proofErr w:type="spellStart"/>
      <w:r w:rsidRPr="008308A0">
        <w:rPr>
          <w:lang w:val="hr-HR"/>
        </w:rPr>
        <w:t>povezivost</w:t>
      </w:r>
      <w:proofErr w:type="spellEnd"/>
      <w:r w:rsidRPr="008308A0">
        <w:rPr>
          <w:lang w:val="hr-HR"/>
        </w:rPr>
        <w:t xml:space="preserve"> za razdoblje 2023. – 2027.</w:t>
      </w:r>
      <w:r w:rsidRPr="008308A0">
        <w:rPr>
          <w:rStyle w:val="FootnoteReference"/>
          <w:lang w:val="hr-HR"/>
        </w:rPr>
        <w:footnoteReference w:id="19"/>
      </w:r>
      <w:r w:rsidRPr="008308A0">
        <w:rPr>
          <w:lang w:val="hr-HR"/>
        </w:rPr>
        <w:t>,</w:t>
      </w:r>
    </w:p>
    <w:p w14:paraId="5921C0B4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Vijeća (EU) 2021/2085 od 19. studenoga 2021. o osnivanju zajedničkih poduzeća u okviru programa Obzor Europa te o stavljanju izvan snage </w:t>
      </w:r>
      <w:r w:rsidRPr="008308A0">
        <w:rPr>
          <w:lang w:val="hr-HR"/>
        </w:rPr>
        <w:lastRenderedPageBreak/>
        <w:t>uredbi (EZ) br. 219/2007, (EU) br. 557/2014, (EU) br. 558/2014, (EU) br. 559/2014, (EU) br. 560/2014, (EU) br. 561/2014 i (EU) br. 642/2014</w:t>
      </w:r>
      <w:r w:rsidRPr="008308A0">
        <w:rPr>
          <w:rStyle w:val="FootnoteReference"/>
          <w:lang w:val="hr-HR"/>
        </w:rPr>
        <w:footnoteReference w:id="20"/>
      </w:r>
      <w:r w:rsidRPr="008308A0">
        <w:rPr>
          <w:lang w:val="hr-HR"/>
        </w:rPr>
        <w:t>,</w:t>
      </w:r>
    </w:p>
    <w:p w14:paraId="7EEA8C2F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Vijeća (EU) 2021/1173 od 13. srpnja 2021. o osnivanju Zajedničkog poduzeća za europsko računalstvo visokih performansi te stavljanju izvan snage Uredbe (EU) 2018/1488</w:t>
      </w:r>
      <w:r w:rsidRPr="008308A0">
        <w:rPr>
          <w:rStyle w:val="FootnoteReference"/>
          <w:lang w:val="hr-HR"/>
        </w:rPr>
        <w:footnoteReference w:id="21"/>
      </w:r>
      <w:r w:rsidRPr="008308A0">
        <w:rPr>
          <w:lang w:val="hr-HR"/>
        </w:rPr>
        <w:t>,</w:t>
      </w:r>
    </w:p>
    <w:p w14:paraId="0710DC44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 xml:space="preserve">uzimajući u obzir Uredbu Vijeća (EU) 2024/1732 od 17. lipnja 2024. o izmjeni Uredbe (EU) 2021/1173 u pogledu inicijative </w:t>
      </w:r>
      <w:proofErr w:type="spellStart"/>
      <w:r w:rsidRPr="008308A0">
        <w:rPr>
          <w:lang w:val="hr-HR"/>
        </w:rPr>
        <w:t>EuroHPC</w:t>
      </w:r>
      <w:proofErr w:type="spellEnd"/>
      <w:r w:rsidRPr="008308A0">
        <w:rPr>
          <w:lang w:val="hr-HR"/>
        </w:rPr>
        <w:t>-a za start-</w:t>
      </w:r>
      <w:proofErr w:type="spellStart"/>
      <w:r w:rsidRPr="008308A0">
        <w:rPr>
          <w:lang w:val="hr-HR"/>
        </w:rPr>
        <w:t>up</w:t>
      </w:r>
      <w:proofErr w:type="spellEnd"/>
      <w:r w:rsidRPr="008308A0">
        <w:rPr>
          <w:lang w:val="hr-HR"/>
        </w:rPr>
        <w:t xml:space="preserve"> poduzeća radi učvršćivanja europskog vodstva u području pouzdane umjetne inteligencije</w:t>
      </w:r>
      <w:r w:rsidRPr="008308A0">
        <w:rPr>
          <w:rStyle w:val="FootnoteReference"/>
          <w:lang w:val="hr-HR"/>
        </w:rPr>
        <w:footnoteReference w:id="22"/>
      </w:r>
      <w:r w:rsidRPr="008308A0">
        <w:rPr>
          <w:lang w:val="hr-HR"/>
        </w:rPr>
        <w:t>,</w:t>
      </w:r>
    </w:p>
    <w:p w14:paraId="2CDED37A" w14:textId="171EE758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Direktivu (EU) 2018/1972 Europskog parlamenta i Vijeća od 11. prosinca 2018. o Europskom zakoniku elektroničkih komunikacija</w:t>
      </w:r>
      <w:r w:rsidRPr="008308A0">
        <w:rPr>
          <w:rStyle w:val="FootnoteReference"/>
          <w:lang w:val="hr-HR"/>
        </w:rPr>
        <w:footnoteReference w:id="23"/>
      </w:r>
      <w:r w:rsidRPr="008308A0">
        <w:rPr>
          <w:lang w:val="hr-HR"/>
        </w:rPr>
        <w:t>,</w:t>
      </w:r>
    </w:p>
    <w:p w14:paraId="7B63C0B0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Uredbu (EU) 2024/1183 Europskog parlamenta i Vijeća od 11. travnja 2024. o izmjeni Uredbe (EU) br. 910/2014 u pogledu uspostave europskog okvira za digitalni identitet</w:t>
      </w:r>
      <w:r w:rsidRPr="008308A0">
        <w:rPr>
          <w:rStyle w:val="FootnoteReference"/>
          <w:lang w:val="hr-HR"/>
        </w:rPr>
        <w:footnoteReference w:id="24"/>
      </w:r>
      <w:r w:rsidRPr="008308A0">
        <w:rPr>
          <w:lang w:val="hr-HR"/>
        </w:rPr>
        <w:t>,</w:t>
      </w:r>
    </w:p>
    <w:p w14:paraId="3CE42A2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zajedničku komunikaciju Komisije i Visokog predstavnika Unije za vanjske poslove i sigurnosnu politiku upućenu Europskom parlamentu i Vijeću od 21. veljače 2025. naslovljenu „Akcijski plan EU-a za sigurnost kabela” (JOIN(2025)0009),</w:t>
      </w:r>
    </w:p>
    <w:p w14:paraId="1833057F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komunikaciju Komisije od 29. siječnja 2020. naslovljenu „Sigurno uvođenje 5G mreža u EU-u – Provedba paketa instrumenata EU-a” (COM(2020)0050),</w:t>
      </w:r>
    </w:p>
    <w:p w14:paraId="7866AA5B" w14:textId="179DCF7F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Europsku deklaraciju o digitalnim pravima i načelima za digitalno desetljeće, u kojoj je sadržana obveza o promicanju europskog pristupa digitalnoj transformaciji i u kojoj se ljude stavlja u središte te transformacije</w:t>
      </w:r>
      <w:r w:rsidR="00781F1B">
        <w:rPr>
          <w:rStyle w:val="FootnoteReference"/>
          <w:lang w:val="hr-HR"/>
        </w:rPr>
        <w:footnoteReference w:id="25"/>
      </w:r>
      <w:r w:rsidRPr="008308A0">
        <w:rPr>
          <w:lang w:val="hr-HR"/>
        </w:rPr>
        <w:t>;</w:t>
      </w:r>
    </w:p>
    <w:p w14:paraId="15A2615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komunikaciju Komisije od 30. prosinca 2021. naslovljenu „Kriteriji za analizu spojivosti državnih potpora za promicanje provedbe važnih projekata od zajedničkog europskog interesa s unutarnjim tržištem (IPCEI)” (COM(2021)8481),</w:t>
      </w:r>
    </w:p>
    <w:p w14:paraId="117E13D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članak 55. Poslovnika,</w:t>
      </w:r>
    </w:p>
    <w:p w14:paraId="2CCAE309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–</w:t>
      </w:r>
      <w:r w:rsidRPr="008308A0">
        <w:rPr>
          <w:lang w:val="hr-HR"/>
        </w:rPr>
        <w:tab/>
        <w:t>uzimajući u obzir izvješće Odbora za industriju, istraživanje i energetiku (A10</w:t>
      </w:r>
      <w:r w:rsidRPr="008308A0">
        <w:rPr>
          <w:lang w:val="hr-HR"/>
        </w:rPr>
        <w:noBreakHyphen/>
        <w:t>0107/2025),</w:t>
      </w:r>
    </w:p>
    <w:p w14:paraId="7E74AD4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A.</w:t>
      </w:r>
      <w:r w:rsidRPr="008308A0">
        <w:rPr>
          <w:lang w:val="hr-HR"/>
        </w:rPr>
        <w:tab/>
        <w:t>budući da bi tehnološku suverenost trebalo promatrati kao cijeli lanac vrijednosti, od izvrsnosti u istraživanju do boljeg tržišnog natjecanja i postizanja veće europske suverenosti;</w:t>
      </w:r>
    </w:p>
    <w:p w14:paraId="5D278069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B.</w:t>
      </w:r>
      <w:r w:rsidRPr="008308A0">
        <w:rPr>
          <w:lang w:val="hr-HR"/>
        </w:rPr>
        <w:tab/>
        <w:t>budući da se EU oslanja na zemlje izvan EU-a za više od 80 % digitalnih proizvoda, usluga, infrastrukture i intelektualnog vlasništva;</w:t>
      </w:r>
    </w:p>
    <w:p w14:paraId="4F762844" w14:textId="77777777" w:rsidR="00BB277F" w:rsidRPr="008308A0" w:rsidRDefault="00BB277F" w:rsidP="00BB277F">
      <w:pPr>
        <w:pStyle w:val="NormalHanging12a"/>
        <w:spacing w:before="240"/>
        <w:rPr>
          <w:lang w:val="hr-HR"/>
        </w:rPr>
      </w:pPr>
      <w:r w:rsidRPr="008308A0">
        <w:rPr>
          <w:lang w:val="hr-HR"/>
        </w:rPr>
        <w:lastRenderedPageBreak/>
        <w:t>C.</w:t>
      </w:r>
      <w:r w:rsidRPr="008308A0">
        <w:rPr>
          <w:lang w:val="hr-HR"/>
        </w:rPr>
        <w:tab/>
        <w:t>budući da nekoliko tehnoloških poduzeća ima koncentriranu moć nad ključnim digitalnim tržištima i kontrolu nad temeljnom internetskom infrastrukturom, uključujući operativne sustave, računalstvo, umjetnu inteligenciju, internetske tražilice, kapacitete društvenih medija, digitalno oglašavanje i platne usluge;</w:t>
      </w:r>
    </w:p>
    <w:p w14:paraId="02F396AB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D.</w:t>
      </w:r>
      <w:r w:rsidRPr="008308A0">
        <w:rPr>
          <w:lang w:val="hr-HR"/>
        </w:rPr>
        <w:tab/>
        <w:t>budući da će naša europska tehnološka suverenost uvelike ovisiti o sposobnosti Europe da stvori tržišne uvjete koji su potrebni da bi europska poduzeća napredovala i međusobno se natjecala, čime će se povećati kvaliteta njihovih proizvoda;</w:t>
      </w:r>
    </w:p>
    <w:p w14:paraId="55E7C90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E.</w:t>
      </w:r>
      <w:r w:rsidRPr="008308A0">
        <w:rPr>
          <w:lang w:val="hr-HR"/>
        </w:rPr>
        <w:tab/>
        <w:t>budući da postoji rizik da EU neće uspjeti ostvariti svoje ciljeve i zacrtane zadaće u kontekstu digitalnog desetljeća, uključujući uvođenje računalstva u oblaku, velikih količina podataka i umjetne inteligencije;</w:t>
      </w:r>
    </w:p>
    <w:p w14:paraId="3818FB00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F.</w:t>
      </w:r>
      <w:r w:rsidRPr="008308A0">
        <w:rPr>
          <w:lang w:val="hr-HR"/>
        </w:rPr>
        <w:tab/>
        <w:t>budući da europska poduzeća zauzimaju manji udio u globalnom istraživanju i razvoju u području softvera, internetskih tehnologija i elektronike, dok SAD i Kina predvode u tim sektorima;</w:t>
      </w:r>
    </w:p>
    <w:p w14:paraId="31620279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G.</w:t>
      </w:r>
      <w:r w:rsidRPr="008308A0">
        <w:rPr>
          <w:lang w:val="hr-HR"/>
        </w:rPr>
        <w:tab/>
        <w:t>budući da su Digitalni kompas, program politike za digitalno desetljeće i Kompas konkurentnosti Komisije ključni okviri za jačanje europskog digitalnog ekosustava te osiguravanje vodećeg položaja u području tehnologije kao i dugoročne gospodarske otpornosti;</w:t>
      </w:r>
    </w:p>
    <w:p w14:paraId="18059CC6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H.</w:t>
      </w:r>
      <w:r w:rsidRPr="008308A0">
        <w:rPr>
          <w:lang w:val="hr-HR"/>
        </w:rPr>
        <w:tab/>
        <w:t xml:space="preserve">budući da se digitalna infrastruktura sastoji od hardverskih elemenata koji se odnose na </w:t>
      </w:r>
      <w:proofErr w:type="spellStart"/>
      <w:r w:rsidRPr="008308A0">
        <w:rPr>
          <w:lang w:val="hr-HR"/>
        </w:rPr>
        <w:t>povezivost</w:t>
      </w:r>
      <w:proofErr w:type="spellEnd"/>
      <w:r w:rsidRPr="008308A0">
        <w:rPr>
          <w:lang w:val="hr-HR"/>
        </w:rPr>
        <w:t xml:space="preserve">, uključujući svjetlovodnu infrastrukturu, 5G i 6G, podmorske kabele, satelite i spektar, te računalstvo, uključujući poluvodiče, podatkovne centre, računalstvo visokih performansi i kvantne tehnologije, kao i softverskih elemenata, uključujući identifikacijska rješenja, internet stvari, sustave usluga u oblaku i umjetne inteligencije, te </w:t>
      </w:r>
      <w:proofErr w:type="spellStart"/>
      <w:r w:rsidRPr="008308A0">
        <w:rPr>
          <w:lang w:val="hr-HR"/>
        </w:rPr>
        <w:t>međusloja</w:t>
      </w:r>
      <w:proofErr w:type="spellEnd"/>
      <w:r w:rsidRPr="008308A0">
        <w:rPr>
          <w:lang w:val="hr-HR"/>
        </w:rPr>
        <w:t xml:space="preserve"> koji uključuje sustave oglašavanja, internetske tražilice te sustave plaćanja i komunikacije;</w:t>
      </w:r>
    </w:p>
    <w:p w14:paraId="2A5C0FFA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I.</w:t>
      </w:r>
      <w:r w:rsidRPr="008308A0">
        <w:rPr>
          <w:lang w:val="hr-HR"/>
        </w:rPr>
        <w:tab/>
      </w:r>
      <w:r w:rsidRPr="008308A0">
        <w:rPr>
          <w:color w:val="000000" w:themeColor="text1"/>
          <w:lang w:val="hr-HR"/>
        </w:rPr>
        <w:t xml:space="preserve">budući da će konkurentnost EU-a sve više ovisiti o digitalizaciji svih sektora, koja će biti poduprta otpornom, sigurnom i pouzdanom digitalnom infrastrukturom; </w:t>
      </w:r>
      <w:r w:rsidRPr="008308A0">
        <w:rPr>
          <w:lang w:val="hr-HR"/>
        </w:rPr>
        <w:t>u tom kontekstu primjećuje da je jedinstveno digitalno tržište ključna prednost jer poduzećima može omogućiti rast i širenje;</w:t>
      </w:r>
    </w:p>
    <w:p w14:paraId="28DDBE9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J.</w:t>
      </w:r>
      <w:r w:rsidRPr="008308A0">
        <w:rPr>
          <w:lang w:val="hr-HR"/>
        </w:rPr>
        <w:tab/>
        <w:t>budući da je puni potencijal jedinstvenog digitalnog tržišta i dalje neiskorišten, pri čemu trgovina digitalnim uslugama unutar EU-a čini samo 8 % BDP-a, što je znatno manje od udjela trgovine digitalnom robom, koji iznosi 25 %;</w:t>
      </w:r>
    </w:p>
    <w:p w14:paraId="5DE484D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K.</w:t>
      </w:r>
      <w:r w:rsidRPr="008308A0">
        <w:rPr>
          <w:lang w:val="hr-HR"/>
        </w:rPr>
        <w:tab/>
        <w:t>budući da se dostupnost sustava elektroničke identifikacije te digitalnih javnih usluga i pristupa elektroničkim zdravstvenim kartonima povećava, ali da i dalje zbog razlika u primjeni elektroničke identifikaciji postoji velik jaz među zemljama u pružanju digitalnih javnih usluga koje štite privatnost i koje su u potpunosti usmjerene na korisnika, a usto i pristupačne i suverene;</w:t>
      </w:r>
    </w:p>
    <w:p w14:paraId="22C9D10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L.</w:t>
      </w:r>
      <w:r w:rsidRPr="008308A0">
        <w:rPr>
          <w:lang w:val="hr-HR"/>
        </w:rPr>
        <w:tab/>
        <w:t>budući da je elektronička identifikacija danas dostupna za 93 % stanovništva EU-a, ali da je postizanje 100%-</w:t>
      </w:r>
      <w:proofErr w:type="spellStart"/>
      <w:r w:rsidRPr="008308A0">
        <w:rPr>
          <w:lang w:val="hr-HR"/>
        </w:rPr>
        <w:t>tne</w:t>
      </w:r>
      <w:proofErr w:type="spellEnd"/>
      <w:r w:rsidRPr="008308A0">
        <w:rPr>
          <w:lang w:val="hr-HR"/>
        </w:rPr>
        <w:t xml:space="preserve"> pokrivenosti digitalnim javnim uslugama za građane i poduzeća do 2030. i dalje izazov;</w:t>
      </w:r>
    </w:p>
    <w:p w14:paraId="3363C81D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M.</w:t>
      </w:r>
      <w:r w:rsidRPr="008308A0">
        <w:rPr>
          <w:lang w:val="hr-HR"/>
        </w:rPr>
        <w:tab/>
        <w:t>budući da bi interoperabilnost i međusobna povezanost povećale konkurentnost europskog gospodarstva i da bi mogle imati koristi od politika kao što su otvoreni kod kao prvi izbor te javna sredstva – javni kod i provedba zajedničkih i otvorenih standarda;</w:t>
      </w:r>
    </w:p>
    <w:p w14:paraId="1600D595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lastRenderedPageBreak/>
        <w:t>N.</w:t>
      </w:r>
      <w:r w:rsidRPr="008308A0">
        <w:rPr>
          <w:lang w:val="hr-HR"/>
        </w:rPr>
        <w:tab/>
        <w:t>budući da je digitalna infrastruktura od ključne važnosti za industriju EU-a, uključujući automobilsku industriju i mogući razvoj povezanih i autonomnih automobila; budući da je potrebna pouzdana podatkovna i komunikacijska infrastruktura kako bi se podupro siguran ekosustav za povezana i autonomna vozila;</w:t>
      </w:r>
    </w:p>
    <w:p w14:paraId="390E6ED3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O.</w:t>
      </w:r>
      <w:r w:rsidRPr="008308A0">
        <w:rPr>
          <w:lang w:val="hr-HR"/>
        </w:rPr>
        <w:tab/>
        <w:t>budući da svjetlovodne mreže čine jednu od okosnica digitalne infrastrukture EU-a te omogućuju brzi internet, 5G mreže i buduća tehnološka poboljšanja;</w:t>
      </w:r>
    </w:p>
    <w:p w14:paraId="79BE693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P.</w:t>
      </w:r>
      <w:r w:rsidRPr="008308A0">
        <w:rPr>
          <w:lang w:val="hr-HR"/>
        </w:rPr>
        <w:tab/>
        <w:t>budući da EU zaostaje u uvođenju 5G mreže da bi ispunio svoje ciljeve za 2030., uz i dalje ograničenu pokrivenost svjetlovodnim mrežama (otprilike samo 64 % europskih kućanstava);</w:t>
      </w:r>
    </w:p>
    <w:p w14:paraId="18D87280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Q.</w:t>
      </w:r>
      <w:r w:rsidRPr="008308A0">
        <w:rPr>
          <w:lang w:val="hr-HR"/>
        </w:rPr>
        <w:tab/>
        <w:t xml:space="preserve">budući da su potrebe za ulaganjima u najsuvremeniju </w:t>
      </w:r>
      <w:proofErr w:type="spellStart"/>
      <w:r w:rsidRPr="008308A0">
        <w:rPr>
          <w:lang w:val="hr-HR"/>
        </w:rPr>
        <w:t>povezivost</w:t>
      </w:r>
      <w:proofErr w:type="spellEnd"/>
      <w:r w:rsidRPr="008308A0">
        <w:rPr>
          <w:lang w:val="hr-HR"/>
        </w:rPr>
        <w:t xml:space="preserve"> u EU-u goleme;</w:t>
      </w:r>
    </w:p>
    <w:p w14:paraId="42AD5F75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R.</w:t>
      </w:r>
      <w:r w:rsidRPr="008308A0">
        <w:rPr>
          <w:lang w:val="hr-HR"/>
        </w:rPr>
        <w:tab/>
        <w:t>budući da je odgovaranje ne izazove povezane s pristupom zemljištu i mrežama ključno za uspješno uvođenje digitalne infrastrukture;</w:t>
      </w:r>
    </w:p>
    <w:p w14:paraId="1033E5DF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S.</w:t>
      </w:r>
      <w:r w:rsidRPr="008308A0">
        <w:rPr>
          <w:lang w:val="hr-HR"/>
        </w:rPr>
        <w:tab/>
        <w:t>budući da se inicijativom GOVSATCOM EU-a nastoji osigurati dugoročna dostupnost sigurnih, pouzdanih i troškovno učinkovitih usluga državne satelitske komunikacije za tijela EU-a i nacionalna javna tijela koja upravljaju kritičnom infrastrukturom i misijama u području sigurnosti;</w:t>
      </w:r>
    </w:p>
    <w:p w14:paraId="320651BD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T.</w:t>
      </w:r>
      <w:r w:rsidRPr="008308A0">
        <w:rPr>
          <w:lang w:val="hr-HR"/>
        </w:rPr>
        <w:tab/>
        <w:t>budući da čipovi imaju ključnu ulogu u povećanju tehnološke konkurentnosti i otpornosti Europe;</w:t>
      </w:r>
    </w:p>
    <w:p w14:paraId="377A7C34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U.</w:t>
      </w:r>
      <w:r w:rsidRPr="008308A0">
        <w:rPr>
          <w:lang w:val="hr-HR"/>
        </w:rPr>
        <w:tab/>
        <w:t>budući da se u Kompasu konkurentnosti Komisije, Planu za čistu industriju i programu rada Komisije za 2025. gotovo uopće ne spominju poluvodičke tehnologije, unatoč njihovoj ključnoj važnosti za industrijsku ambiciju EU-a;</w:t>
      </w:r>
    </w:p>
    <w:p w14:paraId="70FBA7B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V.</w:t>
      </w:r>
      <w:r w:rsidRPr="008308A0">
        <w:rPr>
          <w:lang w:val="hr-HR"/>
        </w:rPr>
        <w:tab/>
        <w:t xml:space="preserve">budući da je Akt o čipovima bio </w:t>
      </w:r>
      <w:r w:rsidRPr="008308A0">
        <w:rPr>
          <w:i/>
          <w:iCs/>
          <w:lang w:val="hr-HR"/>
        </w:rPr>
        <w:t xml:space="preserve">ad </w:t>
      </w:r>
      <w:proofErr w:type="spellStart"/>
      <w:r w:rsidRPr="008308A0">
        <w:rPr>
          <w:i/>
          <w:iCs/>
          <w:lang w:val="hr-HR"/>
        </w:rPr>
        <w:t>hoc</w:t>
      </w:r>
      <w:proofErr w:type="spellEnd"/>
      <w:r w:rsidRPr="008308A0">
        <w:rPr>
          <w:lang w:val="hr-HR"/>
        </w:rPr>
        <w:t xml:space="preserve"> mehanizam prilagodbe usmjeren na rješavanje određenih problema povezanih s nestašicama poluvodiča; budući da su njegova područja djelovanja uglavnom ograničena na napredne poluvodiče; budući da angažman EU-a u pogledu postojećih poluvodiča nije dovoljan; budući da se revizija Akta o čipovima očekuje u rujnu 2026.;</w:t>
      </w:r>
    </w:p>
    <w:p w14:paraId="015ED72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W.</w:t>
      </w:r>
      <w:r w:rsidRPr="008308A0">
        <w:rPr>
          <w:lang w:val="hr-HR"/>
        </w:rPr>
        <w:tab/>
        <w:t>budući da postojeći europski regionalni klasteri u sektoru poluvodiča imaju svoju ulogu te da bi nju trebalo dodatno ojačati;</w:t>
      </w:r>
    </w:p>
    <w:p w14:paraId="2E6FBBF8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X.</w:t>
      </w:r>
      <w:r w:rsidRPr="008308A0">
        <w:rPr>
          <w:lang w:val="hr-HR"/>
        </w:rPr>
        <w:tab/>
        <w:t>budući da su procesori, memorijske tehnologije, grafički procesori i kvantni čipovi ključni za europsku digitalnu infrastrukturu i sigurnost lanca opskrbe;</w:t>
      </w:r>
    </w:p>
    <w:p w14:paraId="0F8AEEAB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Y.</w:t>
      </w:r>
      <w:r w:rsidRPr="008308A0">
        <w:rPr>
          <w:lang w:val="hr-HR"/>
        </w:rPr>
        <w:tab/>
        <w:t>budući da su usluge računalstva u oblaku iznimno važne za širok raspon računalnih aktivnosti i računalnih usluga koje su postale ključni pokretač konkurentnosti;</w:t>
      </w:r>
    </w:p>
    <w:p w14:paraId="5FF2BF5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Z.</w:t>
      </w:r>
      <w:r w:rsidRPr="008308A0">
        <w:rPr>
          <w:lang w:val="hr-HR"/>
        </w:rPr>
        <w:tab/>
        <w:t>budući da bi modeli udruživanja mogu povećati konkurentnost tržišta EU-a tako što će olakšati uspostavljanje važnih europskih alternativa temeljenih na stručnosti i prisutnosti na lokalnom tržištu;</w:t>
      </w:r>
    </w:p>
    <w:p w14:paraId="7EA465E7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AA.</w:t>
      </w:r>
      <w:r w:rsidRPr="008308A0">
        <w:rPr>
          <w:lang w:val="hr-HR"/>
        </w:rPr>
        <w:tab/>
        <w:t xml:space="preserve">budući da je opsežna infrastruktura za umjetnu inteligenciju, kao što su </w:t>
      </w:r>
      <w:proofErr w:type="spellStart"/>
      <w:r w:rsidRPr="008308A0">
        <w:rPr>
          <w:lang w:val="hr-HR"/>
        </w:rPr>
        <w:t>gigatvornice</w:t>
      </w:r>
      <w:proofErr w:type="spellEnd"/>
      <w:r w:rsidRPr="008308A0">
        <w:rPr>
          <w:lang w:val="hr-HR"/>
        </w:rPr>
        <w:t xml:space="preserve"> umjetne inteligencije, ključna za omogućivanje otvorenog i suradničkog razvoja najsloženijih modela umjetne inteligencije;</w:t>
      </w:r>
    </w:p>
    <w:p w14:paraId="03E654E5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lastRenderedPageBreak/>
        <w:t>AB.</w:t>
      </w:r>
      <w:r w:rsidRPr="008308A0">
        <w:rPr>
          <w:lang w:val="hr-HR"/>
        </w:rPr>
        <w:tab/>
        <w:t>budući da se lanac vrijednosti umjetne inteligencije i dalje razvija i da je rješavanje problema koji predstavlja razvoj modela umjetne inteligencije samo dio tog konteksta; budući da se europska rješenja u području umjetne inteligencije mogu razviti uz pomoć europske javne i privatne računalne infrastrukture, čime bi se potaknule inovacije, a novoosnovana poduzeća i mala poduzeća u prvom redu trebala bi imati koristi od pristupa javnoj računalnoj infrastrukturi;</w:t>
      </w:r>
    </w:p>
    <w:p w14:paraId="36537FFA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AC.</w:t>
      </w:r>
      <w:r w:rsidRPr="008308A0">
        <w:rPr>
          <w:lang w:val="hr-HR"/>
        </w:rPr>
        <w:tab/>
        <w:t>budući da modeli umjetne inteligencije koji se mogu upotrebljavati na široko dostupnom hardveru uz umjerene troškove omogućuju većem broju aktera da oblikuju način na koji se sustavi umjetne inteligencije stvaraju i upotrebljavaju, čime se pruža neposrednija vrijednost u primjenama i omogućuje demokratskija upotreba umjetne inteligencije;</w:t>
      </w:r>
    </w:p>
    <w:p w14:paraId="3C6168C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AD.</w:t>
      </w:r>
      <w:r w:rsidRPr="008308A0">
        <w:rPr>
          <w:lang w:val="hr-HR"/>
        </w:rPr>
        <w:tab/>
        <w:t>budući da uvođenje, stavljanje na tržište i primjena umjetne inteligencije trenutno uglavnom usmjerava mali broj velikih tehnoloških poduzeća; primjećuje da se funkcionalnosti umjetne inteligencije u EU-u ne uvode u isto vrijeme kao i u državama izvan Unije, čime se europska poduzeća i potrošači stavljaju u nepovoljan položaj u odnosu na konkurenciju;</w:t>
      </w:r>
    </w:p>
    <w:p w14:paraId="7FFE1ED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AE.</w:t>
      </w:r>
      <w:r w:rsidRPr="008308A0">
        <w:rPr>
          <w:lang w:val="hr-HR"/>
        </w:rPr>
        <w:tab/>
        <w:t xml:space="preserve">budući da su podatkovni centri ključan dio naprednog digitalnog društva i da omogućuju distribuiranu obradu i učinkovitu pohranu podataka; </w:t>
      </w:r>
    </w:p>
    <w:p w14:paraId="52F1276B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AF.</w:t>
      </w:r>
      <w:r w:rsidRPr="008308A0">
        <w:rPr>
          <w:lang w:val="hr-HR"/>
        </w:rPr>
        <w:tab/>
        <w:t>budući da su pouzdan kapacitet i dostupnost pohrane podataka ključni za europsku otpornost i razvoj; budući da većina podatkovnih centara u Europi nije u vlasništvu europskih poduzeća;</w:t>
      </w:r>
    </w:p>
    <w:p w14:paraId="08821881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AG.</w:t>
      </w:r>
      <w:r w:rsidRPr="008308A0">
        <w:rPr>
          <w:lang w:val="hr-HR"/>
        </w:rPr>
        <w:tab/>
        <w:t>budući da su za izgradnju i funkcioniranje velikih podatkovnih centara potrebna velika ulaganja;</w:t>
      </w:r>
    </w:p>
    <w:p w14:paraId="01F2BE2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AH.</w:t>
      </w:r>
      <w:r w:rsidRPr="008308A0">
        <w:rPr>
          <w:lang w:val="hr-HR"/>
        </w:rPr>
        <w:tab/>
        <w:t xml:space="preserve">budući da je oko 9 % globalne potrošnje električne energije rezultat rada podatkovnih centara, usluga u oblaku i </w:t>
      </w:r>
      <w:proofErr w:type="spellStart"/>
      <w:r w:rsidRPr="008308A0">
        <w:rPr>
          <w:lang w:val="hr-HR"/>
        </w:rPr>
        <w:t>povezivosti</w:t>
      </w:r>
      <w:proofErr w:type="spellEnd"/>
      <w:r w:rsidRPr="008308A0">
        <w:rPr>
          <w:lang w:val="hr-HR"/>
        </w:rPr>
        <w:t>;</w:t>
      </w:r>
    </w:p>
    <w:p w14:paraId="58763F07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AI.</w:t>
      </w:r>
      <w:r w:rsidRPr="008308A0">
        <w:rPr>
          <w:lang w:val="hr-HR"/>
        </w:rPr>
        <w:tab/>
        <w:t xml:space="preserve">budući da su podmorski kabeli kritična infrastruktura za globalnu </w:t>
      </w:r>
      <w:proofErr w:type="spellStart"/>
      <w:r w:rsidRPr="008308A0">
        <w:rPr>
          <w:lang w:val="hr-HR"/>
        </w:rPr>
        <w:t>povezivost</w:t>
      </w:r>
      <w:proofErr w:type="spellEnd"/>
      <w:r w:rsidRPr="008308A0">
        <w:rPr>
          <w:lang w:val="hr-HR"/>
        </w:rPr>
        <w:t>, gospodarsku stabilnost i sigurnost jer preko se odvija više od 99 % međunarodne komunikacije, pri čemu su oni i dalje osjetljivi na fizičke štete, kibernetičke prijetnje i geopolitičke rizike;</w:t>
      </w:r>
    </w:p>
    <w:p w14:paraId="4B5CCD5B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AJ.</w:t>
      </w:r>
      <w:r w:rsidRPr="008308A0">
        <w:rPr>
          <w:lang w:val="hr-HR"/>
        </w:rPr>
        <w:tab/>
        <w:t>budući da je sigurna i otporna digitalna infrastruktura ključna, posebno s obzirom na sve veći broj kibernetičkih napada na EU, njegove države članice te industriju i društvo;</w:t>
      </w:r>
    </w:p>
    <w:p w14:paraId="423EF66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AK.</w:t>
      </w:r>
      <w:r w:rsidRPr="008308A0">
        <w:rPr>
          <w:lang w:val="hr-HR"/>
        </w:rPr>
        <w:tab/>
        <w:t xml:space="preserve">budući da je paket instrumenata EU-a za sigurnost 5G mreža važan za sprečavanje kibernetičke špijunaže i jačanje otpornosti lanaca opskrbe u digitalnoj infrastrukturi EU-a; </w:t>
      </w:r>
    </w:p>
    <w:p w14:paraId="04806953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AL.</w:t>
      </w:r>
      <w:r w:rsidRPr="008308A0">
        <w:rPr>
          <w:lang w:val="hr-HR"/>
        </w:rPr>
        <w:tab/>
        <w:t>budući da 21 % poduzeća kao prepreku digitalnim ulaganjima navodi usklađenost i pravnu nesigurnost;</w:t>
      </w:r>
    </w:p>
    <w:p w14:paraId="4D5551B2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AM.</w:t>
      </w:r>
      <w:r w:rsidRPr="008308A0">
        <w:rPr>
          <w:lang w:val="hr-HR"/>
        </w:rPr>
        <w:tab/>
        <w:t xml:space="preserve">budući da se pristupom „jedan za jedan” osigurava da se uzmu u obzir sva opterećenja uvedena inicijativama Komisije i da se administrativno opterećenje kompenzira uklanjanjem opterećenja jednake vrijednosti u istom području politike; </w:t>
      </w:r>
    </w:p>
    <w:p w14:paraId="5D2BEA83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lastRenderedPageBreak/>
        <w:t>AN.</w:t>
      </w:r>
      <w:r w:rsidRPr="008308A0">
        <w:rPr>
          <w:lang w:val="hr-HR"/>
        </w:rPr>
        <w:tab/>
        <w:t>budući da izazovi povezani s potrošnjom energije u području umjetne inteligencije, usluga u oblaku i kvantnog računalstva kao i podatkovni centri zahtijevaju da se održivost integrira u strategije digitalne infrastrukture;</w:t>
      </w:r>
    </w:p>
    <w:p w14:paraId="78D07D0D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AO.</w:t>
      </w:r>
      <w:r w:rsidRPr="008308A0">
        <w:rPr>
          <w:lang w:val="hr-HR"/>
        </w:rPr>
        <w:tab/>
        <w:t xml:space="preserve">ističe da se predviđa da će se potrošnja energije u podatkovnim centrima do kraja ovog desetljeća gotovo utrostručiti te se povećati s oko današnjih 62 </w:t>
      </w:r>
      <w:proofErr w:type="spellStart"/>
      <w:r w:rsidRPr="008308A0">
        <w:rPr>
          <w:lang w:val="hr-HR"/>
        </w:rPr>
        <w:t>teravatsata</w:t>
      </w:r>
      <w:proofErr w:type="spellEnd"/>
      <w:r w:rsidRPr="008308A0">
        <w:rPr>
          <w:lang w:val="hr-HR"/>
        </w:rPr>
        <w:t xml:space="preserve"> (TWh) na više od 150 TWh, što podrazumijeva povećanje s 2 % na 5 % ukupne europske potrošnje energije;</w:t>
      </w:r>
    </w:p>
    <w:p w14:paraId="715A5747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AP.</w:t>
      </w:r>
      <w:r w:rsidRPr="008308A0">
        <w:rPr>
          <w:lang w:val="hr-HR"/>
        </w:rPr>
        <w:tab/>
        <w:t>budući da je nedostatak digitalnih vještina i dalje velik problem jer samo 54 % europskih građana posjeduje barem osnovne digitalne vještine, što je znatno ispod cilja od 80 % utvrđenog u programu politike za digitalno desetljeće;</w:t>
      </w:r>
    </w:p>
    <w:p w14:paraId="31D32CDD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AQ.</w:t>
      </w:r>
      <w:r w:rsidRPr="008308A0">
        <w:rPr>
          <w:lang w:val="hr-HR"/>
        </w:rPr>
        <w:tab/>
        <w:t xml:space="preserve">budući da se predviđa da će manjak stručnjaka u području IKT-a u EU-u do 2030. dosegnuti 12 milijuna, što znači da je EU daleko od svog cilja od 20 milijuna kvalificiranih radnika; </w:t>
      </w:r>
    </w:p>
    <w:p w14:paraId="0D6CEDAF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AR.</w:t>
      </w:r>
      <w:r w:rsidRPr="008308A0">
        <w:rPr>
          <w:lang w:val="hr-HR"/>
        </w:rPr>
        <w:tab/>
        <w:t xml:space="preserve">budući da se u izvješću o stanju digitalnog desetljeća za 2024. i </w:t>
      </w:r>
      <w:proofErr w:type="spellStart"/>
      <w:r w:rsidRPr="008308A0">
        <w:rPr>
          <w:lang w:val="hr-HR"/>
        </w:rPr>
        <w:t>Draghijevom</w:t>
      </w:r>
      <w:proofErr w:type="spellEnd"/>
      <w:r w:rsidRPr="008308A0">
        <w:rPr>
          <w:lang w:val="hr-HR"/>
        </w:rPr>
        <w:t xml:space="preserve"> izvješću ističe hitna potreba za ulaganjem u digitalne vještine i vještine u području znanosti, tehnologije, inženjerstva i matematike (STEM) kako bi se očuvali tehnološki kapaciteti Europe i globalna konkurentnost;</w:t>
      </w:r>
    </w:p>
    <w:p w14:paraId="26E70C6C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AS.</w:t>
      </w:r>
      <w:r w:rsidRPr="008308A0">
        <w:rPr>
          <w:lang w:val="hr-HR"/>
        </w:rPr>
        <w:tab/>
        <w:t>budući da 60 % poduzeća iz EU-a prijavilo poteškoće u zapošljavanju kvalificiranih radnika u područjima kao što su umjetna inteligencija, kibernetička sigurnost i čiste tehnologije, što je velika prepreka inovacijama, konkurentnosti te zelenoj i digitalnoj tranziciji;</w:t>
      </w:r>
    </w:p>
    <w:p w14:paraId="08D44768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AT.</w:t>
      </w:r>
      <w:r w:rsidRPr="008308A0">
        <w:rPr>
          <w:lang w:val="hr-HR"/>
        </w:rPr>
        <w:tab/>
        <w:t xml:space="preserve">budući da aktualna kretanja na tržištu rada, uključujući otpuštanja na svjetskoj razni i političku nestabilnost izvan EU-a, stvaraju priliku za privlačenje visokokvalificiranih digitalnih talenata u EU; </w:t>
      </w:r>
    </w:p>
    <w:p w14:paraId="52C40EC9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AU.</w:t>
      </w:r>
      <w:r w:rsidRPr="008308A0">
        <w:rPr>
          <w:lang w:val="hr-HR"/>
        </w:rPr>
        <w:tab/>
        <w:t>budući da je za povećanje konkurentnosti i otpornosti potrebno odgovarajuće financiranje; budući da javno financiranje može djelovati kao katalizator, a da su privatna ulaganja i konkurentne tržišne sile ključni za dugoročni razvoj digitalne infrastrukture;</w:t>
      </w:r>
    </w:p>
    <w:p w14:paraId="46782317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AV.</w:t>
      </w:r>
      <w:r w:rsidRPr="008308A0">
        <w:rPr>
          <w:lang w:val="hr-HR"/>
        </w:rPr>
        <w:tab/>
        <w:t xml:space="preserve">budući da je snažan i prilagodljiv ekosustav istraživanja i inovacija koji se temelji na izvrsnosti presudan za osiguravanje globalne konkurentnosti i vodstva EU-a u području strateških tehnologija, kao što su kvantna tehnologija i umjetna inteligencija; </w:t>
      </w:r>
    </w:p>
    <w:p w14:paraId="09E6FCAE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AW.</w:t>
      </w:r>
      <w:r w:rsidRPr="008308A0">
        <w:rPr>
          <w:lang w:val="hr-HR"/>
        </w:rPr>
        <w:tab/>
        <w:t>budući da je normizacija u središtu istinske europske digitalne i tehnološke suverenosti; budući da važnost normi raste zbog sve većeg tehnološkog tržišnog natjecanja diljem svijeta, posebno sa Sjedinjenim Američkim Državama i Kinom;</w:t>
      </w:r>
    </w:p>
    <w:p w14:paraId="7D785215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AX.</w:t>
      </w:r>
      <w:r w:rsidRPr="008308A0">
        <w:rPr>
          <w:lang w:val="hr-HR"/>
        </w:rPr>
        <w:tab/>
        <w:t xml:space="preserve">budući da je EU predan pregovorima o sveobuhvatnim sporazumima o digitalnoj trgovini s partnerskim zemljama s ciljem promicanja sigurnog, otpornog i konkurentnog razvoja digitalne infrastrukture; </w:t>
      </w:r>
    </w:p>
    <w:p w14:paraId="0BF1FCA6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AY.</w:t>
      </w:r>
      <w:r w:rsidRPr="008308A0">
        <w:rPr>
          <w:lang w:val="hr-HR"/>
        </w:rPr>
        <w:tab/>
        <w:t>budući da je Komisija najavila sklapanje povijesnih sporazuma o digitalnoj trgovini s Južnom Korejom i Singapurom, čime se postavlja važan presedan za buduće sporazume;</w:t>
      </w:r>
    </w:p>
    <w:p w14:paraId="5D761A16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lastRenderedPageBreak/>
        <w:t>AZ.</w:t>
      </w:r>
      <w:r w:rsidRPr="008308A0">
        <w:rPr>
          <w:lang w:val="hr-HR"/>
        </w:rPr>
        <w:tab/>
        <w:t>budući da su se Parlament i Vijeće postigli dogovor o „horizontalnim odredbama EU-a o prekograničnim tokovima podataka i zaštiti osobnih podataka i privatnosti u glavi o digitalnoj trgovini trgovinskih sporazuma EU-a”, koje je odobrila Komisija i koje i dalje predstavljaju važan alat u području digitalne trgovine i sklapanja novih sporazuma o digitalnoj trgovini;</w:t>
      </w:r>
    </w:p>
    <w:p w14:paraId="16D39729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Opći uvod</w:t>
      </w:r>
    </w:p>
    <w:p w14:paraId="4E5AB937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1.</w:t>
      </w:r>
      <w:r w:rsidRPr="008308A0">
        <w:rPr>
          <w:lang w:val="hr-HR"/>
        </w:rPr>
        <w:tab/>
        <w:t>naglašava da je europski suverenitet sposobnost izgradnje kapaciteta, otpornosti i sigurnosti smanjenjem strateških ovisnosti, sprečavanjem oslanjanja na strane aktere i pojedinačne pružatelje usluga te zaštitom kritičnih tehnologija i infrastrukture; poziva na razvoj sveobuhvatnog okvira za procjenu rizika kako bi se pratile ovisnosti u cijelom digitalnom vrijednosnom lancu te kako bi se reagiralo na njih; ističe da bi takav okvir trebao služiti kao temelj za osiguravanje pripravnosti i otpornosti EU-a jačanjem europske industrijske politike i povećanjem domaćih kapaciteta za istraživanje i razvoj te proizvodnju u području strateških tehnologija;</w:t>
      </w:r>
    </w:p>
    <w:p w14:paraId="09804B1A" w14:textId="77777777" w:rsidR="00BB277F" w:rsidRPr="008308A0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2.</w:t>
      </w:r>
      <w:r w:rsidRPr="008308A0">
        <w:rPr>
          <w:lang w:val="hr-HR"/>
        </w:rPr>
        <w:tab/>
        <w:t>smatra da je tehnološka suverenost sposobnost osmišljavanja, razvoja i poboljšanja digitalnih tehnologija potrebnih za konkurentnost našeg gospodarstva, dobrobit naših građana i otvorenu stratešku autonomiju EU-a u globaliziranom svijetu; smatra da to uključuje osiguravanje sposobnosti EU-a za donošenje autonomnih odluka, suradnju s pouzdanim trećim zemljama i subjektima, diversifikaciju i jačanje lanaca opskrbe te promicanje koncepta otvorenosti i interoperabilnosti kako bi se osiguralo da Europa ostane privlačan centar za ulaganja;</w:t>
      </w:r>
    </w:p>
    <w:p w14:paraId="19CDC8F0" w14:textId="77777777" w:rsidR="00BB277F" w:rsidRDefault="00BB277F" w:rsidP="00BB277F">
      <w:pPr>
        <w:pStyle w:val="NormalHanging12a"/>
        <w:rPr>
          <w:lang w:val="hr-HR"/>
        </w:rPr>
      </w:pPr>
      <w:r w:rsidRPr="008308A0">
        <w:rPr>
          <w:lang w:val="hr-HR"/>
        </w:rPr>
        <w:t>3.</w:t>
      </w:r>
      <w:r w:rsidRPr="008308A0">
        <w:rPr>
          <w:lang w:val="hr-HR"/>
        </w:rPr>
        <w:tab/>
        <w:t>prepoznaje sve veću koncentraciju moći u poduzećima izvan EU-a, što ograničava sposobnost Europe za uvođenje inovacija, natjecanje i održavanje kontrole nad europskim digitalnim gospodarstvom, društvom i demokracijom; izražava zabrinutost zbog prekomjerne ovisnosti o akterima izvan EU-a u ključnim područjima kao što su infrastruktura u oblaku, poluvodiči, umjetna inteligencija i kibernetička sigurnost, u kojima koncentracija tržišta i strana kontrola ugrožavaju konkurentnost, demokratsku otpornost i sigurnost Europe;</w:t>
      </w:r>
    </w:p>
    <w:p w14:paraId="752B00FE" w14:textId="61038A80" w:rsidR="000404C2" w:rsidRPr="000404C2" w:rsidRDefault="000404C2" w:rsidP="00BB277F">
      <w:pPr>
        <w:pStyle w:val="NormalHanging12a"/>
        <w:rPr>
          <w:bCs/>
          <w:iCs/>
          <w:lang w:val="hr-HR"/>
        </w:rPr>
      </w:pPr>
      <w:r>
        <w:rPr>
          <w:bCs/>
          <w:iCs/>
          <w:snapToGrid/>
          <w:szCs w:val="24"/>
          <w:lang w:val="hr-HR"/>
        </w:rPr>
        <w:t>4</w:t>
      </w:r>
      <w:r w:rsidRPr="00721DC0">
        <w:rPr>
          <w:bCs/>
          <w:iCs/>
          <w:snapToGrid/>
          <w:szCs w:val="24"/>
          <w:lang w:val="hr-HR"/>
        </w:rPr>
        <w:t>.</w:t>
      </w:r>
      <w:r w:rsidRPr="000404C2">
        <w:rPr>
          <w:bCs/>
          <w:iCs/>
          <w:snapToGrid/>
          <w:szCs w:val="24"/>
          <w:lang w:val="hr-HR"/>
        </w:rPr>
        <w:tab/>
      </w:r>
      <w:r w:rsidRPr="00721DC0">
        <w:rPr>
          <w:bCs/>
          <w:iCs/>
          <w:snapToGrid/>
          <w:szCs w:val="24"/>
          <w:lang w:val="hr-HR"/>
        </w:rPr>
        <w:t xml:space="preserve">ponovno potvrđuje da EU mora ostati suveren u provedbi svojih zakona, posebno u digitalnom području; oštro osuđuje i poziva na ukidanje zabrana putovanja koje su Sjedinjene Američke Države nametnule čelnicima civilnog društva </w:t>
      </w:r>
      <w:proofErr w:type="spellStart"/>
      <w:r w:rsidRPr="00721DC0">
        <w:rPr>
          <w:bCs/>
          <w:iCs/>
          <w:snapToGrid/>
          <w:szCs w:val="24"/>
          <w:lang w:val="hr-HR"/>
        </w:rPr>
        <w:t>Imranu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 Ahmedu, Clare </w:t>
      </w:r>
      <w:proofErr w:type="spellStart"/>
      <w:r w:rsidRPr="00721DC0">
        <w:rPr>
          <w:bCs/>
          <w:iCs/>
          <w:snapToGrid/>
          <w:szCs w:val="24"/>
          <w:lang w:val="hr-HR"/>
        </w:rPr>
        <w:t>Melford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, Anni-Leni von </w:t>
      </w:r>
      <w:proofErr w:type="spellStart"/>
      <w:r w:rsidRPr="00721DC0">
        <w:rPr>
          <w:bCs/>
          <w:iCs/>
          <w:snapToGrid/>
          <w:szCs w:val="24"/>
          <w:lang w:val="hr-HR"/>
        </w:rPr>
        <w:t>Hodenberg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 i </w:t>
      </w:r>
      <w:proofErr w:type="spellStart"/>
      <w:r w:rsidRPr="00721DC0">
        <w:rPr>
          <w:bCs/>
          <w:iCs/>
          <w:snapToGrid/>
          <w:szCs w:val="24"/>
          <w:lang w:val="hr-HR"/>
        </w:rPr>
        <w:t>Josephine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 </w:t>
      </w:r>
      <w:proofErr w:type="spellStart"/>
      <w:r w:rsidRPr="00721DC0">
        <w:rPr>
          <w:bCs/>
          <w:iCs/>
          <w:snapToGrid/>
          <w:szCs w:val="24"/>
          <w:lang w:val="hr-HR"/>
        </w:rPr>
        <w:t>Ballon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, čiji rad doprinosi sigurnijem digitalnom okruženju za sve i poziva na odgovornost digitalne platforme, kao i zabrane putovanja koju su Sjedinjene Američke Države nametnule bivšem povjereniku EU-a </w:t>
      </w:r>
      <w:proofErr w:type="spellStart"/>
      <w:r w:rsidRPr="00721DC0">
        <w:rPr>
          <w:bCs/>
          <w:iCs/>
          <w:snapToGrid/>
          <w:szCs w:val="24"/>
          <w:lang w:val="hr-HR"/>
        </w:rPr>
        <w:t>Thierryju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 </w:t>
      </w:r>
      <w:proofErr w:type="spellStart"/>
      <w:r w:rsidRPr="00721DC0">
        <w:rPr>
          <w:bCs/>
          <w:iCs/>
          <w:snapToGrid/>
          <w:szCs w:val="24"/>
          <w:lang w:val="hr-HR"/>
        </w:rPr>
        <w:t>Bretonu</w:t>
      </w:r>
      <w:proofErr w:type="spellEnd"/>
      <w:r w:rsidRPr="00721DC0">
        <w:rPr>
          <w:bCs/>
          <w:iCs/>
          <w:snapToGrid/>
          <w:szCs w:val="24"/>
          <w:lang w:val="hr-HR"/>
        </w:rPr>
        <w:t>, koji je imao ključnu ulogu u uspostavi digitalnih pravila EU-a; poziva Komisiju i države članice da odlučno odgovore na te dosad nezabilježene napade; prima na znanje nedavne provedbene mjere poduzete u skladu s Aktom o digitalnim uslugama</w:t>
      </w:r>
      <w:r>
        <w:rPr>
          <w:rStyle w:val="FootnoteReference"/>
          <w:bCs/>
          <w:iCs/>
          <w:snapToGrid/>
          <w:szCs w:val="24"/>
          <w:lang w:val="hr-HR"/>
        </w:rPr>
        <w:footnoteReference w:id="26"/>
      </w:r>
      <w:r w:rsidRPr="00721DC0">
        <w:rPr>
          <w:bCs/>
          <w:iCs/>
          <w:snapToGrid/>
          <w:szCs w:val="24"/>
          <w:lang w:val="hr-HR"/>
        </w:rPr>
        <w:t xml:space="preserve"> za kršenja obveza transparentnosti i smanjenja rizika, kao što je novčana kazna od 120 milijuna EUR protiv X-a; podsjeća da je cilj provedbe digitalnog zakonodavstva EU-a osigurati usklađenost s pravom EU-a i zaštitu temeljnih prava, a ne regulirati politička mišljenja; naglašava da uvođenje novih funkcija vrlo velikih internetskih platformi, uključujući one koje se temelje na generativnoj umjetnoj </w:t>
      </w:r>
      <w:r w:rsidRPr="00721DC0">
        <w:rPr>
          <w:bCs/>
          <w:iCs/>
          <w:snapToGrid/>
          <w:szCs w:val="24"/>
          <w:lang w:val="hr-HR"/>
        </w:rPr>
        <w:lastRenderedPageBreak/>
        <w:t xml:space="preserve">inteligenciji, mora biti popraćeno odgovarajućim zaštitnim mjerama i mjerama za smanjenje rizika kako bi se osigurala potpuna usklađenost s pravom EU-a, posebno u pogledu sprečavanja širenja nezakonitog ili manipuliranog sadržaja; osuđuje potporu koju pružaju određene političke stranke, kao što su </w:t>
      </w:r>
      <w:proofErr w:type="spellStart"/>
      <w:r w:rsidRPr="00721DC0">
        <w:rPr>
          <w:bCs/>
          <w:iCs/>
          <w:snapToGrid/>
          <w:szCs w:val="24"/>
          <w:lang w:val="hr-HR"/>
        </w:rPr>
        <w:t>AfD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, </w:t>
      </w:r>
      <w:proofErr w:type="spellStart"/>
      <w:r w:rsidRPr="00721DC0">
        <w:rPr>
          <w:bCs/>
          <w:iCs/>
          <w:snapToGrid/>
          <w:szCs w:val="24"/>
          <w:lang w:val="hr-HR"/>
        </w:rPr>
        <w:t>Reconquête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, </w:t>
      </w:r>
      <w:proofErr w:type="spellStart"/>
      <w:r w:rsidRPr="00721DC0">
        <w:rPr>
          <w:bCs/>
          <w:iCs/>
          <w:snapToGrid/>
          <w:szCs w:val="24"/>
          <w:lang w:val="hr-HR"/>
        </w:rPr>
        <w:t>Fidesz</w:t>
      </w:r>
      <w:proofErr w:type="spellEnd"/>
      <w:r w:rsidRPr="00721DC0">
        <w:rPr>
          <w:bCs/>
          <w:iCs/>
          <w:snapToGrid/>
          <w:szCs w:val="24"/>
          <w:lang w:val="hr-HR"/>
        </w:rPr>
        <w:t xml:space="preserve"> ili </w:t>
      </w:r>
      <w:proofErr w:type="spellStart"/>
      <w:r w:rsidRPr="00721DC0">
        <w:rPr>
          <w:bCs/>
          <w:iCs/>
          <w:snapToGrid/>
          <w:szCs w:val="24"/>
          <w:lang w:val="hr-HR"/>
        </w:rPr>
        <w:t>Konfederacja</w:t>
      </w:r>
      <w:proofErr w:type="spellEnd"/>
      <w:r w:rsidRPr="00721DC0">
        <w:rPr>
          <w:bCs/>
          <w:iCs/>
          <w:snapToGrid/>
          <w:szCs w:val="24"/>
          <w:lang w:val="hr-HR"/>
        </w:rPr>
        <w:t>, koje ponavljaju diskurse koji potječu izvan EU-a i oslabljuju digitalno zakonodavstvo i demokratske vrijednosti EU-a;</w:t>
      </w:r>
    </w:p>
    <w:p w14:paraId="06A26446" w14:textId="1FF3169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smatra da bi ambicije EU-a u području industrijske tehnologije trebale biti usredotočene na ključne strateške tehnologije budućnosti, kao što su poluvodičke tehnologije ili kvantna tehnologija, koje doprinose otvorenoj strateškoj autonomiji EU-a te su od presudne važnosti za našu zelenu, digitalnu i obrambenu tranziciju;</w:t>
      </w:r>
    </w:p>
    <w:p w14:paraId="1EED970A" w14:textId="4BB731EB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prepoznaje promjenu geopolitičkog krajolika i priliku koja iz toga proizlazi za tržišnu potražnju za europskim proizvodima i uslugama; smatra da je to prilika za pozicioniranje Europe kao globalnog predvodnika u pouzdanim i sigurnim digitalnim rješenjima;</w:t>
      </w:r>
    </w:p>
    <w:p w14:paraId="1BC82AA9" w14:textId="4E02D6A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ističe potrebu za poticajnim regulatornim okruženjem kojim se potiču inovacije, ulaganja i razvoj najsuvremenijih tehnologija u Europi, uz istodobnu zaštitu krajnjih korisnika iz EU-a od posljedica </w:t>
      </w:r>
      <w:proofErr w:type="spellStart"/>
      <w:r w:rsidR="00BB277F" w:rsidRPr="008308A0">
        <w:rPr>
          <w:lang w:val="hr-HR"/>
        </w:rPr>
        <w:t>izvanteritorijalnosti</w:t>
      </w:r>
      <w:proofErr w:type="spellEnd"/>
      <w:r w:rsidR="00BB277F" w:rsidRPr="008308A0">
        <w:rPr>
          <w:lang w:val="hr-HR"/>
        </w:rPr>
        <w:t>;</w:t>
      </w:r>
    </w:p>
    <w:p w14:paraId="69194892" w14:textId="5DF13C59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prepoznaje potrebu za sveobuhvatnom europskom industrijskom politikom za digitalni ekosustav, kojom bi se integrirala sva relevantna područja politike kao što su pristup tržištu, standardizacija, istraživanje i razvoj, ulaganja, trgovina i međunarodna suradnja; poziva Komisiju da razvije tu sveobuhvatnu politiku u cilju smanjenja štetnih strateških ovisnosti, jačanja domaćih lanaca vrijednosti te osiguravanja sigurnog i pouzdanog digitalnog ekosustava utemeljenog na inovacijama i usklađenog s europskim vrijednostima;</w:t>
      </w:r>
    </w:p>
    <w:p w14:paraId="0A01E534" w14:textId="0AA51C5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podsjeća na to da visokotehnološka tržišta proizvoda i digitalnih usluga uvelike ovise o vanjskim lancima opskrbe, što predstavlja rizik za suverenitet i otpornost; ističe važnost jačanja industrijskih kapaciteta i tehnološkog stručnog znanja u području novih i </w:t>
      </w:r>
      <w:proofErr w:type="spellStart"/>
      <w:r w:rsidR="00BB277F" w:rsidRPr="008308A0">
        <w:rPr>
          <w:lang w:val="hr-HR"/>
        </w:rPr>
        <w:t>disruptivnih</w:t>
      </w:r>
      <w:proofErr w:type="spellEnd"/>
      <w:r w:rsidR="00BB277F" w:rsidRPr="008308A0">
        <w:rPr>
          <w:lang w:val="hr-HR"/>
        </w:rPr>
        <w:t xml:space="preserve"> tehnologija kako bi se poduprla otvorena strateška autonomija EU-a;</w:t>
      </w:r>
    </w:p>
    <w:p w14:paraId="05C2BF68" w14:textId="7B3C1E2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da jačanje tehnološke suverenosti Europe u doba brzog tehnološkog razvoja zahtijeva jačanje inovacija i komercijalizacije kako bi se izgradili potrebni kapaciteti; ističe da se Europa mora preobraziti u globalno privlačno i prilagodljivo poslovno okruženje na temelju smanjenja birokracije, povećanja regulatorne predvidljivosti te poticanja poduzetništva i preuzimanja rizika;</w:t>
      </w:r>
    </w:p>
    <w:p w14:paraId="1B359F26" w14:textId="4C5E7A8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uviđa da otvorena strateška autonomija i demokratska otpornost moraju biti u središtu programa Komisije te da sveobuhvatan pristup mora uključivati javnu nabavu, financiranje i dugoročne institucionalne okvire za uspostavu i održavanje suverenih digitalnih infrastruktura u ključnim područjima;</w:t>
      </w:r>
    </w:p>
    <w:p w14:paraId="73272847" w14:textId="5F8EEF9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analizira kritične ovisnosti u području digitalne infrastrukture i tehnologija te da sastavi sveobuhvatan popis tih ovisnosti i razmotri, barem, usluge pohrane, sustave identifikacije i plaćanja, komunikacijske platforme, ali i softver, protokole i standarde koji ih podržavaju, te da predloži mjere za potporu pristupu tržištu proizvoda i usluga sa snažnim pozitivnim utjecajem na tehnološki suverenitet, otpornost i održivost EU-a; u tom pogledu smatra da se primjena posebnih kriterija za dodjelu u javnoj nabavi može promicati u područjima u kojima postoje takve kritične ovisnosti; </w:t>
      </w:r>
      <w:r w:rsidR="00BB277F" w:rsidRPr="008308A0">
        <w:rPr>
          <w:lang w:val="hr-HR"/>
        </w:rPr>
        <w:lastRenderedPageBreak/>
        <w:t>smatra da takvi kriteriji mogu pomoći u poticanju tržišnog natjecanja i jačanju europske tehnološke suverenosti olakšavanjem nabave europskih digitalnih proizvoda i usluga, gdje je to moguće;</w:t>
      </w:r>
    </w:p>
    <w:p w14:paraId="404123D4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snapToGrid/>
          <w:lang w:val="hr-HR"/>
        </w:rPr>
        <w:t>Digitalna javna infrastruktura</w:t>
      </w:r>
    </w:p>
    <w:p w14:paraId="1E08558F" w14:textId="098A8BA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čvrsto vjeruje da je digitalna infrastruktura okosnica našeg gospodarstva i da bi stoga trebao postojati osnovni sloj digitalne javne infrastrukture, koji bi osiguravao suverenost i tržišno okruženje pogodno za tržišno natjecanje; primjećuje da tržište u brojnim važnim područjima nije razvilo taj osnovni sloj, što je dovelo do monopola i oslanjanja na strane aktere; naglašava da bi, kako bi se popunila ta praznina, EU trebao preuzeti vodeću ulogu u stvaranju čvrstih temelja za digitalnu javnu infrastrukturu stvaranjem slojeva digitalnih tehnologija koje se sastoje od poluvodiča, rješenja za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>, infrastrukture u oblaku, softvera, podataka i umjetne inteligencije; smatra da bi se europska digitalna javna infrastruktura trebala temeljiti na pravednim i konkurentnim gospodarskim modelima te da bi se trebala koristiti modelima upravljanja u kojima ni privatna poduzeća ni vlade ne zadržavaju centraliziranu kontrolu; smatra da bi se ta infrastruktura trebala temeljiti na zajedničkim i otvorenim standardima, uključivati interoperabilnost i međusobnu povezanost, kako bi se spriječila ovisnost korisnika o određenom pružatelju usluga te kako bi se potaknule inovacije olakšavanjem ulaska novih sudionika na tržište, kao i da bi se njome trebala osigurati privatnost i sigurnost kao standard;</w:t>
      </w:r>
    </w:p>
    <w:p w14:paraId="40C704BF" w14:textId="231CAC6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smatra da bi uvođenje digitalne javne infrastrukture trebalo biti usmjereno na područja u kojima su prisutne kritične ovisnosti, kako je utvrđeno na sveobuhvatnom popisu Komisije; poziva Komisiju da pripremi detaljan i sveobuhvatan plan za uspostavu europske digitalne javne infrastrukture utvrđivanjem tehnologija koje su najprikladnije za europsko djelovanje te potiče Komisiju i države članice da namijene odgovarajuća sredstva za uvođenje digitalne javne infrastrukture;</w:t>
      </w:r>
    </w:p>
    <w:p w14:paraId="2E0DFD43" w14:textId="1E0E0B3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ističe da bi europsku digitalnu javnu infrastrukturu trebalo poticati koordiniranim djelovanjem na razini EU-a kako bi se osigurala prisutnost i konkurentnost europskih pružatelja te konkurentno tržišno okruženje; ističe da za ostvarivanje tih ciljeva neće biti dovoljna samo regulacija već da će trebati i velika javna ulaganja; uviđa da bi predstojeći višegodišnji financijski okvir (VFO) stoga trebao uključivati dodatna sredstva namijenjena za tu svrhu, s naglaskom na dodanoj vrijednosti EU-a i financiranju osnovnog sloja europske digitalne javne infrastrukture;</w:t>
      </w:r>
    </w:p>
    <w:p w14:paraId="69B9C010" w14:textId="1BD0E7C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konstatira da se u okviru predstojećeg VFO-a EU mora obvezati na povećanje rashoda za postizanje tehnološke suverenosti; ističe da bi to trebalo uključivati namjensku omotnicu za razvoj i uvođenje slojeva digitalne javne infrastrukture utvrđenih na sveobuhvatnom popisu Komisije kao i dodatna sredstva u drugim digitalnim područjima kako bi se osiguralo tržišno okruženje pogodno za tržišno natjecanje; </w:t>
      </w:r>
    </w:p>
    <w:p w14:paraId="160A2605" w14:textId="3858192E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bi se pri financiranju u okviru predstojećeg VFO-a prednost trebala davati aktivnoj izgradnji kapaciteta u ključnim područjima hardvera, softvera i usluga, uključujući računalstvo visokih performansi, kvantno računalstvo, šifriranje i komunikaciju,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>, računalstvo u oblaku, podatke, mrežne ekosustave i ekosustave umjetne inteligencije te digitalne knjižnice;</w:t>
      </w:r>
    </w:p>
    <w:p w14:paraId="1E613921" w14:textId="26CABE6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bi se europska digitalna javna infrastruktura trebala temeljiti na vrijednostima EU-a i ostati otvorena za partnere izvan EU-a koji s Unijom dijele slične stavove; </w:t>
      </w:r>
      <w:r w:rsidR="00BB277F" w:rsidRPr="008308A0">
        <w:rPr>
          <w:lang w:val="hr-HR"/>
        </w:rPr>
        <w:lastRenderedPageBreak/>
        <w:t xml:space="preserve">poziva Komisiju i države članice da nastave ulagati napore i daju veći poticaj procesu u okviru programa Ujedinjenih naroda za razvoj digitalne javne infrastrukture; </w:t>
      </w:r>
    </w:p>
    <w:p w14:paraId="12D95A04" w14:textId="4AF7FE5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prepoznaje usluge e-uprave kao ključne pokretače učinkovitog, sigurnog i pristupačnog pružanja javnih usluga, koje bi trebale biti osmišljene tako da olakšavaju digitalnu identifikaciju, razmjenu podataka javnog sektora i plaćanja u javnom sektoru bez narušavanja tržišta ili ugrožavanja postojećih rješenja privatnog sektora; naglašava da bi pristup EU-a uslugama e-uprave trebao biti usmjeren na jačanje digitalne interakcije između državnih tijela i građana te između državnih tijela i poduzeća, uz istodobno osiguravanje povjerenja, interoperabilnosti i pristupačnosti; stoga smatra da je za siguran i nesmetan pristup javnim uslugama potreban pouzdan okvir za e-identifikaciju; pozdravlja najavu „poslovne lisnice”, čija je svrha uvelike pojednostavniti međusobnu povezanost poduzeća i javnih tijela;</w:t>
      </w:r>
    </w:p>
    <w:p w14:paraId="375F19AE" w14:textId="26E61A6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na daljnji razvoj podatkovnih platformi od javnog interesa, kojima će se omogućiti sigurna prekogranična razmjena podataka između javnih i privatnih subjekata za upotrebu, prvenstveno u zdravstvu, urbanističkom planiranju i praćenju okoliša; nadalje, poziva Komisiju da promiče interoperabilnost između podatkovnih platformi od javnog odnosno sektorskog interesa, osiguravajući nesmetan protok podataka uz istodobno maksimalno smanjenje administrativnog opterećenja; napominje da bi se to moglo postići korištenjem postojećih tržišno usmjerenih rješenja kojima se potiču inovacije, održava povjerenje te poštuju standardi privatnosti i sigurnosti; </w:t>
      </w:r>
    </w:p>
    <w:p w14:paraId="5668F3F6" w14:textId="64902C2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uviđa da u skladu s postojećim pravnim okvirom europski građani imaju pravo kontrolirati svoje osobne podatke te da se podaci generirani u EU-u moraju obrađivati u skladu s pravom EU-a; ističe da je zaštita privatnosti i osobnih podataka ključna za izgradnju povjerenja u digitalno gospodarstvo jer europskim potrošačima daje osjećaj sigurnosti, bez obzira na to gdje se njihovi podaci obrađuju; ističe da europska poduzeća, a posebno mala i srednja poduzeća (MSP-ovi), moraju biti u stanju upotrebljavati podatke na zakonit, etički i siguran način kako bi poticala održiv rast i konkurentnost;</w:t>
      </w:r>
    </w:p>
    <w:p w14:paraId="136416B6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Digitalna infrastruktura</w:t>
      </w:r>
    </w:p>
    <w:p w14:paraId="01C7FEA4" w14:textId="09FB81C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ističe da je digitalna infrastruktura okosnica europskog gospodarstva i društva te da će ona i dalje dobivati na važnosti; poziva Komisiju da na zatraženi popis kritičnih ovisnosti uvrsti sveobuhvatnu procjenu sastava europske digitalne infrastrukture kako bi se na odgovarajući način analiziralo aktualno stanje, procijenili rizici i koordiniralo djelovanje; </w:t>
      </w:r>
    </w:p>
    <w:p w14:paraId="708087BB" w14:textId="10ADA6E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je za jačanje digitalne infrastrukture neophodno provesti inicijative za izgradnju kapaciteta u ključnim područjima na razini EU-a; smatra da bi te inicijative trebale biti usmjerene na razvoj osnovnog sloja javne infrastrukture, kao što su mreža </w:t>
      </w:r>
      <w:proofErr w:type="spellStart"/>
      <w:r w:rsidR="00BB277F" w:rsidRPr="008308A0">
        <w:rPr>
          <w:lang w:val="hr-HR"/>
        </w:rPr>
        <w:t>gigatvornica</w:t>
      </w:r>
      <w:proofErr w:type="spellEnd"/>
      <w:r w:rsidR="00BB277F" w:rsidRPr="008308A0">
        <w:rPr>
          <w:lang w:val="hr-HR"/>
        </w:rPr>
        <w:t xml:space="preserve"> umjetne inteligencije i europski model indeksiranja interneta; mišljenja je da će taj poduzećima omogućiti da razvijaju svoje poslovne modele i ojačaju tehnološku suverenost; ističe digitalna rješenja koja je kreirao EU, kao što je digitalni identitet EU-a, koja za digitalno gospodarstvo EU-a mogu osigurati inovativnu infrastrukturu;</w:t>
      </w:r>
    </w:p>
    <w:p w14:paraId="0DE40CF2" w14:textId="70E9957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prepoznaje stratešku važnost kritične digitalne infrastrukture i potrebu za jačanjem njezine sigurnosti i otpornosti; smatra da kritična digitalna infrastruktura uključuje, ali nije ograničena na kabele (kopnene i podmorske), odašiljače za mobilne mreže, satelitske komunikacijske sustave, </w:t>
      </w:r>
      <w:proofErr w:type="spellStart"/>
      <w:r w:rsidR="00BB277F" w:rsidRPr="008308A0">
        <w:rPr>
          <w:lang w:val="hr-HR"/>
        </w:rPr>
        <w:t>radiofrekvencijsku</w:t>
      </w:r>
      <w:proofErr w:type="spellEnd"/>
      <w:r w:rsidR="00BB277F" w:rsidRPr="008308A0">
        <w:rPr>
          <w:lang w:val="hr-HR"/>
        </w:rPr>
        <w:t xml:space="preserve"> i radijsku opremu, poslužitelje u </w:t>
      </w:r>
      <w:r w:rsidR="00BB277F" w:rsidRPr="008308A0">
        <w:rPr>
          <w:lang w:val="hr-HR"/>
        </w:rPr>
        <w:lastRenderedPageBreak/>
        <w:t>oblaku koji sadrže osjetljive informacije i podatkovne centre koji obrađuju osjetljive informacije kao i određene softverske elemente, uključujući sigurnosni softver kojim se štite kritične mreže i podatkovni centri;</w:t>
      </w:r>
    </w:p>
    <w:p w14:paraId="00D15BA3" w14:textId="4C178EA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ističe da se treba pobrinuti za to da ta infrastruktura bude u nadležnosti EU-a, odnosno da u potpunosti poštuje odredbe prava EU-a; stoga poziva Komisiju da uvede zakonodavstvo za ublažavanje rizika koje predstavljaju visokorizični dobavljači iz zemalja izvan EU-a, uključujući rizike koje predstavljaju pružatelji energetskih resursa pod stranom kontrolom;</w:t>
      </w:r>
    </w:p>
    <w:p w14:paraId="7AB526C5" w14:textId="3EC8A54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se pri pripremi budućih zakonodavnih prijedloga i predstojećeg VFO-a usredotoči na produbljivanje jedinstvenog tržišta, u skladu s preporukama iz izvješćâ Enrica </w:t>
      </w:r>
      <w:proofErr w:type="spellStart"/>
      <w:r w:rsidR="00BB277F" w:rsidRPr="008308A0">
        <w:rPr>
          <w:lang w:val="hr-HR"/>
        </w:rPr>
        <w:t>Lette</w:t>
      </w:r>
      <w:proofErr w:type="spellEnd"/>
      <w:r w:rsidR="00BB277F" w:rsidRPr="008308A0">
        <w:rPr>
          <w:lang w:val="hr-HR"/>
        </w:rPr>
        <w:t xml:space="preserve"> „Puno više od tržišta” i Marija </w:t>
      </w:r>
      <w:proofErr w:type="spellStart"/>
      <w:r w:rsidR="00BB277F" w:rsidRPr="008308A0">
        <w:rPr>
          <w:lang w:val="hr-HR"/>
        </w:rPr>
        <w:t>Draghija</w:t>
      </w:r>
      <w:proofErr w:type="spellEnd"/>
      <w:r w:rsidR="00BB277F" w:rsidRPr="008308A0">
        <w:rPr>
          <w:lang w:val="hr-HR"/>
        </w:rPr>
        <w:t xml:space="preserve"> „Budućnost europske konkurentnosti”, s ciljem oslobađanja potencijala jedinstvenog digitalnog tržišta;</w:t>
      </w:r>
    </w:p>
    <w:p w14:paraId="129D5A5E" w14:textId="3278DA3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prima na znanje preporuke utvrđene u tima dvama izvješćima u skladu s kojima je EU-u potrebna promjena paradigme s promicanja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 xml:space="preserve"> u EU-u na uspostavu jedinstvenog tržišta elektroničkih komunikacija i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>; podržava pojednostavljen i usklađen telekomunikacijski okvir koji pogoduje inovacijama i kojim se osigurava pošteno tržišno natjecanje i pristupačnost infrastrukture;</w:t>
      </w:r>
    </w:p>
    <w:p w14:paraId="39A07E79" w14:textId="6157AEB7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pozdravlja Bijelu knjigu Komisije „Kako odgovoriti na potrebe europske digitalne infrastrukture?”, u kojoj se navode tri stupa: stvaranje „mreže 3C” – mreže „povezanog kolaborativnog računalstva”, dovršenje jedinstvenog digitalnog tržišta te sigurna i otporna digitalna infrastruktura za Europu;</w:t>
      </w:r>
    </w:p>
    <w:p w14:paraId="5D20B5E2" w14:textId="7BD69AA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29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Bijelu knjigu i naknadni postupak savjetovanja vidi kao dio pripreme zakonodavnih inicijativa planiranih za ovaj saziv, uključujući Akt o digitalnim mrežama; poziva Komisiju da zauzme cjelovitiji pristup digitalnoj infrastrukturi tijekom cijelog tog procesa te da prizna da digitalna infrastruktura obuhvaća brojne elemente, a ne samo dimenziju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>; naglašava da je svaku novu mjeru digitalne politike potrebno popratiti procjenom učinka;</w:t>
      </w:r>
    </w:p>
    <w:p w14:paraId="4AEE7558" w14:textId="72F8531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potiče Komisiju da pojednostavi i uskladi telekomunikacijska pravila u okviru predstojećeg Akta o digitalnim mrežama i šireg digitalnog paketa;</w:t>
      </w:r>
    </w:p>
    <w:p w14:paraId="39188D6E" w14:textId="3B98390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uvede Akt EU-a o razvoju usluga u oblaku i umjetne inteligencije kako bi se ojačala europska podatkovna infrastruktura i promicali europski pružatelji usluga u oblaku; ističe da bi cilj tog akta trebao biti aktivna izgradnja europskog jedinstvenog tržišta za računalstvo u oblaku i umjetnu inteligenciju;</w:t>
      </w:r>
    </w:p>
    <w:p w14:paraId="7DF69457" w14:textId="59D17B4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priznaje da su za uvođenje najsuvremenije digitalne infrastrukture diljem EU-a potrebna velika ulaganja i uviđa da su za postizanje tog cilja ključni i javno i privatno financiranje; izražava zabrinutost zbog stalnog manjka poduzetničkog kapitala i financiranja ulaganja u Europi, koji ugrožavaju tehnološku suverenost; poziva Komisiju da uvelike poveća mehanizme javno-privatnih ulaganja, uključujući poduzetnički kapital, strateške platforme i namjenske instrumente financiranja usmjerene na start-</w:t>
      </w:r>
      <w:proofErr w:type="spellStart"/>
      <w:r w:rsidR="00BB277F" w:rsidRPr="008308A0">
        <w:rPr>
          <w:lang w:val="hr-HR"/>
        </w:rPr>
        <w:t>up</w:t>
      </w:r>
      <w:proofErr w:type="spellEnd"/>
      <w:r w:rsidR="00BB277F" w:rsidRPr="008308A0">
        <w:rPr>
          <w:lang w:val="hr-HR"/>
        </w:rPr>
        <w:t xml:space="preserve"> i </w:t>
      </w:r>
      <w:proofErr w:type="spellStart"/>
      <w:r w:rsidR="00BB277F" w:rsidRPr="008308A0">
        <w:rPr>
          <w:lang w:val="hr-HR"/>
        </w:rPr>
        <w:t>scale-up</w:t>
      </w:r>
      <w:proofErr w:type="spellEnd"/>
      <w:r w:rsidR="00BB277F" w:rsidRPr="008308A0">
        <w:rPr>
          <w:lang w:val="hr-HR"/>
        </w:rPr>
        <w:t xml:space="preserve"> poduzeća u sektorima kritičnih tehnologija; ističe važnost iskorištavanja javne nabave za potporu uvođenju i širenju otvorenih i </w:t>
      </w:r>
      <w:proofErr w:type="spellStart"/>
      <w:r w:rsidR="00BB277F" w:rsidRPr="008308A0">
        <w:rPr>
          <w:lang w:val="hr-HR"/>
        </w:rPr>
        <w:t>interoperabilnih</w:t>
      </w:r>
      <w:proofErr w:type="spellEnd"/>
      <w:r w:rsidR="00BB277F" w:rsidRPr="008308A0">
        <w:rPr>
          <w:lang w:val="hr-HR"/>
        </w:rPr>
        <w:t xml:space="preserve"> digitalnih rješenja te osiguravanja da privatni kapital, tržišno natjecanje i inovacije postanu glavni pokretači digitalne transformacije Europe u srednjoročnom i dugoročnom razdoblju;</w:t>
      </w:r>
    </w:p>
    <w:p w14:paraId="77A5D692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proofErr w:type="spellStart"/>
      <w:r w:rsidRPr="008308A0">
        <w:rPr>
          <w:b/>
          <w:i/>
          <w:lang w:val="hr-HR"/>
        </w:rPr>
        <w:lastRenderedPageBreak/>
        <w:t>Povezivost</w:t>
      </w:r>
      <w:proofErr w:type="spellEnd"/>
      <w:r w:rsidRPr="008308A0">
        <w:rPr>
          <w:b/>
          <w:i/>
          <w:lang w:val="hr-HR"/>
        </w:rPr>
        <w:t xml:space="preserve"> velike brzine</w:t>
      </w:r>
    </w:p>
    <w:p w14:paraId="3025A0BE" w14:textId="5472CDD9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se predstojećim Aktom o digitalnim mrežama mora poduprijeti cilj pružanja visokokvalitetne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 xml:space="preserve"> svim potrošačima u EU-u do 2030., posebno u udaljenim i ruralnim područjima, kao i uklanjanja administrativnih prepreka za uvođenje 5G i 6G mreža te sigurne širokopojasne mreže velike brzine; </w:t>
      </w:r>
    </w:p>
    <w:p w14:paraId="2E945CAF" w14:textId="534FD81F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prepoznaje sve veću konvergenciju telekomunikacijske infrastrukture s tehnologijama računalstva u oblaku i na rubu mreže te uviđa potencijal otvorenih radijskih pristupnih mreža za pružanje naprednih tehnoloških rješenja, smanjenje troškova i povećanje interoperabilnosti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 xml:space="preserve">; smatra da budućnost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 xml:space="preserve"> počiva na komplementarnosti raznih tehnologija kao što su 5G/6G, Wi-Fi i satelitska tehnologija, pri čemu nesmetana integracija koristi i poduzećima i potrošačima;</w:t>
      </w:r>
    </w:p>
    <w:p w14:paraId="0CB4803E" w14:textId="3922F26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uviđa da se, s obzirom na to da su usluge u oblaku i na rubu mreže u središtu transformacije, mreže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 xml:space="preserve"> brzo razvijaju u platforme za inovacije i da će sve više ovisiti o računalstvu u oblaku, umjetnoj inteligenciji, virtualizaciji i drugim tehnologijama;</w:t>
      </w:r>
    </w:p>
    <w:p w14:paraId="03A875C3" w14:textId="0CB95A4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na postavljanje ambicioznih ciljeva za razvoj i inovacije u području bežičnih komunikacijskih mreža te na prepoznavanje potrebe za širokim pristupom koji uključuje računalstvo u oblaku, umjetnu inteligenciju, računalstvo na rubu mreže i kvantno računalstvo; ističe da bi inovacijski ekosustav za elektroničke komunikacije, posebno za vertikalno integrirane telekomunikacije, trebao ostati tržišno usmjeren te ustraje u tome da se buduće regulatorne mjere temelje na temeljitim procjenama učinka postojećih propisa koje se zasnivaju na znanju;</w:t>
      </w:r>
    </w:p>
    <w:p w14:paraId="70BA65E5" w14:textId="3DC8B32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uviđa da je tržišno natjecanje među subjektima svih veličina i dalje ključan pokretač ulaganja u mreže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>; poziva države članice da osiguraju postupno isključivanje bakrenih mreža u korist optičkih vlakana ili 5G tehnologija, u prvom redu kada je potrebno redovito održavanje ili moderniziranje mreže, čime bi se osiguralo da se prelazak odvija na ostvariv način i pružateljima usluga omogućilo da se unaprijed logistički i financijski pripreme;</w:t>
      </w:r>
    </w:p>
    <w:p w14:paraId="39E3FAE7" w14:textId="578EA25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ističe da bi svi potrošači u EU-u trebali imati pristup odgovarajućoj kvalitetnoj, pouzdanoj i cjenovno pristupačnoj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 xml:space="preserve">, čime bi se doprinijelo povećanoj potražnji za uslugama </w:t>
      </w:r>
      <w:proofErr w:type="spellStart"/>
      <w:r w:rsidR="00BB277F" w:rsidRPr="008308A0">
        <w:rPr>
          <w:lang w:val="hr-HR"/>
        </w:rPr>
        <w:t>povezivosti</w:t>
      </w:r>
      <w:proofErr w:type="spellEnd"/>
      <w:r w:rsidR="00BB277F" w:rsidRPr="008308A0">
        <w:rPr>
          <w:lang w:val="hr-HR"/>
        </w:rPr>
        <w:t>; poziva Komisiju i države članice da prošire i nadograde digitalne mreže, posebno u ruralnim područjima, te da podrže javno-privatna ulaganja u širokopojasni pristup i uvođenje 5G/6G mreža, uz istodobno zadržavanje standarda kibernetičke sigurnosti i načela integrirane sigurnosti;</w:t>
      </w:r>
    </w:p>
    <w:p w14:paraId="7A1D3B5E" w14:textId="15F680AE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39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uvjeren je da bi, s obzirom na to da će infrastruktura za digitalnu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>, kao što su optička vlakna, 5G i 6G, biti ključna za industrijsku konkurentnost u budućnosti, predstojeći VFO trebao uključivati sredstva za opsežno uvođenje mrežne infrastrukture, čime bi se premostio postojeći jaz u uvođenju kako bi se postigli ciljevi digitalnog desetljeća do 2030., ostvarila paneuropska pokrivenost 5G mrežama za građane te osiguralo uspješno uvođenje alata industrije 4.0;</w:t>
      </w:r>
    </w:p>
    <w:p w14:paraId="4E7B81FA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Optička vlakna</w:t>
      </w:r>
    </w:p>
    <w:p w14:paraId="73364555" w14:textId="2CB358F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važnost ubrzavanja uvođenja svjetlovodnih mreža i modernih bežičnih komunikacijskih sustava koji mogu pružiti brze, sigurne i pouzdane digitalne usluge;</w:t>
      </w:r>
    </w:p>
    <w:p w14:paraId="040ED534" w14:textId="7769000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lastRenderedPageBreak/>
        <w:t>41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prepoznaje potrebu za davanjem prednosti izravnim svjetlovodnim vezama za kućanstva, poduzeća i javne institucije, što je ključno kako bi se osigurala iznimno brza i pouzdana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>, uz uvođenje mreža javnim radovima, u područjima kao što su ceste, voda i električna energija, kako bi se pojednostavnilo uvođenje svjetlovodne mreže;</w:t>
      </w:r>
    </w:p>
    <w:p w14:paraId="4815E12A" w14:textId="1233EA6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uvođenje Akta o gigabitnoj infrastrukturi, kojim se odgovara na sve veće potrebe za bržom, pouzdanom i podatkovno intenzivnom </w:t>
      </w:r>
      <w:proofErr w:type="spellStart"/>
      <w:r w:rsidR="00BB277F" w:rsidRPr="008308A0">
        <w:rPr>
          <w:lang w:val="hr-HR"/>
        </w:rPr>
        <w:t>povezivošću</w:t>
      </w:r>
      <w:proofErr w:type="spellEnd"/>
      <w:r w:rsidR="00BB277F" w:rsidRPr="008308A0">
        <w:rPr>
          <w:lang w:val="hr-HR"/>
        </w:rPr>
        <w:t xml:space="preserve">; uviđa važnost zajedničke upotrebe vodova i stupova za uvođenje mreža vrlo velikog kapaciteta kako bi se optimizirali resursi i smanjili troškovi; potiče države članice da pojednostavne postupke izdavanja dozvola i usklade propise kako bi se smanjile financijske i administrativne prepreke za širenje svjetlovodne infrastrukture; </w:t>
      </w:r>
    </w:p>
    <w:p w14:paraId="0A6BE7B8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5G i 6G</w:t>
      </w:r>
    </w:p>
    <w:p w14:paraId="68A5410D" w14:textId="6CB38E9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smatra da su privatna ulaganja ključna za uvođenje elektroničkih komunikacijskih mreža te 5G i 6G mreža koje su dovoljno napredne u pogledu prijenosa, brzine, kapaciteta pohrane, snage računalstva na rubu mreže i interoperabilnosti;</w:t>
      </w:r>
    </w:p>
    <w:p w14:paraId="26BD8D4E" w14:textId="3F71FA4B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ističe da su provedba i primjena Akta o gigabitnoj infrastrukturi i dalje potrebne za uspostavu jedinstvene kontaktne točke za dozvole i centraliziranog postupka izdavanja digitalnih dozvola kako bi se smanjila kašnjenja u uvođenju infrastrukture i osigurala jedinstvena pravila za pristup infrastrukturi, određivanje cijena i procjene utjecaja na okoliš; zato poziva na ulaganje većih napora u tom području;</w:t>
      </w:r>
    </w:p>
    <w:p w14:paraId="50E2AD4C" w14:textId="129BD50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EU treba snažnu zaštitu u pogledu kibernetičke sigurnosti u svim sektorima kritične infrastrukture, uz strože mjere za smanjenje rizika koje predstavljaju visokorizični pružatelji usluga u području 5G i 6G mreža, osiguravanje gusto postavljenih malih ćelija i tornjeva </w:t>
      </w:r>
      <w:proofErr w:type="spellStart"/>
      <w:r w:rsidR="00BB277F" w:rsidRPr="008308A0">
        <w:rPr>
          <w:lang w:val="hr-HR"/>
        </w:rPr>
        <w:t>makroćelija</w:t>
      </w:r>
      <w:proofErr w:type="spellEnd"/>
      <w:r w:rsidR="00BB277F" w:rsidRPr="008308A0">
        <w:rPr>
          <w:lang w:val="hr-HR"/>
        </w:rPr>
        <w:t xml:space="preserve">, naročito u urbanim i ruralnim područjima s nedosljednom pokrivenošću, te osiguravanje održivosti i energetske učinkovitosti infrastrukture kako bi se poduprla globalna konkurentnost Europe u digitalnom gospodarstvu; </w:t>
      </w:r>
    </w:p>
    <w:p w14:paraId="231F0CC9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proofErr w:type="spellStart"/>
      <w:r w:rsidRPr="008308A0">
        <w:rPr>
          <w:b/>
          <w:i/>
          <w:lang w:val="hr-HR"/>
        </w:rPr>
        <w:t>Radiofrekvencijski</w:t>
      </w:r>
      <w:proofErr w:type="spellEnd"/>
      <w:r w:rsidRPr="008308A0">
        <w:rPr>
          <w:b/>
          <w:i/>
          <w:lang w:val="hr-HR"/>
        </w:rPr>
        <w:t xml:space="preserve"> spektar</w:t>
      </w:r>
    </w:p>
    <w:p w14:paraId="793A3C21" w14:textId="7F47655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i države članice da rade na boljoj koordinaciji dodjele </w:t>
      </w:r>
      <w:proofErr w:type="spellStart"/>
      <w:r w:rsidR="00BB277F" w:rsidRPr="008308A0">
        <w:rPr>
          <w:lang w:val="hr-HR"/>
        </w:rPr>
        <w:t>radiofrekvencijskog</w:t>
      </w:r>
      <w:proofErr w:type="spellEnd"/>
      <w:r w:rsidR="00BB277F" w:rsidRPr="008308A0">
        <w:rPr>
          <w:lang w:val="hr-HR"/>
        </w:rPr>
        <w:t xml:space="preserve"> spektra, posebno ranijim utvrđivanjem i usklađivanjem oslobađanja novih frekvencija, počevši s frekvencijama 6 GHz; poziva na politiku </w:t>
      </w:r>
      <w:proofErr w:type="spellStart"/>
      <w:r w:rsidR="00BB277F" w:rsidRPr="008308A0">
        <w:rPr>
          <w:lang w:val="hr-HR"/>
        </w:rPr>
        <w:t>radiofrekvencijskog</w:t>
      </w:r>
      <w:proofErr w:type="spellEnd"/>
      <w:r w:rsidR="00BB277F" w:rsidRPr="008308A0">
        <w:rPr>
          <w:lang w:val="hr-HR"/>
        </w:rPr>
        <w:t xml:space="preserve"> spektra kojom se promiču ulaganja u Europi, uključujući usklađivanjem politika dodjele spektra u državama članicama kako bi se ubrzalo uvođenje 5G tehnologije na temelju najboljih praksi, promicanjem duljeg trajanja licencija i pristupom novom spektru kao što je gornji pojas od 6 GHz kako bi se zadovoljila buduća potražnja i omogućila 6G tehnologija; smatra da su potrebni zajednički napori javnih i privatnih subjekata kako bi se povećala konkurentnost Europe i kako se ne bi zaostajalo za najbrže rastućim mrežama na svijetu, tj. onima u Kini i Južnoj Koreji;</w:t>
      </w:r>
    </w:p>
    <w:p w14:paraId="4A21B845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Sateliti i satelitski komunikacijski sustavi</w:t>
      </w:r>
    </w:p>
    <w:p w14:paraId="0AA719B1" w14:textId="7106F27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naglašava važnost satelitskih komunikacija u razvoju digitalne infrastrukture EU-a, povećanju njezine otpornosti, jačanju sposobnosti aktera iz EU-a i smanjenju ovisnosti o pružateljima usluga izvan EU-a, posebno u području obrane; ističe potrebu za </w:t>
      </w:r>
      <w:r w:rsidR="00BB277F" w:rsidRPr="008308A0">
        <w:rPr>
          <w:lang w:val="hr-HR"/>
        </w:rPr>
        <w:lastRenderedPageBreak/>
        <w:t xml:space="preserve">pružanjem alternativnih rješenja za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 xml:space="preserve"> za potrošače u udaljenim i ruralnim područjima;</w:t>
      </w:r>
    </w:p>
    <w:p w14:paraId="479160FC" w14:textId="329002C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ističe stratešku ulogu svemirskog programa EU-a, kao jednog od stupova suvereniteta EU-a, u pružanju najsuvremenijih i sigurnih usluga određivanja položaja, navigacije i mjerenja vremena za sustave Galileo i EGNOS te troškovno učinkovitih satelitskih komunikacijskih usluga za GOVSATCOM; primjećuje da se time EU-u i njegovim državama članicama omogućuje veća suverenost u pogledu satelitskih kapaciteta, uključujući </w:t>
      </w:r>
      <w:proofErr w:type="spellStart"/>
      <w:r w:rsidR="00BB277F" w:rsidRPr="008308A0">
        <w:rPr>
          <w:lang w:val="hr-HR"/>
        </w:rPr>
        <w:t>geopozicioniranje</w:t>
      </w:r>
      <w:proofErr w:type="spellEnd"/>
      <w:r w:rsidR="00BB277F" w:rsidRPr="008308A0">
        <w:rPr>
          <w:lang w:val="hr-HR"/>
        </w:rPr>
        <w:t xml:space="preserve">, promatranje Zemlje, nadzor u svemiru i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>; posebno pozdravlja programe EU-a GOVSATCOM i IRIS</w:t>
      </w:r>
      <w:r w:rsidR="00BB277F" w:rsidRPr="008308A0">
        <w:rPr>
          <w:vertAlign w:val="superscript"/>
          <w:lang w:val="hr-HR"/>
        </w:rPr>
        <w:t>2</w:t>
      </w:r>
      <w:r w:rsidR="00BB277F" w:rsidRPr="008308A0">
        <w:rPr>
          <w:lang w:val="hr-HR"/>
        </w:rPr>
        <w:t>, kojima se nastoji osigurati kratkoročna i dugoročna dostupnost sigurnih, pouzdanih i troškovno učinkovitih usluga vladine satelitske komunikacije za tijela EU-a i nacionalna javna tijela koja upravljaju ključnom sigurnosnom infrastrukturom i misijama;</w:t>
      </w:r>
    </w:p>
    <w:p w14:paraId="2F427A8A" w14:textId="59C6DCB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49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žali zbog snažne ovisnosti o podacima trećih zemalja za praćenje i nadzor svemirskih objekata; naglašava potrebu da Europa hitno ojača vlastite kapacitete i infrastrukturu u području svijesti o situaciji u svemiru kako bi se osigurala otvorena strateška autonomija i sigurnost; poziva Komisiju i države članice da znatno povećaju ulaganja u sredstva za nadzor i praćenje u vlasništvu EU-a te da razviju učinkovite mehanizme za razmjenu informacija među državama članicama, čime bi se Europi omogućilo da neovisno prati i štiti svoju ključnu svemirsku infrastrukturu;</w:t>
      </w:r>
    </w:p>
    <w:p w14:paraId="2463D58E" w14:textId="3D0E253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važnost uključivanja privatnog sektora u tehnologije lansiranja kako bi se dodatno ubrzao program IRIS</w:t>
      </w:r>
      <w:r w:rsidR="00BB277F" w:rsidRPr="008308A0">
        <w:rPr>
          <w:vertAlign w:val="superscript"/>
          <w:lang w:val="hr-HR"/>
        </w:rPr>
        <w:t>2</w:t>
      </w:r>
      <w:r w:rsidR="00BB277F" w:rsidRPr="008308A0">
        <w:rPr>
          <w:lang w:val="hr-HR"/>
        </w:rPr>
        <w:t>; naglašava važnost poticanja snažnog i konkurentnog europskog sektora lansiranja svemirskih letjelica što će se postići većim uključivanjem privatnog sektora i potporom industrijama na početku i na kraju proizvodnog lanca; poziva Komisiju da promiče europsku politiku svemirske industrije kojom se smanjenjem strateških ovisnosti i poboljšanjem operativnog upravljanja europskim svemirskim programima jača suverenitet u području svemirskih tehnologija i usluga;</w:t>
      </w:r>
    </w:p>
    <w:p w14:paraId="25045EC3" w14:textId="62B63C17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u tu svrhu poziva na donošenje konkretnih mjera za olakšavanje pružanja satelitskih usluga u cijeloj Europi, među ostalim utvrđivanjem zajedničkih postupaka i uvjeta; istodobno poziva na pošteno tržišno natjecanje s jasnim i provedivim pravilima za sve konstelacije satelita koje pristupaju tržištu EU-a;</w:t>
      </w:r>
    </w:p>
    <w:p w14:paraId="33B41ED4" w14:textId="042C366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napominje da trenutačno postoji nekoliko problema s latencijom u satelitskim mrežama i uviđa da je integracija satelitskih mreža s 5G, a u budućnosti i sa 6G tehnologijama ključna za povećanje dosega i pouzdanosti zemaljskih mreža;</w:t>
      </w:r>
    </w:p>
    <w:p w14:paraId="200F8981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Sustavi računalstva visokih performansi (HPC)</w:t>
      </w:r>
    </w:p>
    <w:p w14:paraId="0F1ACF37" w14:textId="2F2F73B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prepoznaje napredak postignut posljednjih godina u poboljšanju računalstva visokih performansi; poziva Komisiju da kontinuirano integrira i poboljšava računalne snage u centrima EU-a za računalstvo visokih performansi kako bi se poboljšalo učenje modela umjetne inteligencije i pripremilo za budući napredak u </w:t>
      </w:r>
      <w:proofErr w:type="spellStart"/>
      <w:r w:rsidR="00BB277F" w:rsidRPr="008308A0">
        <w:rPr>
          <w:lang w:val="hr-HR"/>
        </w:rPr>
        <w:t>superračunalstvu</w:t>
      </w:r>
      <w:proofErr w:type="spellEnd"/>
      <w:r w:rsidR="00BB277F" w:rsidRPr="008308A0">
        <w:rPr>
          <w:lang w:val="hr-HR"/>
        </w:rPr>
        <w:t xml:space="preserve">; </w:t>
      </w:r>
    </w:p>
    <w:p w14:paraId="128C310C" w14:textId="4A77281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razvije koordiniranu strategiju za premošćivanje jaza između najsuvremenije europske tehnologije za računalstvo visokih performansi i njezine praktične i prilagodljive primjene u svim industrijama, uključujući stvaranjem javne mreže za </w:t>
      </w:r>
      <w:proofErr w:type="spellStart"/>
      <w:r w:rsidR="00BB277F" w:rsidRPr="008308A0">
        <w:rPr>
          <w:lang w:val="hr-HR"/>
        </w:rPr>
        <w:t>supreračunalstvo</w:t>
      </w:r>
      <w:proofErr w:type="spellEnd"/>
      <w:r w:rsidR="00BB277F" w:rsidRPr="008308A0">
        <w:rPr>
          <w:lang w:val="hr-HR"/>
        </w:rPr>
        <w:t xml:space="preserve">; napominje da bi se tom strategijom trebala potaknuti suradnja između javnih institucija i partnera iz privatnog sektora, uključujući MSP-ove, kako bi se osiguralo da kapaciteti europske tehnologije za računalstvo visokih </w:t>
      </w:r>
      <w:r w:rsidR="00BB277F" w:rsidRPr="008308A0">
        <w:rPr>
          <w:lang w:val="hr-HR"/>
        </w:rPr>
        <w:lastRenderedPageBreak/>
        <w:t>performansi postanu ključni pokretač gospodarske konkurentnosti i tehnološke suverenosti;</w:t>
      </w:r>
    </w:p>
    <w:p w14:paraId="27425873" w14:textId="5849064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ističe da centri za računalstvo visokih performansi moraju osigurati pristupačnost za razvojne programere i subjekte za uvođenje temeljnih modela umjetne inteligencije, generativne umjetne inteligencije i primijenjene umjetne inteligencije; napominje da bi centri Euro-HPC trebali biti operativni za te primjere upotrebe, a posebno za MSP-ove, novoosnovana poduzeća i rastuća poduzeća; naglašava da se to mora besprijekorno dopuniti inicijativama za razvoj i uvođenje umjetne inteligencije u EU;</w:t>
      </w:r>
    </w:p>
    <w:p w14:paraId="37480B5F" w14:textId="0483373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otvaranje novih tvornica umjetne inteligencije; ističe da će tvornice umjetne inteligencije unaprijediti superračunala </w:t>
      </w:r>
      <w:proofErr w:type="spellStart"/>
      <w:r w:rsidR="00BB277F" w:rsidRPr="008308A0">
        <w:rPr>
          <w:lang w:val="hr-HR"/>
        </w:rPr>
        <w:t>EuroHPC</w:t>
      </w:r>
      <w:proofErr w:type="spellEnd"/>
      <w:r w:rsidR="00BB277F" w:rsidRPr="008308A0">
        <w:rPr>
          <w:lang w:val="hr-HR"/>
        </w:rPr>
        <w:t>-a i ojačati računalne kapacitete za umjetnu inteligenciju te poduprijeti novoosnovana poduzeća i rastuća poduzeća u osposobljavanju i širokom razvoju pouzdanih modela umjetne inteligencije opće namjene;</w:t>
      </w:r>
    </w:p>
    <w:p w14:paraId="61E8FBF3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 xml:space="preserve">Računalni hardver: poluvodiči, čipovi i kvantni čipovi </w:t>
      </w:r>
    </w:p>
    <w:p w14:paraId="42167B35" w14:textId="38EA6697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je potrebno hitno djelovanje kako bi se potaknula domaća proizvodnja poluvodiča u EU-u te poboljšala otpornost lanca opskrbe uspostavom strateških globalnih partnerstava, podupiranjem novoosnovanih poduzeća i inovacija, poticanjem prekogranične suradnje u naprednom razvoju poluvodiča te pružanjem financijskih poticaja, regulatorne potpore i pristupa tržištu; </w:t>
      </w:r>
    </w:p>
    <w:p w14:paraId="7381899A" w14:textId="136E8361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potrebu za pravnom sigurnošću kako bi se podržao razvoj poluvodiča, osigurali sigurni lanci opskrbe ključnim sirovinama i izbjegli poremećaji uzrokovani nesigurnostima u pogledu ulaganja;</w:t>
      </w:r>
    </w:p>
    <w:p w14:paraId="4B88C19F" w14:textId="11B2CF8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59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potiče na pridavanje najveće političke važnosti osiguravanju dostatne opskrbe čipovima umjetne inteligencije u EU-u i na to da se to učini središnjom točkom politika digitalne industrije EU-a; prima na znanje povećanje potražnje za čipovima umjetne inteligencije potaknuto širenjem primjena u računalstvu u oblaku, uređajima na rubu mreže, autonomnim sustavima i generativnoj umjetnoj inteligenciji;</w:t>
      </w:r>
    </w:p>
    <w:p w14:paraId="5878C129" w14:textId="13CFEC6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reagira na novu geopolitičku stvarnost i upotrebu digitalnih lanaca opskrbe kao instrumenata vršenja pritiska; apelira na Komisiju da pronađe sporazumno rješenje za američku zabranu izvoza čipova umjetne inteligencije u 16 država članica EU-a;</w:t>
      </w:r>
    </w:p>
    <w:p w14:paraId="2B9717EA" w14:textId="2AACB8AF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napredne čipove umjetne inteligencije, uključujući njihovo projektiranje i proizvodnju, stavi u središte revizije Akta o čipovima; poziva Komisiju da ove godine predstavi reviziju koje uključuje dugoročnu strategiju ukorijenjenu u trenutačnoj geopolitičkoj stvarnosti kojom se europska strateška neizostavnost gradi tehnološkim vodstvom, odgovarajućim proizvodnim kapacitetima i snažnim ekosustavom istraživanja i razvoja, što će biti ključno za osiguravanje europske suverenosti u sve problematičnijim vremenima; smatra da je ključno ojačati interakciju između istraživanja, osposobljavanja, dobavljača i snažne javne infrastrukture kako bi se ubrzao put od istraživanja, razvoja, testiranja i, naposljetku, proizvodnje u punoj snazi;</w:t>
      </w:r>
    </w:p>
    <w:p w14:paraId="5E7D3390" w14:textId="3F35CAD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lastRenderedPageBreak/>
        <w:t>62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smatra da bi EU trebao pojačati svoje aktivnosti u razvoju kvantnih čipova ako želi ubrzati vrijeme potrebno za stavljanje industrijskih inovacija EU-a u području kvantne tehnologije na tržište;</w:t>
      </w:r>
    </w:p>
    <w:p w14:paraId="04300710" w14:textId="0DB2AB71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podrži proizvodnju čipova u širokoj upotrebi unutar EU-a, primjerice za elektroničke uređaje i automobile; poziva na potporu razvoju čipova kojima se smanjuje potrošnja energije u digitalnom sektoru;</w:t>
      </w:r>
    </w:p>
    <w:p w14:paraId="418BABEE" w14:textId="1A67B6A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potrebu za podupiranjem uspješnosti kružnoga gospodarstva te podsjeća Komisiju da su proizvodi informacijske i komunikacijske tehnologije i drugi elektronički uređaji dio prioritetnih skupina proizvoda iz plana rada koji će se donijeti do travnja 2025. u skladu s Uredbom (EU) 2024/1781</w:t>
      </w:r>
      <w:r w:rsidR="00BB277F" w:rsidRPr="008308A0">
        <w:rPr>
          <w:rStyle w:val="FootnoteReference"/>
          <w:lang w:val="hr-HR"/>
        </w:rPr>
        <w:footnoteReference w:id="27"/>
      </w:r>
      <w:r w:rsidR="00BB277F" w:rsidRPr="008308A0">
        <w:rPr>
          <w:lang w:val="hr-HR"/>
        </w:rPr>
        <w:t>;</w:t>
      </w:r>
    </w:p>
    <w:p w14:paraId="264FAF5E" w14:textId="17D75C7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se u okviru predstojećeg VFO-a moraju dodijeliti dodatna sredstva za razvoj kapaciteta za proizvodnju poluvodiča te druge poluvodičke tehnologije i procese sljedeće generacije (npr. fotonski čipovi, čipovi širokog pojasa te projektiranje, proizvodnja, testiranje, sastavljanje i napredno pakiranje) unutar EU-a; </w:t>
      </w:r>
    </w:p>
    <w:p w14:paraId="5A075DD2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Usluge u oblaku</w:t>
      </w:r>
    </w:p>
    <w:p w14:paraId="67A735BA" w14:textId="3C0330B9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uviđa da postoji tržišna potreba za suverenim rješenjima kojima se nude veće razine kontrole nad podacima za određene kategorije osjetljivih podataka i uzima u obzir rizike povezane s oslanjanjem na pojedinačne dominantne pružatelje usluga; poziva na izradu strategije za smanjenje ovisnosti o stranim pružateljima usluga u oblaku uz istodobno poticanje europskih alternativa;</w:t>
      </w:r>
    </w:p>
    <w:p w14:paraId="14C504C1" w14:textId="61710DD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konstatira da rasprave o EU-ovu programu </w:t>
      </w:r>
      <w:proofErr w:type="spellStart"/>
      <w:r w:rsidR="00BB277F" w:rsidRPr="008308A0">
        <w:rPr>
          <w:lang w:val="hr-HR"/>
        </w:rPr>
        <w:t>kibersigurnosne</w:t>
      </w:r>
      <w:proofErr w:type="spellEnd"/>
      <w:r w:rsidR="00BB277F" w:rsidRPr="008308A0">
        <w:rPr>
          <w:lang w:val="hr-HR"/>
        </w:rPr>
        <w:t xml:space="preserve"> certifikacije za usluge računalstva u oblaku nisu donijele nikakve rezultate; ističe da postoje razmatranja o suverenosti, posebno u vezi s </w:t>
      </w:r>
      <w:proofErr w:type="spellStart"/>
      <w:r w:rsidR="00BB277F" w:rsidRPr="008308A0">
        <w:rPr>
          <w:lang w:val="hr-HR"/>
        </w:rPr>
        <w:t>izvanteritorijalnošću</w:t>
      </w:r>
      <w:proofErr w:type="spellEnd"/>
      <w:r w:rsidR="00BB277F" w:rsidRPr="008308A0">
        <w:rPr>
          <w:lang w:val="hr-HR"/>
        </w:rPr>
        <w:t xml:space="preserve"> obvezujućih pravnih režima, koja se ne mogu riješiti tehničkim raspravama; poziva Komisiju da u planiranom aktu o razvoju računalstva u oblaku i umjetne inteligencije predloži definiciju suverenog oblaka i njegovo područje primjene;</w:t>
      </w:r>
    </w:p>
    <w:p w14:paraId="65540DF8" w14:textId="492CA26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napominje da je potrebno osigurati pohranu podataka i računalnu snagu te distribuiranu računalnu infrastrukturu; poziva Komisiju da osigura da korisnici usluga u oblaku imaju mogućnost odabrati rješenje koje zadovoljava njihove potrebe tako što će hitno ukloniti prepreke mijenjanju i diversifikaciji pružatelja usluga primjenom strategija s više oblaka te poticati konkurentno europsko tržište usluga u oblaku, čime se smanjuje oslanjanje na pojedinačne pružatelje usluga i jača digitalna suverenost;</w:t>
      </w:r>
    </w:p>
    <w:p w14:paraId="64A8C33A" w14:textId="505F5D8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69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iskoristi inicijative kao što su 8ra i IPCEI CIS (važan projekt od zajedničkog europskog interesa – infrastruktura i usluge u oblaku) kako bi se unaprijedila decentralizirana infrastruktura u oblaku i na rubu mreže, koja omogućuje suverenost i doprinosi smanjenju ovisnosti o stranim pružateljima usluga i osiguranju otpornosti uz istodobno povećanje operativne fleksibilnosti unutar Europe;</w:t>
      </w:r>
    </w:p>
    <w:p w14:paraId="395663A2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lastRenderedPageBreak/>
        <w:t>Sustavi umjetne inteligencije</w:t>
      </w:r>
    </w:p>
    <w:p w14:paraId="42391658" w14:textId="7594C80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inicijativu </w:t>
      </w:r>
      <w:proofErr w:type="spellStart"/>
      <w:r w:rsidR="00BB277F" w:rsidRPr="008308A0">
        <w:rPr>
          <w:lang w:val="hr-HR"/>
        </w:rPr>
        <w:t>InvestAI</w:t>
      </w:r>
      <w:proofErr w:type="spellEnd"/>
      <w:r w:rsidR="00BB277F" w:rsidRPr="008308A0">
        <w:rPr>
          <w:lang w:val="hr-HR"/>
        </w:rPr>
        <w:t xml:space="preserve">, uključujući </w:t>
      </w:r>
      <w:proofErr w:type="spellStart"/>
      <w:r w:rsidR="00BB277F" w:rsidRPr="008308A0">
        <w:rPr>
          <w:lang w:val="hr-HR"/>
        </w:rPr>
        <w:t>gigatvornice</w:t>
      </w:r>
      <w:proofErr w:type="spellEnd"/>
      <w:r w:rsidR="00BB277F" w:rsidRPr="008308A0">
        <w:rPr>
          <w:lang w:val="hr-HR"/>
        </w:rPr>
        <w:t xml:space="preserve"> umjetne inteligencije; naglašava potrebu da se Europa pozicionira kao globalni predvodnik u učenju modela umjetne inteligencije, znanstvenom istraživanju i napretku kvantnog računalstva; predan je daljnjem podupiranju razvoja umjetne inteligencije pokretanjem inicijativa kao što su tvornice umjetne inteligencije kako bi se novoosnovanim poduzećima, rastućim poduzećima i istraživačima osigurala računalna snaga;</w:t>
      </w:r>
    </w:p>
    <w:p w14:paraId="231AF54D" w14:textId="67CAC4A1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dodatno podrži projektiranje i razvoj umjetne inteligencije proizvedene u Europi te da donese politike i mjere kojima će se europskim industrijskim sektorima omogućiti da imaju koristi od svojih podataka i primjene umjetne inteligencije;</w:t>
      </w:r>
    </w:p>
    <w:p w14:paraId="5C4161D0" w14:textId="68E639B7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da odloženo uvođenje inovacija koje se temelje na umjetnoj inteligenciji ometa tehnološki napredak, tržišnu konkurentnost i digitalnu transformaciju unutar EU-a;</w:t>
      </w:r>
    </w:p>
    <w:p w14:paraId="53525668" w14:textId="63410A87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očekuje da će se modelom javno-privatnog financiranja potaknuti dosad nezabilježena privatna ulaganja u umjetnu inteligenciju, čime će se start </w:t>
      </w:r>
      <w:proofErr w:type="spellStart"/>
      <w:r w:rsidR="00BB277F" w:rsidRPr="008308A0">
        <w:rPr>
          <w:lang w:val="hr-HR"/>
        </w:rPr>
        <w:t>up</w:t>
      </w:r>
      <w:proofErr w:type="spellEnd"/>
      <w:r w:rsidR="00BB277F" w:rsidRPr="008308A0">
        <w:rPr>
          <w:lang w:val="hr-HR"/>
        </w:rPr>
        <w:t xml:space="preserve"> poduzećima i industriji otvoriti pristup superračunalima; </w:t>
      </w:r>
    </w:p>
    <w:p w14:paraId="18C9B890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Kvantna tehnologija</w:t>
      </w:r>
    </w:p>
    <w:p w14:paraId="0DBA2B8E" w14:textId="513DD03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uviđa hitnost definiranja jasnog plana za razvoj kvantne tehnologije, uključujući kvantno računalstvo i kvantno šifriranje, kako bi se osiguralo da će javna i privatna ulaganja dovesti do opipljivih komercijalnih primjena;</w:t>
      </w:r>
    </w:p>
    <w:p w14:paraId="3A25A5C0" w14:textId="4B696210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provede procjenu postojećih nacionalnih okvira kvantnog izoliranog okruženja i načina na koji se postojeće zakonodavstvo primjenjuje na njih kako bi se spriječila fragmentacija tržišta; pozdravlja najavu Kvantne strategije i Kvantnog akta u Kompasu konkurentnosti Komisije; </w:t>
      </w:r>
    </w:p>
    <w:p w14:paraId="5154954F" w14:textId="24E3CD5E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apelira na Komisiju da osigura donošenje akta o kvantnoj tehnologiji, popraćenog procjenom učinka, kako bi se Europa pozicionirala kao vodeća regija u području kvantne izvrsnosti i inovacija ulaganjem u istraživanje i razvoj te inovacije, mobiliziranjem financijskih sredstava za jačanje europskog kvantnog ekosustava, kapaciteta i proizvodnje te osiguravanjem komercijalizacije vodećih europskih kvantnih istraživanja u Europi; naglašava da bi se trebale ostvariti konkretne tehnološke primjene poticanjem politika kojima se ubrzava tehnološka zrelost i olakšava prijelaz s istraživanja na komercijalni uspjeh;</w:t>
      </w:r>
    </w:p>
    <w:p w14:paraId="34F0DA61" w14:textId="524A428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na ciljana ulaganja, industrijsku suradnju i regulatorne okvire kojima se podupire razvoj i širenje kvantnih tehnologija te njihova prihvaćenost na tržištu u ključnim sektorima;</w:t>
      </w:r>
    </w:p>
    <w:p w14:paraId="16F69D8C" w14:textId="05E7E5EE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na koordiniranu strategiju EU-a za </w:t>
      </w:r>
      <w:proofErr w:type="spellStart"/>
      <w:r w:rsidR="00BB277F" w:rsidRPr="008308A0">
        <w:rPr>
          <w:lang w:val="hr-HR"/>
        </w:rPr>
        <w:t>postkvantnu</w:t>
      </w:r>
      <w:proofErr w:type="spellEnd"/>
      <w:r w:rsidR="00BB277F" w:rsidRPr="008308A0">
        <w:rPr>
          <w:lang w:val="hr-HR"/>
        </w:rPr>
        <w:t xml:space="preserve"> kriptografiju kako bi se podaci zaštitili od budućih kibernetičkih prijetnji;</w:t>
      </w:r>
    </w:p>
    <w:p w14:paraId="0E06C354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Podatkovni centri</w:t>
      </w:r>
    </w:p>
    <w:p w14:paraId="34801B39" w14:textId="2C6C929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79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podrži ekosustave za razmjenu podataka specifičnih za određene industrije unutar industrijskih sektora, čime bi se potaknula suradnja i inovacije uz </w:t>
      </w:r>
      <w:r w:rsidR="00BB277F" w:rsidRPr="008308A0">
        <w:rPr>
          <w:lang w:val="hr-HR"/>
        </w:rPr>
        <w:lastRenderedPageBreak/>
        <w:t>istodobno održavanje suvereniteta nad podacima i osiguravanje usklađenosti s propisima EU-a, kako je navedeno u Aktu o podacima; potiče Komisiju na odlučnu provedbu kako bi se osiguralo da dominantni sudionici na tržištu ne nameću nepoštene uvjete MSP-ovima i srednjim poduzećima pri pristupu podacima i njihovoj razmjeni;</w:t>
      </w:r>
    </w:p>
    <w:p w14:paraId="31A12BE8" w14:textId="5C41388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smatra da je potrebno osigurati međusobno povezanu infrastrukturu kojom bi se podatkovnim centrima omogućila učinkovita suradnja u skladu sa zajedničkim standardima s vrlo brzom </w:t>
      </w:r>
      <w:proofErr w:type="spellStart"/>
      <w:r w:rsidR="00BB277F" w:rsidRPr="008308A0">
        <w:rPr>
          <w:lang w:val="hr-HR"/>
        </w:rPr>
        <w:t>povezivošću</w:t>
      </w:r>
      <w:proofErr w:type="spellEnd"/>
      <w:r w:rsidR="00BB277F" w:rsidRPr="008308A0">
        <w:rPr>
          <w:lang w:val="hr-HR"/>
        </w:rPr>
        <w:t>, uz istodobno održavanje fleksibilnosti, sigurnosti i prilagodljivosti; smatra da bi taj međusobno povezani sustav pomogao u osiguravanju distribuirane redundancije kako bi podaci i usluge bili dostupni čak i u slučaju kvara u podatkovnom centru;</w:t>
      </w:r>
    </w:p>
    <w:p w14:paraId="0F1E20BA" w14:textId="4D223BF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prednost da interoperabilnosti među platformama, čime bi se omogućila neometana integracija podataka među poduzećima i sektorima, u skladu sa zahtjevima Akta o podacima, kojima se propisuju obveze prenosivosti podataka i interoperabilnosti za usluge u oblaku i na rubu mreže; naglašava potrebu za odlučnom provedbom tih odredbi kako bi se spriječila ovisnost o jednom pružatelju usluga i osiguralo da europski industrijski ekosustavi mogu iskoristiti inovacije koje se temelje na podacima bez tehničkih ili ugovornih prepreka;</w:t>
      </w:r>
    </w:p>
    <w:p w14:paraId="11DA30F4" w14:textId="3562E039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podsjeća na plan Komisije da podatkovne centre učini klimatski neutralnima i vrlo energetski učinkovitima do 2030.; smatra da je potrebno poboljšati integraciju podatkovnih centara s energetskim sustavom, s naglaskom na ponovnoj upotrebi topline i pružanju fleksibilnih usluga za potrebe elektroenergetske mreže; prepoznaje potrebu za poticanjem istraživanja u području hlađenja i energetski učinkovitih procesora, dok bi posebnu pozornost trebalo posvetiti podupiranju podatkovnih centara EU-a; potiče Komisiju da osigura jasnu i dosljednu provedbu postojećih pravnih zahtjeva za operatere podatkovnih centara u cjelokupnom zakonodavstvu EU-a i državama članicama;</w:t>
      </w:r>
    </w:p>
    <w:p w14:paraId="7A94A8A6" w14:textId="2D40C9B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i države članice da povećaju i usmjere se na javna ulaganja i potaknu privatna ulaganja u digitalnu infrastrukturu kako bi se omogućio rast i modernizacija podatkovnih centara;</w:t>
      </w:r>
    </w:p>
    <w:p w14:paraId="3416E85C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Podmorski kabeli</w:t>
      </w:r>
    </w:p>
    <w:p w14:paraId="6DDCD53B" w14:textId="2987579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poduzme koordinirane mjere za zaštitu podmorskih kabela, jačanje njihove sigurnosti i kapacitete za popravak; naglašava potrebu za kontinuiranim ulaganjem u izgradnju novih podmorskih kabela kako bi se osigurala redundancija; pozdravlja ulogu EU-a u sufinanciranju takvih projekata kako bi se poboljšala digitalna infrastruktura i </w:t>
      </w:r>
      <w:proofErr w:type="spellStart"/>
      <w:r w:rsidR="00BB277F" w:rsidRPr="008308A0">
        <w:rPr>
          <w:lang w:val="hr-HR"/>
        </w:rPr>
        <w:t>povezivost</w:t>
      </w:r>
      <w:proofErr w:type="spellEnd"/>
      <w:r w:rsidR="00BB277F" w:rsidRPr="008308A0">
        <w:rPr>
          <w:lang w:val="hr-HR"/>
        </w:rPr>
        <w:t xml:space="preserve"> u svim državama članicama; poziva Komisiju da istraži moguće sinergije između održavanja digitalne i energetske podmorske infrastrukture;</w:t>
      </w:r>
    </w:p>
    <w:p w14:paraId="4BED2108" w14:textId="4838C540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važnost poboljšanja kapaciteta za popravak i mehanizama odgovora EU-a i država članica na poremećaje povezane s podmorskim kabelima, koji su ključni za održavanje sigurne i neprekinute komunikacije; naglašava važnost međunarodne suradnje za popravak sabotiranih kabela i olakšavanje potrebnih ulaganja te poziva na uspostavu flote za brzi popravak sa sjedištem u Uniji kako bi se osigurao brz popravak i operativni kontinuitet u slučaju poremećaja; poziva Komisiju da provede procjenu regulatornih mjera kako bi se osigurao pravedan pristup i sigurnost, bez obzira na to je li ta infrastruktura u privatnom ili javnom vlasništvu;</w:t>
      </w:r>
    </w:p>
    <w:p w14:paraId="63191F9F" w14:textId="44F4105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lastRenderedPageBreak/>
        <w:t>86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donošenje Akcijskog plana za sigurnost kabela, koji će se organizirati oko četiri stupa: prevencija, otkrivanje, odgovor i popravak te odvraćanje; ističe važnost njegove potpune i pravodobne provedbe; u trenutačnom geopolitičkom kontekstu poziva na povećanje ulaganja u tehnologije kako bi se ojačala sigurnost i otpornost podmorske i </w:t>
      </w:r>
      <w:proofErr w:type="spellStart"/>
      <w:r w:rsidR="00BB277F" w:rsidRPr="008308A0">
        <w:rPr>
          <w:lang w:val="hr-HR"/>
        </w:rPr>
        <w:t>odobalne</w:t>
      </w:r>
      <w:proofErr w:type="spellEnd"/>
      <w:r w:rsidR="00BB277F" w:rsidRPr="008308A0">
        <w:rPr>
          <w:lang w:val="hr-HR"/>
        </w:rPr>
        <w:t xml:space="preserve"> infrastrukture;</w:t>
      </w:r>
    </w:p>
    <w:p w14:paraId="55DF104B" w14:textId="6223257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promiče istraživanja i inovacije kako bi se omogućile napredne tehnološke inovacije u području sigurnosti kabela, uključujući sustave ranog upozoravanja i procjene prijetnji koje se temelje na umjetnoj inteligenciji; </w:t>
      </w:r>
    </w:p>
    <w:p w14:paraId="6980FEE9" w14:textId="7960C32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potiče Komisiju da preispita dostupne instrumente osmišljene za bolje iskorištavanje privatnih ulaganja kako bi se podržali projekti kabela od europskog interesa; poziva Komisiju da projekte podmorskih kabela uvrsti na popis važnih projekata od zajedničkog europskog interesa; uviđa potrebu za racionalizacijom i pojednostavljenjem uvjeta i administrativnih postupaka za važne projekte od zajedničkog europskog interesa; </w:t>
      </w:r>
    </w:p>
    <w:p w14:paraId="14C01F8B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Kibernetička sigurnost</w:t>
      </w:r>
    </w:p>
    <w:p w14:paraId="2986C461" w14:textId="102BC49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89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podsjeća na zakonodavni rad obavljen tijekom prethodnog zakonodavnog razdoblja usmjeren na znatno poboljšanje kibernetičke sigurnosti u EU-u; posebno pozdravlja donošenje Akta o kibernetičkoj otpornosti, Akta o kibernetičkoj solidarnosti i Direktive o sigurnosti mrežnih i informacijskih sustava;; naglašava potrebu za usklađenom i pravodobnom provedbom i primjenom tih mjera;</w:t>
      </w:r>
    </w:p>
    <w:p w14:paraId="32288F83" w14:textId="7A211CBB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Komisiju da predstavi izvješće o evaluaciji Akta o kibernetičkoj sigurnosti i da predloži zakonodavni akt za njegovo preispitivanje kako bi se ojačao okvir EU-a za kibernetičku sigurnost, s posebnim naglaskom na međudjelovanju suvereniteta i sigurnosti; nadalje, poziva Komisiju da poboljša zaštitu strateške i kritične infrastrukture i spriječi vanjsko upletanje subjekata koji podliježu </w:t>
      </w:r>
      <w:proofErr w:type="spellStart"/>
      <w:r w:rsidR="00BB277F" w:rsidRPr="008308A0">
        <w:rPr>
          <w:lang w:val="hr-HR"/>
        </w:rPr>
        <w:t>izvanteritorijalnom</w:t>
      </w:r>
      <w:proofErr w:type="spellEnd"/>
      <w:r w:rsidR="00BB277F" w:rsidRPr="008308A0">
        <w:rPr>
          <w:lang w:val="hr-HR"/>
        </w:rPr>
        <w:t xml:space="preserve"> zakonodavstvu te da ubrza postupak donošenja programa kibernetičke sigurnosne certifikacije EU-a; poziva na jačanje mandata Agencije Europske unije za kibernetičku sigurnost (ENISA) proširenjem njezina mandata na koordinaciju odgovora na krizu, nadzor kibernetičke sigurnosne certifikacije za kritičnu infrastrukturu i osiguravanje ujednačene provedbe kibernetičkih sigurnosnih standarda na cijelom jedinstvenom tržištu; </w:t>
      </w:r>
    </w:p>
    <w:p w14:paraId="59165900" w14:textId="6358304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važnost predstojeće europske strategije unutarnje sigurnosti za jačanje kibernetičke sigurnosti i zaštite ključne infrastrukture;</w:t>
      </w:r>
    </w:p>
    <w:p w14:paraId="4961289F" w14:textId="49405DC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sa zabrinutošću napominje da, prema Drugom izvješću o napretku država članica u provedbi paketa instrumenata EU-a za kibernetičku sigurnost 5G mreža, 14 država članica još nije provelo nikakva ograničenja za visokorizične dobavljače, što predstavlja znatne sigurnosne slabosti; poziva na potpunu provedbu paketa instrumenata EU-a za sigurnost 5G mreža kako bi se smanjilo oslanjanje na visokorizične dobavljače; poziva Komisiju da paket instrumenata učini obvezujućim, posebno u pogledu visokorizičnih dobavljača u ključnoj infrastrukturi;</w:t>
      </w:r>
    </w:p>
    <w:p w14:paraId="2F602A83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Pojednostavnjenje</w:t>
      </w:r>
    </w:p>
    <w:p w14:paraId="174BB9C3" w14:textId="455A29D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primjećuje da za stvarnu tehnološku suverenost EU mora raspolagati održivim komercijalnim alternativama; naglašava da EU mora hitno provesti sveobuhvatan </w:t>
      </w:r>
      <w:r w:rsidR="00BB277F" w:rsidRPr="008308A0">
        <w:rPr>
          <w:lang w:val="hr-HR"/>
        </w:rPr>
        <w:lastRenderedPageBreak/>
        <w:t>program pojednostavnjenja i smanjenja birokracije kako bi se potaknulo okruženje pogodno za inovacije kojim se mogu poduprijeti konkurentne europske alternative dominantnim globalnim digitalnim akterima; naglašava da prekomjerna administrativna opterećenja, fragmentirani regulatorni okviri, nedovršeno jedinstveno digitalno tržište i pretjerano složeni postupci usklađivanja nerazmjerno utječu na europska novoosnovana poduzeća, brzorastuća poduzeća i MSP-ove jer ograničavaju njihovu sposobnost tržišnog natjecanja na globalnoj razini; potvrđuje da bi se EU trebao usredotočiti na regulatorno pojednostavnjenje i produbljivanje digitalnog jedinstvenog tržišta te osigurati da je zakonodavstvo razmjerno, utemeljeno na inovacijama i da ne koči razvoj europskih tehnoloških rješenja;</w:t>
      </w:r>
    </w:p>
    <w:p w14:paraId="4F221CF8" w14:textId="2F038CFF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da nove zakonodavne prijedloge treba uskladiti s načelima bolje regulative te osigurati da svaku novu mjeru digitalne politike koja utječe na konkurentnost prati procjena učinka, uključujući provjeru konkurentnosti, utjecaja na MSP-ove i poduzeća srednje tržišne kapitalizacije, kojom se ocjenjuje je li određeni zakonodavni instrument nužan i proporcionalan te da ne stvara nepotrebno opterećenje za poduzeća, posebno mala i srednja poduzeća odnosno njegove učinke na konkurentnost, mogućnosti ulaganja i dobrobit potrošača;</w:t>
      </w:r>
    </w:p>
    <w:p w14:paraId="6ABE3999" w14:textId="3644EA74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ističe da pojednostavljenje zakonodavstva EU-a ne smije ugroziti nijedno temeljno pravo ni prava građana i poduzeća, a time ni regulatornu sigurnost; smatra da nijedan prijedlog za pojednostavljenje ne bi trebalo požurivati i predlagati bez odgovarajućeg razmatranja, savjetovanja i procjene učinka; </w:t>
      </w:r>
    </w:p>
    <w:p w14:paraId="1EB484D1" w14:textId="0CE3397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predanost Komisije potpunoj provedbi načela smanjenja opterećenja za poduzeća u zakonodavstvu EU-a; stoga poziva Komisiju da pojača svoje napore s ciljem uklanjanja većih troškova i administrativnih opterećenja za poduzeća u usporedbi s koristima koje bi proizašle iz svih novih regulatornih zahtjeva uvedenih na razini EU-a u istom području politike, kako bi se uklonile prepreke ulasku na tržište i pomoglo europskim tvrtkama da se šire i rastu; </w:t>
      </w:r>
    </w:p>
    <w:p w14:paraId="0E57FE6D" w14:textId="04211F9E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osigura dosljedno pojednostavljenje, provedbu i primjenu zakonodavstva EU-a o digitalnim uslugama s pomoću paketa instrumenata za digitalne usluge kojim se pojednostavnjuju definicije i postupci izvješćivanja, procjenjuju načini za ublažavanje obveza izvješćivanja te smanjuje jaz između industrije i vladina sektora;</w:t>
      </w:r>
    </w:p>
    <w:p w14:paraId="60C84D6C" w14:textId="05C6B48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smatra da je potpora poduzećima i inovatorima da ostanu u Europi razvojem EU-a kao privlačnog i prilagodljivog poslovnog okruženja ključna za jačanje tehnološke suverenosti; u tom pogledu naglašava da bi trebalo izbjegavati prekomjerne propise i administrativna opterećenja te da bi pravila EU-a trebala biti jasna, dosljedna, predvidljiva, razmjerna i tehnološki neutralna, čime bi se održalo globalno konkurentno regulatorno okruženje; vjeruje da bi nove metode javne nabave te razvoj regulatornih izoliranih okruženja i testnih platformi također trebali doprinijeti okviru koji pogoduje inovacijama;</w:t>
      </w:r>
    </w:p>
    <w:p w14:paraId="7F4F206A" w14:textId="3307BD5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99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prijedlog Komisije o 28. pravnom sustavu, prihvaćajući da će jedinstven i usklađen skup pravila na razini EU-a biti prekretnica za digitalna ulaganja i inovacije; smatra da će smanjenje regulatorne rascjepkanosti u 27 nacionalnih pravnih sustava potaknuti privatna ulaganja, smanjiti troškove usklađivanja i ubrzati uvođenje digitalne infrastrukture, proizvoda i usluga sljedeće generacije; potiče Komisiju da osigura da se tim okvirom prije svega rješavaju regulatorne prepreke u digitalnom sektoru, kao što su </w:t>
      </w:r>
      <w:r w:rsidR="00BB277F" w:rsidRPr="008308A0">
        <w:rPr>
          <w:lang w:val="hr-HR"/>
        </w:rPr>
        <w:lastRenderedPageBreak/>
        <w:t>izdavanje dozvola i prekogranični protok podataka, kako bi se stvorilo istinsko digitalno jedinstveno tržište;</w:t>
      </w:r>
    </w:p>
    <w:p w14:paraId="199B9033" w14:textId="4AF76B7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potiče Komisiju da stvori jedinstvenu kontaktnu točku radi pojednostavljenja postupka podnošenja zahtjeva za pristup privatnog sektora mehanizmima financiranja EU-a, osiguravajući da privatna poduzeća, MSP-ovi i novoosnovana poduzeća mogu lakše sudjelovati u programima digitalnih ulaganja;</w:t>
      </w:r>
    </w:p>
    <w:p w14:paraId="7FF7BA95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Energetika</w:t>
      </w:r>
    </w:p>
    <w:p w14:paraId="5DBDDFF6" w14:textId="10E2FBFE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da će podatkovni centri dodatno opteretiti elektroenergetske mreže, zbog čega je nužno ojačati ih anticipativnim ulaganjima; naglašava da podatkovni centri mogu i pomoći u stabilizaciji mreže fleksibilnošću na strani potražnje; poziva na donošenje mjera za poticanje takvih doprinosa na temelju provedbe revizije reforme europskog tržišta električne energije;</w:t>
      </w:r>
    </w:p>
    <w:p w14:paraId="5845C7B1" w14:textId="6EE9FC7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i države članice da predlože i provedu instrumente kojima se osigurava redovito planiranje sve veće potražnje podatkovnih centara za energijom, čime bi se olakšalo njihovo strateško pozicioniranje u blizini dostupnih izvora energije i na taj način smanjilo oslanjanje na širu mrežnu infrastrukturu;</w:t>
      </w:r>
    </w:p>
    <w:p w14:paraId="080ABDA7" w14:textId="2188309D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prepoznaje je da su svjetlovodne mreže energetski učinkovitije u usporedbi s tradicionalnim bakrenim mrežama; potvrđuje važnost smanjenja potrošnje energije u prijenosu podataka te osiguravanja dugoročne stabilnosti i učinkovitosti;</w:t>
      </w:r>
    </w:p>
    <w:p w14:paraId="1F1A55CF" w14:textId="00BDAB6A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osigura pouzdanu i dostatnu opskrbu čistom energijom i tehnologijom s nultom stopom emisija kako bi se podupirala digitalna infrastruktura budućnosti;</w:t>
      </w:r>
    </w:p>
    <w:p w14:paraId="505AAB22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Vještine</w:t>
      </w:r>
    </w:p>
    <w:p w14:paraId="41641563" w14:textId="0765B3B7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prepoznaje hitnu potrebu za većim brojem kvalificiranih stručnjaka u digitalnim područjima kako bi se ispunili strateški ciljevi EU-a; poziva države članice da razviju nacionalne strategije i poticaje za zadržavanje europskih talenata i privlačenje najboljih svjetskih digitalnih stručnjaka, čime bi se ojačali inovacijski kapaciteti i tehnološko vodstvo EU-a; </w:t>
      </w:r>
    </w:p>
    <w:p w14:paraId="37954F3B" w14:textId="63AC1B6B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važnost popunjavanja nedostatka digitalnih vještina i vještina u području STEM-a kako bi se poboljšala tehnološka otpornost, inovacijski kapaciteti i otvorena strateška autonomija; poziva države članice da povećaju ulaganja u digitalno obrazovanje, usavršavanje i prekvalifikaciju, posebno u područjima ključnima za zelenu i digitalnu tranziciju; podržava davanje prednosti ulaganjima kojima se rješava problem nedostatka digitalnih vještina, posebno u području umjetne inteligencije, kibernetičke sigurnosti, analize podataka i čistih tehnologija, kako bi se poduprle inovacije i tehnološka suverenost;</w:t>
      </w:r>
    </w:p>
    <w:p w14:paraId="760D6338" w14:textId="5CA4B61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na koordinirane strategije na nacionalnoj razini kako bi se poboljšao pristup visokokvalitetnom obrazovanju u području STEM-a, promicalo cjeloživotno učenje i privukli talenti u informacijsku i komunikacijsku tehnologiju i povezana područja; potiče partnerstva između javnih ustanova, industrije i pružatelja obrazovnih usluga kako bi se osigurala usklađenost kurikuluma i promjenjivih potreba tržišta;</w:t>
      </w:r>
    </w:p>
    <w:p w14:paraId="7AA464E9" w14:textId="35EA8D30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lastRenderedPageBreak/>
        <w:t>108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poziva na pojačane napore za poboljšanje digitalne pismenosti i vještina u svim demografskim skupinama, s naglaskom na ranom obrazovanju u području STEM-a, strukovnom obrazovanju i osposobljavanju te cjeloživotnom učenju u digitalnim tehnologijama; preporučuje usklađivanje nacionalnih strategija obrazovanja i osposobljavanja s ciljem digitalnog desetljeća EU-a da 80 % stanovništva do 2030. stekne osnovne digitalne vještine, s naglaskom na rodno </w:t>
      </w:r>
      <w:proofErr w:type="spellStart"/>
      <w:r w:rsidR="00BB277F" w:rsidRPr="008308A0">
        <w:rPr>
          <w:lang w:val="hr-HR"/>
        </w:rPr>
        <w:t>uključive</w:t>
      </w:r>
      <w:proofErr w:type="spellEnd"/>
      <w:r w:rsidR="00BB277F" w:rsidRPr="008308A0">
        <w:rPr>
          <w:lang w:val="hr-HR"/>
        </w:rPr>
        <w:t xml:space="preserve"> politike kako bi se povećalo sudjelovanje žena u područjima informacijske i komunikacijske tehnologije (IKT) i STEM-a; poziva institucije EU-a da poduzmu konkretne korake kako bi ispunile obveze iz Europske deklaracije o digitalnim pravima i načelima za digitalno desetljeće, kako unutar okvira EU-a tako i u okviru suradnje Unije s trećim zemljama;</w:t>
      </w:r>
    </w:p>
    <w:p w14:paraId="0FC02B5E" w14:textId="0237357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109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podržava uspostavu zajedničkog okvira EU-a za certifikaciju digitalnih i tehničkih vještina kako bi se poboljšalo priznavanje i prenosivost kvalifikacija među državama članicama;</w:t>
      </w:r>
    </w:p>
    <w:p w14:paraId="5A4C7E34" w14:textId="1B0A031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potiče Europsku investicijsku banku i nacionalne razvojne institucije da podupru zadržavanje talenata u području digitalnih usluga zajedničkim ulaganjem u europska novoosnovana poduzeća za komercijalizaciju tehnoloških i znanstvenih inovacija, osiguravajući da inovacije koje financira EU ostanu unutar regije i doprinose tehnološkoj suverenosti Europe; </w:t>
      </w:r>
    </w:p>
    <w:p w14:paraId="43926E8D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Istraživanja i inovacije</w:t>
      </w:r>
    </w:p>
    <w:p w14:paraId="63A7F302" w14:textId="6A24AD45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uviđa važnost premošćivanja jaza između istraživanja i komercijalizacije, potiče Komisiju da poboljša valorizaciju inovacija u EU-u; </w:t>
      </w:r>
    </w:p>
    <w:p w14:paraId="3D22811F" w14:textId="1C1817D8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vjeruje da je sposobnost Europe da istraživanje pretvori u rješenja spremna za tržište ključna za izgradnju potrebnih kapaciteta i smanjenje oslanjanja na neeuropske tehnologije; </w:t>
      </w:r>
    </w:p>
    <w:p w14:paraId="6FC06397" w14:textId="635782E6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113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da je potrebno strateški dodijeliti financijska sredstva kako bi se ubrzao razvoj i uvođenje na tržište rješenja kojima se jača tehnološka otpornost Europe i potiču inovacije; naglašava važnost agilnije strukture financiranja temeljene na izvrsnosti, posebno u poboljšanju primjene istraživanja u industrijske svrhe; poziva na povećanje ulaganja u istraživanje i inovacije kako bi se ojačali znanje i tehnološke sposobnosti Europe te ustraje u tome da se financiranje istraživanja, razvoja i inovacija EU-a temelji na otvorenom tržišnom natjecanju i izvrsnosti;</w:t>
      </w:r>
    </w:p>
    <w:p w14:paraId="42B9962F" w14:textId="2F458BB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114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ističe potrebu za politikama kojima se podupiru industrijske inovacije, uključujući ciljana ulaganja u ključne strateške tehnologije u kojima Europa može predvoditi na globalnoj razini, kao što je kvantno računalstvo, kako bi se izgradio inovacijski ekosustav;</w:t>
      </w:r>
    </w:p>
    <w:p w14:paraId="64C36C81" w14:textId="1A0CF2D9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115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smatra da su privatna ulaganja u istraživanje, razvoj i inovacije od iznimne važnosti i poziva EU da osmisli poticaje kojima će se učinkovito iskoristiti privatno financiranje za razvoj ključnih tehnologija, među ostalim putem javno-privatnih partnerstava;</w:t>
      </w:r>
    </w:p>
    <w:p w14:paraId="38266C20" w14:textId="7DCD37BC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116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naglašava da su hitno potrebni jači poticaji za mobilizaciju kapitala privatnog sektora za inovacije temeljene na tehnologiji; potiče države članice da uvedu ciljane fiskalne poticaje, regulatorna pojednostavnjenja i instrumente za podjelu rizika namijenjene privlačenju privatnog vlasničkog kapitala u tehnološki i digitalni sektor; ističe da treba </w:t>
      </w:r>
      <w:r w:rsidR="00BB277F" w:rsidRPr="008308A0">
        <w:rPr>
          <w:lang w:val="hr-HR"/>
        </w:rPr>
        <w:lastRenderedPageBreak/>
        <w:t>pojednostaviti prekogranične tokove kapitala unutar jedinstvenog tržišta kako bi se inovativnim europskim novoosnovanim poduzećima olakšao pristup financiranju.</w:t>
      </w:r>
    </w:p>
    <w:p w14:paraId="350EEA9B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Norme</w:t>
      </w:r>
    </w:p>
    <w:p w14:paraId="184B1421" w14:textId="44E01D6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117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čvrsto vjeruje da je promicanje interoperabilnosti i standarda EU-a ključno za poticanje konkurentnosti u tehnološkom sektoru jer se time osigurava da proizvodi mogu biti povezani i međusobno funkcionirati, čime se potiču inovacije i otvorena tržišta; podsjeća da i interoperabilnost i zajednički tehnološki standardi utiru put funkcioniranju jedinstvenog tržišta;</w:t>
      </w:r>
    </w:p>
    <w:p w14:paraId="134FE4F9" w14:textId="64D41CA1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118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naglašava da Komisija mora povećati svoj angažman u okviru postojećih globalnih normizacijskih struktura i usredotočiti se na međunarodno prihvaćanje europskih normi pristupom odozdo prema gore, izbjegavajući centralizaciju;</w:t>
      </w:r>
    </w:p>
    <w:p w14:paraId="7B0FD3A9" w14:textId="77777777" w:rsidR="00BB277F" w:rsidRPr="008308A0" w:rsidRDefault="00BB277F" w:rsidP="00BB277F">
      <w:pPr>
        <w:pStyle w:val="NormalHanging12a"/>
        <w:rPr>
          <w:b/>
          <w:i/>
          <w:lang w:val="hr-HR"/>
        </w:rPr>
      </w:pPr>
      <w:r w:rsidRPr="008308A0">
        <w:rPr>
          <w:b/>
          <w:i/>
          <w:lang w:val="hr-HR"/>
        </w:rPr>
        <w:t>Partnerstva</w:t>
      </w:r>
    </w:p>
    <w:p w14:paraId="2937E4DF" w14:textId="385B3923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119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 xml:space="preserve">pozdravlja predanost EU-a pregovorima o sveobuhvatnim sporazumima o digitalnoj trgovini kojima se olakšava siguran i konkurentan razvoj digitalne infrastrukture u partnerskim zemljama; potiče Komisiju da poveća napore u pregovorima o sporazumima o izbjegavanju dvostrukog oporezivanja s dodatnim partnerskim zemljama; </w:t>
      </w:r>
    </w:p>
    <w:p w14:paraId="6053F6D5" w14:textId="1EABB5BB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120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poziva Komisiju da ubrza tehničku suradnju u multilateralnim forumima kao što su G7, Organizacija za gospodarsku suradnju i razvoj i Svjetska trgovinska organizacija (WTO) kako bi se razvili globalni standardi za digitalno upravljanje, regulaciju umjetne inteligencije, prekogranični protok podataka i nove tehnologije;</w:t>
      </w:r>
    </w:p>
    <w:p w14:paraId="10312F96" w14:textId="3C677B62" w:rsidR="00BB277F" w:rsidRPr="008308A0" w:rsidRDefault="00034617" w:rsidP="00BB277F">
      <w:pPr>
        <w:pStyle w:val="NormalHanging12a"/>
        <w:rPr>
          <w:lang w:val="hr-HR"/>
        </w:rPr>
      </w:pPr>
      <w:r>
        <w:rPr>
          <w:lang w:val="hr-HR"/>
        </w:rPr>
        <w:t>121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potiče Komisiju da ostvari napredak u pregovorima o trajnom rješenju u pogledu moratorija WTO-a na e-trgovinu kako bi se spriječilo uvođenje digitalnih tarifa, čime bi se osiguralo da međunarodna digitalna trgovina ostane otvorena, predvidljiva i poticajna za inovacije;</w:t>
      </w:r>
    </w:p>
    <w:p w14:paraId="49FB37AD" w14:textId="77777777" w:rsidR="00BB277F" w:rsidRPr="008308A0" w:rsidRDefault="00BB277F" w:rsidP="00BB277F">
      <w:pPr>
        <w:pStyle w:val="NormalHanging12a"/>
        <w:jc w:val="center"/>
        <w:rPr>
          <w:lang w:val="hr-HR"/>
        </w:rPr>
      </w:pPr>
      <w:r w:rsidRPr="008308A0">
        <w:rPr>
          <w:lang w:val="hr-HR"/>
        </w:rPr>
        <w:t>°</w:t>
      </w:r>
    </w:p>
    <w:p w14:paraId="4593CBCD" w14:textId="77777777" w:rsidR="00BB277F" w:rsidRPr="008308A0" w:rsidRDefault="00BB277F" w:rsidP="00BB277F">
      <w:pPr>
        <w:pStyle w:val="NormalHanging12a"/>
        <w:jc w:val="center"/>
        <w:rPr>
          <w:lang w:val="hr-HR"/>
        </w:rPr>
      </w:pPr>
      <w:r w:rsidRPr="008308A0">
        <w:rPr>
          <w:lang w:val="hr-HR"/>
        </w:rPr>
        <w:t>°</w:t>
      </w:r>
      <w:r w:rsidRPr="008308A0">
        <w:rPr>
          <w:lang w:val="hr-HR"/>
        </w:rPr>
        <w:tab/>
        <w:t>°</w:t>
      </w:r>
    </w:p>
    <w:p w14:paraId="51FE5D26" w14:textId="68F53E22" w:rsidR="00975F37" w:rsidRPr="008308A0" w:rsidRDefault="00034617" w:rsidP="00975F37">
      <w:pPr>
        <w:pStyle w:val="NormalHanging12a"/>
        <w:rPr>
          <w:lang w:val="hr-HR"/>
        </w:rPr>
      </w:pPr>
      <w:r>
        <w:rPr>
          <w:lang w:val="hr-HR"/>
        </w:rPr>
        <w:t>122</w:t>
      </w:r>
      <w:r w:rsidR="00BB277F" w:rsidRPr="008308A0">
        <w:rPr>
          <w:lang w:val="hr-HR"/>
        </w:rPr>
        <w:t>.</w:t>
      </w:r>
      <w:r w:rsidR="00BB277F" w:rsidRPr="008308A0">
        <w:rPr>
          <w:lang w:val="hr-HR"/>
        </w:rPr>
        <w:tab/>
        <w:t>nalaže svojoj predsjednici da ovu Rezoluciju proslijedi Vijeću i Komisiji.</w:t>
      </w:r>
    </w:p>
    <w:p w14:paraId="76578FB1" w14:textId="62A906DD" w:rsidR="00E365E1" w:rsidRPr="008308A0" w:rsidRDefault="00E365E1" w:rsidP="00065B67"/>
    <w:sectPr w:rsidR="00E365E1" w:rsidRPr="008308A0" w:rsidSect="00975F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B5972" w14:textId="77777777" w:rsidR="00065B67" w:rsidRPr="00975F37" w:rsidRDefault="00065B67">
      <w:r w:rsidRPr="00975F37">
        <w:separator/>
      </w:r>
    </w:p>
  </w:endnote>
  <w:endnote w:type="continuationSeparator" w:id="0">
    <w:p w14:paraId="1875C4C9" w14:textId="77777777" w:rsidR="00065B67" w:rsidRPr="00975F37" w:rsidRDefault="00065B67">
      <w:r w:rsidRPr="00975F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11E3" w14:textId="77777777" w:rsidR="00065B67" w:rsidRPr="00975F37" w:rsidRDefault="00065B67">
      <w:r w:rsidRPr="00975F37">
        <w:separator/>
      </w:r>
    </w:p>
  </w:footnote>
  <w:footnote w:type="continuationSeparator" w:id="0">
    <w:p w14:paraId="582FD0F9" w14:textId="77777777" w:rsidR="00065B67" w:rsidRPr="00975F37" w:rsidRDefault="00065B67">
      <w:r w:rsidRPr="00975F37">
        <w:continuationSeparator/>
      </w:r>
    </w:p>
  </w:footnote>
  <w:footnote w:id="1">
    <w:p w14:paraId="42AFCF69" w14:textId="680AC976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 229, 18.9.2023., str. 1., ELI: </w:t>
      </w:r>
      <w:hyperlink r:id="rId1" w:history="1">
        <w:r w:rsidRPr="00975F37">
          <w:rPr>
            <w:rStyle w:val="Hyperlink"/>
            <w:sz w:val="24"/>
            <w:lang w:val="hr-HR"/>
          </w:rPr>
          <w:t>http://data.europa.eu/eli/reg/2023/1781/oj</w:t>
        </w:r>
      </w:hyperlink>
      <w:r w:rsidRPr="00975F37">
        <w:rPr>
          <w:sz w:val="24"/>
          <w:lang w:val="hr-HR"/>
        </w:rPr>
        <w:t>.</w:t>
      </w:r>
    </w:p>
  </w:footnote>
  <w:footnote w:id="2">
    <w:p w14:paraId="6DB4D233" w14:textId="1D182CBD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333, 27.12.2022., str. 80., ELI: </w:t>
      </w:r>
      <w:hyperlink r:id="rId2" w:history="1">
        <w:r w:rsidRPr="00975F37">
          <w:rPr>
            <w:rStyle w:val="Hyperlink"/>
            <w:sz w:val="24"/>
            <w:lang w:val="hr-HR"/>
          </w:rPr>
          <w:t>http://data.europa.eu/eli/dir/2022/2555/oj</w:t>
        </w:r>
      </w:hyperlink>
      <w:r w:rsidRPr="00975F37">
        <w:rPr>
          <w:sz w:val="24"/>
          <w:lang w:val="hr-HR"/>
        </w:rPr>
        <w:t>.</w:t>
      </w:r>
    </w:p>
  </w:footnote>
  <w:footnote w:id="3">
    <w:p w14:paraId="456B254F" w14:textId="2E636F08" w:rsidR="009976EE" w:rsidRPr="000404C2" w:rsidRDefault="009976EE" w:rsidP="000404C2">
      <w:pPr>
        <w:pStyle w:val="FootnoteText"/>
        <w:ind w:left="567" w:hanging="567"/>
        <w:rPr>
          <w:sz w:val="24"/>
          <w:szCs w:val="24"/>
          <w:lang w:val="hr-HR"/>
        </w:rPr>
      </w:pPr>
      <w:r w:rsidRPr="000404C2">
        <w:rPr>
          <w:rStyle w:val="FootnoteReference"/>
          <w:sz w:val="24"/>
          <w:szCs w:val="24"/>
        </w:rPr>
        <w:footnoteRef/>
      </w:r>
      <w:r w:rsidRPr="000404C2">
        <w:rPr>
          <w:sz w:val="24"/>
          <w:szCs w:val="24"/>
          <w:lang w:val="hr-HR"/>
        </w:rPr>
        <w:t xml:space="preserve"> </w:t>
      </w:r>
      <w:r w:rsidRPr="000404C2">
        <w:rPr>
          <w:sz w:val="24"/>
          <w:szCs w:val="24"/>
          <w:lang w:val="hr-HR"/>
        </w:rPr>
        <w:tab/>
      </w:r>
      <w:hyperlink r:id="rId3" w:history="1">
        <w:r w:rsidRPr="000404C2">
          <w:rPr>
            <w:rStyle w:val="Hyperlink"/>
            <w:lang w:val="hr-HR"/>
          </w:rPr>
          <w:t>https://www.enisa.europa.eu/publications/foresight-cybersecurity-threats-for-2030-update-2024</w:t>
        </w:r>
      </w:hyperlink>
      <w:r w:rsidRPr="000404C2">
        <w:rPr>
          <w:sz w:val="24"/>
          <w:szCs w:val="24"/>
          <w:lang w:val="hr-HR"/>
        </w:rPr>
        <w:t>.</w:t>
      </w:r>
    </w:p>
  </w:footnote>
  <w:footnote w:id="4">
    <w:p w14:paraId="4CF0CD50" w14:textId="17929084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 2024/2847, 20.11.2024., ELI: </w:t>
      </w:r>
      <w:hyperlink r:id="rId4" w:history="1">
        <w:r w:rsidRPr="00975F37">
          <w:rPr>
            <w:rStyle w:val="Hyperlink"/>
            <w:sz w:val="24"/>
            <w:lang w:val="hr-HR"/>
          </w:rPr>
          <w:t>http://data.europa.eu/eli/reg/2024/2847/oj</w:t>
        </w:r>
      </w:hyperlink>
      <w:r w:rsidRPr="00975F37">
        <w:rPr>
          <w:sz w:val="24"/>
          <w:lang w:val="hr-HR"/>
        </w:rPr>
        <w:t>.</w:t>
      </w:r>
    </w:p>
  </w:footnote>
  <w:footnote w:id="5">
    <w:p w14:paraId="4D01475C" w14:textId="706F1708" w:rsidR="00BB277F" w:rsidRPr="00975F37" w:rsidRDefault="00BB277F" w:rsidP="00975F37">
      <w:pPr>
        <w:ind w:left="567" w:hanging="567"/>
      </w:pPr>
      <w:r w:rsidRPr="00975F37">
        <w:rPr>
          <w:rStyle w:val="FootnoteReference"/>
        </w:rPr>
        <w:footnoteRef/>
      </w:r>
      <w:r w:rsidR="00975F37" w:rsidRPr="00975F37">
        <w:t xml:space="preserve"> </w:t>
      </w:r>
      <w:r w:rsidR="00975F37" w:rsidRPr="00975F37">
        <w:tab/>
      </w:r>
      <w:r w:rsidRPr="00975F37">
        <w:t xml:space="preserve">SL L 151, 7.6.2019., str. 15., ELI: </w:t>
      </w:r>
      <w:hyperlink r:id="rId5" w:history="1">
        <w:r w:rsidRPr="00975F37">
          <w:rPr>
            <w:rStyle w:val="Hyperlink"/>
          </w:rPr>
          <w:t>http://data.europa.eu/eli/reg/2019/881/oj</w:t>
        </w:r>
      </w:hyperlink>
      <w:r w:rsidRPr="00975F37">
        <w:t>.</w:t>
      </w:r>
    </w:p>
  </w:footnote>
  <w:footnote w:id="6">
    <w:p w14:paraId="451B7155" w14:textId="434EDBB2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>SL L</w:t>
      </w:r>
      <w:r w:rsidR="00EE67FD">
        <w:rPr>
          <w:sz w:val="24"/>
          <w:lang w:val="hr-HR"/>
        </w:rPr>
        <w:t>,</w:t>
      </w:r>
      <w:r w:rsidRPr="00975F37">
        <w:rPr>
          <w:sz w:val="24"/>
          <w:lang w:val="hr-HR"/>
        </w:rPr>
        <w:t xml:space="preserve"> 2025/38, 15.1.2025., ELI: </w:t>
      </w:r>
      <w:hyperlink r:id="rId6" w:history="1">
        <w:r w:rsidRPr="00975F37">
          <w:rPr>
            <w:rStyle w:val="Hyperlink"/>
            <w:sz w:val="24"/>
            <w:lang w:val="hr-HR"/>
          </w:rPr>
          <w:t>http://data.europa.eu/eli/reg/2025/38/oj</w:t>
        </w:r>
      </w:hyperlink>
      <w:r w:rsidRPr="00975F37">
        <w:rPr>
          <w:sz w:val="24"/>
          <w:lang w:val="hr-HR"/>
        </w:rPr>
        <w:t>.</w:t>
      </w:r>
    </w:p>
  </w:footnote>
  <w:footnote w:id="7">
    <w:p w14:paraId="48D7ACB6" w14:textId="434F095D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>SL L</w:t>
      </w:r>
      <w:r w:rsidR="00EE67FD">
        <w:rPr>
          <w:sz w:val="24"/>
          <w:lang w:val="hr-HR"/>
        </w:rPr>
        <w:t>,</w:t>
      </w:r>
      <w:r w:rsidRPr="00975F37">
        <w:rPr>
          <w:sz w:val="24"/>
          <w:lang w:val="hr-HR"/>
        </w:rPr>
        <w:t xml:space="preserve"> 2025/37, 15.1.2025., ELI: </w:t>
      </w:r>
      <w:hyperlink r:id="rId7" w:history="1">
        <w:r w:rsidRPr="00975F37">
          <w:rPr>
            <w:rStyle w:val="Hyperlink"/>
            <w:sz w:val="24"/>
            <w:lang w:val="hr-HR"/>
          </w:rPr>
          <w:t>http://data.europa.eu/eli/reg/2025/37/oj</w:t>
        </w:r>
      </w:hyperlink>
      <w:r w:rsidRPr="00975F37">
        <w:rPr>
          <w:sz w:val="24"/>
          <w:lang w:val="hr-HR"/>
        </w:rPr>
        <w:t>.</w:t>
      </w:r>
    </w:p>
  </w:footnote>
  <w:footnote w:id="8">
    <w:p w14:paraId="15098C00" w14:textId="333171F5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323, 19.12.2022., str. 4., ELI: </w:t>
      </w:r>
      <w:hyperlink r:id="rId8" w:history="1">
        <w:r w:rsidRPr="00975F37">
          <w:rPr>
            <w:rStyle w:val="Hyperlink"/>
            <w:sz w:val="24"/>
            <w:lang w:val="hr-HR"/>
          </w:rPr>
          <w:t>http://data.europa.eu/eli/dec/2022/2481/oj</w:t>
        </w:r>
      </w:hyperlink>
      <w:r w:rsidRPr="00975F37">
        <w:rPr>
          <w:sz w:val="24"/>
          <w:lang w:val="hr-HR"/>
        </w:rPr>
        <w:t xml:space="preserve">. </w:t>
      </w:r>
    </w:p>
  </w:footnote>
  <w:footnote w:id="9">
    <w:p w14:paraId="2A4C9339" w14:textId="57D8E422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 2024/903, 22.3.2024., ELI: </w:t>
      </w:r>
      <w:hyperlink r:id="rId9" w:history="1">
        <w:r w:rsidRPr="00975F37">
          <w:rPr>
            <w:rStyle w:val="Hyperlink"/>
            <w:sz w:val="24"/>
            <w:lang w:val="hr-HR"/>
          </w:rPr>
          <w:t>http://data.europa.eu/eli/reg/2024/903/oj</w:t>
        </w:r>
      </w:hyperlink>
      <w:r w:rsidRPr="00975F37">
        <w:rPr>
          <w:sz w:val="24"/>
          <w:lang w:val="hr-HR"/>
        </w:rPr>
        <w:t xml:space="preserve">.  </w:t>
      </w:r>
    </w:p>
  </w:footnote>
  <w:footnote w:id="10">
    <w:p w14:paraId="56B8C686" w14:textId="50D36F95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172, 26.6.2019., str. 56., ELI: </w:t>
      </w:r>
      <w:hyperlink r:id="rId10" w:history="1">
        <w:r w:rsidRPr="00975F37">
          <w:rPr>
            <w:rStyle w:val="Hyperlink"/>
            <w:sz w:val="24"/>
            <w:lang w:val="hr-HR"/>
          </w:rPr>
          <w:t>http://data.europa.eu/eli/dir/2019/1024/oj</w:t>
        </w:r>
      </w:hyperlink>
      <w:r w:rsidRPr="00975F37">
        <w:rPr>
          <w:sz w:val="24"/>
          <w:lang w:val="hr-HR"/>
        </w:rPr>
        <w:t>.</w:t>
      </w:r>
    </w:p>
  </w:footnote>
  <w:footnote w:id="11">
    <w:p w14:paraId="09A4F433" w14:textId="121D7EEE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 2024/795, 29.2.2024., ELI: </w:t>
      </w:r>
      <w:hyperlink r:id="rId11" w:history="1">
        <w:r w:rsidRPr="00975F37">
          <w:rPr>
            <w:rStyle w:val="Hyperlink"/>
            <w:sz w:val="24"/>
            <w:lang w:val="hr-HR"/>
          </w:rPr>
          <w:t>http://data.europa.eu/eli/reg/2024/795/oj</w:t>
        </w:r>
      </w:hyperlink>
      <w:r w:rsidRPr="00975F37">
        <w:rPr>
          <w:sz w:val="24"/>
          <w:lang w:val="hr-HR"/>
        </w:rPr>
        <w:t xml:space="preserve">. </w:t>
      </w:r>
    </w:p>
  </w:footnote>
  <w:footnote w:id="12">
    <w:p w14:paraId="18390320" w14:textId="2AEF5DAA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 2023/2854, 22.12.2023., ELI: </w:t>
      </w:r>
      <w:hyperlink r:id="rId12" w:history="1">
        <w:r w:rsidRPr="00975F37">
          <w:rPr>
            <w:rStyle w:val="Hyperlink"/>
            <w:sz w:val="24"/>
            <w:lang w:val="hr-HR"/>
          </w:rPr>
          <w:t>http://data.europa.eu/eli/reg/2023/2854/oj</w:t>
        </w:r>
      </w:hyperlink>
      <w:r w:rsidRPr="00975F37">
        <w:rPr>
          <w:sz w:val="24"/>
          <w:lang w:val="hr-HR"/>
        </w:rPr>
        <w:t xml:space="preserve">. </w:t>
      </w:r>
    </w:p>
  </w:footnote>
  <w:footnote w:id="13">
    <w:p w14:paraId="5E3997BF" w14:textId="7429C2BB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 2024/1309, 8.5.2024., ELI: </w:t>
      </w:r>
      <w:hyperlink r:id="rId13" w:history="1">
        <w:r w:rsidRPr="00975F37">
          <w:rPr>
            <w:rStyle w:val="Hyperlink"/>
            <w:sz w:val="24"/>
            <w:lang w:val="hr-HR"/>
          </w:rPr>
          <w:t>http://data.europa.eu/eli/reg/2024/1309/oj</w:t>
        </w:r>
      </w:hyperlink>
      <w:r w:rsidRPr="00975F37">
        <w:rPr>
          <w:sz w:val="24"/>
          <w:lang w:val="hr-HR"/>
        </w:rPr>
        <w:t>.</w:t>
      </w:r>
    </w:p>
  </w:footnote>
  <w:footnote w:id="14">
    <w:p w14:paraId="627F7245" w14:textId="574AEB9A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 2024/1689, 12.7.2024., ELI: </w:t>
      </w:r>
      <w:hyperlink r:id="rId14" w:history="1">
        <w:r w:rsidRPr="00975F37">
          <w:rPr>
            <w:rStyle w:val="Hyperlink"/>
            <w:sz w:val="24"/>
            <w:lang w:val="hr-HR"/>
          </w:rPr>
          <w:t>http://data.europa.eu/eli/reg/2024/1689/oj</w:t>
        </w:r>
      </w:hyperlink>
      <w:r w:rsidRPr="00975F37">
        <w:rPr>
          <w:sz w:val="24"/>
          <w:lang w:val="hr-HR"/>
        </w:rPr>
        <w:t xml:space="preserve">. </w:t>
      </w:r>
    </w:p>
  </w:footnote>
  <w:footnote w:id="15">
    <w:p w14:paraId="4E4FB2E2" w14:textId="7ACBB73F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249, 14.7.2021., str. 38., ELI: </w:t>
      </w:r>
      <w:hyperlink r:id="rId15" w:history="1">
        <w:r w:rsidRPr="00975F37">
          <w:rPr>
            <w:rStyle w:val="Hyperlink"/>
            <w:sz w:val="24"/>
            <w:lang w:val="hr-HR"/>
          </w:rPr>
          <w:t>http://data.europa.eu/eli/reg/2021/1153/oj</w:t>
        </w:r>
      </w:hyperlink>
      <w:r w:rsidRPr="00975F37">
        <w:rPr>
          <w:sz w:val="24"/>
          <w:lang w:val="hr-HR"/>
        </w:rPr>
        <w:t xml:space="preserve">. </w:t>
      </w:r>
    </w:p>
  </w:footnote>
  <w:footnote w:id="16">
    <w:p w14:paraId="628E5E91" w14:textId="2038FE09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166, 11.5.2021., str. 1., ELI: </w:t>
      </w:r>
      <w:hyperlink r:id="rId16" w:history="1">
        <w:r w:rsidRPr="00975F37">
          <w:rPr>
            <w:rStyle w:val="Hyperlink"/>
            <w:sz w:val="24"/>
            <w:lang w:val="hr-HR"/>
          </w:rPr>
          <w:t>http://data.europa.eu/eli/reg/2021/694/oj</w:t>
        </w:r>
      </w:hyperlink>
      <w:r w:rsidRPr="00975F37">
        <w:rPr>
          <w:sz w:val="24"/>
          <w:lang w:val="hr-HR"/>
        </w:rPr>
        <w:t>.</w:t>
      </w:r>
    </w:p>
  </w:footnote>
  <w:footnote w:id="17">
    <w:p w14:paraId="0ACED20C" w14:textId="69EC1D0D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170, 12.5.2021., str. 1., ELI: </w:t>
      </w:r>
      <w:hyperlink r:id="rId17" w:history="1">
        <w:r w:rsidRPr="00975F37">
          <w:rPr>
            <w:rStyle w:val="Hyperlink"/>
            <w:sz w:val="24"/>
            <w:lang w:val="hr-HR"/>
          </w:rPr>
          <w:t>http://data.europa.eu/eli/reg/2021/695/oj</w:t>
        </w:r>
      </w:hyperlink>
      <w:r w:rsidRPr="00975F37">
        <w:rPr>
          <w:sz w:val="24"/>
          <w:lang w:val="hr-HR"/>
        </w:rPr>
        <w:t>.</w:t>
      </w:r>
    </w:p>
  </w:footnote>
  <w:footnote w:id="18">
    <w:p w14:paraId="3B5CC304" w14:textId="46B7C05F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170, 12.5.2021., str. 69., ELI: </w:t>
      </w:r>
      <w:hyperlink r:id="rId18" w:history="1">
        <w:r w:rsidRPr="00975F37">
          <w:rPr>
            <w:rStyle w:val="Hyperlink"/>
            <w:sz w:val="24"/>
            <w:lang w:val="hr-HR"/>
          </w:rPr>
          <w:t>http://data.europa.eu/eli/reg/2021/696/oj</w:t>
        </w:r>
      </w:hyperlink>
      <w:r w:rsidRPr="00975F37">
        <w:rPr>
          <w:sz w:val="24"/>
          <w:lang w:val="hr-HR"/>
        </w:rPr>
        <w:t>.</w:t>
      </w:r>
    </w:p>
  </w:footnote>
  <w:footnote w:id="19">
    <w:p w14:paraId="70B2542E" w14:textId="30A45272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>SL L 79, 1</w:t>
      </w:r>
      <w:r w:rsidR="00EE67FD">
        <w:rPr>
          <w:sz w:val="24"/>
          <w:lang w:val="hr-HR"/>
        </w:rPr>
        <w:t>7</w:t>
      </w:r>
      <w:r w:rsidRPr="00975F37">
        <w:rPr>
          <w:sz w:val="24"/>
          <w:lang w:val="hr-HR"/>
        </w:rPr>
        <w:t>.</w:t>
      </w:r>
      <w:r w:rsidR="00EE67FD">
        <w:rPr>
          <w:sz w:val="24"/>
          <w:lang w:val="hr-HR"/>
        </w:rPr>
        <w:t>3</w:t>
      </w:r>
      <w:r w:rsidRPr="00975F37">
        <w:rPr>
          <w:sz w:val="24"/>
          <w:lang w:val="hr-HR"/>
        </w:rPr>
        <w:t>.20</w:t>
      </w:r>
      <w:r w:rsidR="00EE67FD">
        <w:rPr>
          <w:sz w:val="24"/>
          <w:lang w:val="hr-HR"/>
        </w:rPr>
        <w:t>23</w:t>
      </w:r>
      <w:r w:rsidRPr="00975F37">
        <w:rPr>
          <w:sz w:val="24"/>
          <w:lang w:val="hr-HR"/>
        </w:rPr>
        <w:t xml:space="preserve">., str. 1., ELI: </w:t>
      </w:r>
      <w:hyperlink r:id="rId19" w:history="1">
        <w:r w:rsidRPr="00975F37">
          <w:rPr>
            <w:rStyle w:val="Hyperlink"/>
            <w:sz w:val="24"/>
            <w:lang w:val="hr-HR"/>
          </w:rPr>
          <w:t>http://d</w:t>
        </w:r>
        <w:r w:rsidRPr="00975F37">
          <w:rPr>
            <w:rStyle w:val="Hyperlink"/>
            <w:sz w:val="24"/>
            <w:lang w:val="hr-HR"/>
          </w:rPr>
          <w:t>a</w:t>
        </w:r>
        <w:r w:rsidRPr="00975F37">
          <w:rPr>
            <w:rStyle w:val="Hyperlink"/>
            <w:sz w:val="24"/>
            <w:lang w:val="hr-HR"/>
          </w:rPr>
          <w:t>ta.europa.eu/eli/reg/2023/588/oj</w:t>
        </w:r>
      </w:hyperlink>
      <w:r w:rsidRPr="00975F37">
        <w:rPr>
          <w:sz w:val="24"/>
          <w:lang w:val="hr-HR"/>
        </w:rPr>
        <w:t>.</w:t>
      </w:r>
    </w:p>
  </w:footnote>
  <w:footnote w:id="20">
    <w:p w14:paraId="04545FDA" w14:textId="0CE29E3D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 427, 30.11.2021., str. 17., ELI: </w:t>
      </w:r>
      <w:hyperlink r:id="rId20" w:history="1">
        <w:r w:rsidRPr="00975F37">
          <w:rPr>
            <w:rStyle w:val="Hyperlink"/>
            <w:sz w:val="24"/>
            <w:lang w:val="hr-HR"/>
          </w:rPr>
          <w:t>http://data.europa.eu/eli/reg/2021/2085/oj</w:t>
        </w:r>
      </w:hyperlink>
      <w:r w:rsidRPr="00975F37">
        <w:rPr>
          <w:sz w:val="24"/>
          <w:lang w:val="hr-HR"/>
        </w:rPr>
        <w:t xml:space="preserve">. </w:t>
      </w:r>
    </w:p>
  </w:footnote>
  <w:footnote w:id="21">
    <w:p w14:paraId="33EDDA7B" w14:textId="7DAC723B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 256, 19.7.2021., str. 3., ELI: </w:t>
      </w:r>
      <w:hyperlink r:id="rId21" w:history="1">
        <w:r w:rsidRPr="00975F37">
          <w:rPr>
            <w:rStyle w:val="Hyperlink"/>
            <w:sz w:val="24"/>
            <w:lang w:val="hr-HR"/>
          </w:rPr>
          <w:t>http://data.europa.eu/eli/reg/2021/1173/oj</w:t>
        </w:r>
      </w:hyperlink>
      <w:r w:rsidRPr="00975F37">
        <w:rPr>
          <w:sz w:val="24"/>
          <w:lang w:val="hr-HR"/>
        </w:rPr>
        <w:t xml:space="preserve">. </w:t>
      </w:r>
    </w:p>
  </w:footnote>
  <w:footnote w:id="22">
    <w:p w14:paraId="46E36192" w14:textId="382C7761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L, 2024/1732, 19.6.2024., ELI: </w:t>
      </w:r>
      <w:hyperlink r:id="rId22" w:history="1">
        <w:r w:rsidRPr="00975F37">
          <w:rPr>
            <w:rStyle w:val="Hyperlink"/>
            <w:sz w:val="24"/>
            <w:lang w:val="hr-HR"/>
          </w:rPr>
          <w:t>http://data.europa.eu/eli/reg/2024/1732/oj</w:t>
        </w:r>
      </w:hyperlink>
      <w:r w:rsidRPr="00975F37">
        <w:rPr>
          <w:sz w:val="24"/>
          <w:lang w:val="hr-HR"/>
        </w:rPr>
        <w:t xml:space="preserve">. </w:t>
      </w:r>
    </w:p>
  </w:footnote>
  <w:footnote w:id="23">
    <w:p w14:paraId="1C23036B" w14:textId="3C25DAB0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 L 321, 17.12.2018., str. 36., ELI: </w:t>
      </w:r>
      <w:hyperlink r:id="rId23" w:history="1">
        <w:r w:rsidRPr="00975F37">
          <w:rPr>
            <w:rStyle w:val="Hyperlink"/>
            <w:sz w:val="24"/>
            <w:lang w:val="hr-HR"/>
          </w:rPr>
          <w:t>http://data.europa.eu/eli/dir/2018/1972/oj</w:t>
        </w:r>
      </w:hyperlink>
      <w:r w:rsidRPr="00975F37">
        <w:rPr>
          <w:sz w:val="24"/>
          <w:lang w:val="hr-HR"/>
        </w:rPr>
        <w:t>.</w:t>
      </w:r>
    </w:p>
  </w:footnote>
  <w:footnote w:id="24">
    <w:p w14:paraId="0646F07F" w14:textId="1D22DC1D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SL L, 2024/1183, 30.4.2024., ELI: </w:t>
      </w:r>
      <w:hyperlink r:id="rId24" w:history="1">
        <w:r w:rsidRPr="00975F37">
          <w:rPr>
            <w:rStyle w:val="Hyperlink"/>
            <w:sz w:val="24"/>
            <w:lang w:val="hr-HR"/>
          </w:rPr>
          <w:t>http://data.europa.eu/eli/reg/2024/1183/oj</w:t>
        </w:r>
      </w:hyperlink>
      <w:r w:rsidRPr="00975F37">
        <w:rPr>
          <w:sz w:val="24"/>
          <w:lang w:val="hr-HR"/>
        </w:rPr>
        <w:t xml:space="preserve">.  </w:t>
      </w:r>
    </w:p>
  </w:footnote>
  <w:footnote w:id="25">
    <w:p w14:paraId="5224B876" w14:textId="635D9F8D" w:rsidR="00781F1B" w:rsidRPr="000404C2" w:rsidRDefault="00781F1B" w:rsidP="000404C2">
      <w:pPr>
        <w:pStyle w:val="FootnoteText"/>
        <w:ind w:left="567" w:hanging="567"/>
        <w:rPr>
          <w:sz w:val="24"/>
          <w:szCs w:val="24"/>
          <w:lang w:val="hr-HR"/>
        </w:rPr>
      </w:pPr>
      <w:r w:rsidRPr="000404C2">
        <w:rPr>
          <w:rStyle w:val="FootnoteReference"/>
          <w:sz w:val="24"/>
          <w:szCs w:val="24"/>
        </w:rPr>
        <w:footnoteRef/>
      </w:r>
      <w:r w:rsidRPr="000404C2">
        <w:rPr>
          <w:sz w:val="24"/>
          <w:szCs w:val="24"/>
          <w:lang w:val="hr-HR"/>
        </w:rPr>
        <w:t xml:space="preserve"> </w:t>
      </w:r>
      <w:r w:rsidRPr="000404C2">
        <w:rPr>
          <w:sz w:val="24"/>
          <w:szCs w:val="24"/>
          <w:lang w:val="hr-HR"/>
        </w:rPr>
        <w:tab/>
        <w:t>SL C 23, 23.1.2023., str. 1.</w:t>
      </w:r>
    </w:p>
  </w:footnote>
  <w:footnote w:id="26">
    <w:p w14:paraId="5FE52DB6" w14:textId="130CCE3A" w:rsidR="000404C2" w:rsidRPr="00721DC0" w:rsidRDefault="000404C2" w:rsidP="00721DC0">
      <w:pPr>
        <w:pStyle w:val="FootnoteText"/>
        <w:ind w:left="567" w:hanging="567"/>
        <w:rPr>
          <w:lang w:val="hr-HR"/>
        </w:rPr>
      </w:pPr>
      <w:r w:rsidRPr="00721DC0">
        <w:rPr>
          <w:rStyle w:val="FootnoteReference"/>
          <w:sz w:val="24"/>
          <w:szCs w:val="24"/>
        </w:rPr>
        <w:footnoteRef/>
      </w:r>
      <w:r w:rsidRPr="00721DC0">
        <w:rPr>
          <w:sz w:val="24"/>
          <w:szCs w:val="24"/>
          <w:lang w:val="hr-HR"/>
        </w:rPr>
        <w:t xml:space="preserve"> </w:t>
      </w:r>
      <w:r w:rsidRPr="00721DC0">
        <w:rPr>
          <w:sz w:val="24"/>
          <w:szCs w:val="24"/>
          <w:lang w:val="hr-HR"/>
        </w:rPr>
        <w:tab/>
      </w:r>
      <w:r w:rsidRPr="00721DC0">
        <w:rPr>
          <w:bCs/>
          <w:iCs/>
          <w:sz w:val="24"/>
          <w:szCs w:val="24"/>
          <w:lang w:val="hr-HR" w:eastAsia="en-US"/>
        </w:rPr>
        <w:t>Uredba (EU) 2022/2065 Europskog parlamenta i Vijeća od 19. listopada 2022. o jedinstvenom tržištu digitalnih usluga i izmjeni Direktive 2000/31/EZ (Akt o digitalnim uslugama) (SL L 277, 27.10.2022., str. 1., ELI: </w:t>
      </w:r>
      <w:hyperlink r:id="rId25" w:history="1">
        <w:r w:rsidRPr="00721DC0">
          <w:rPr>
            <w:rStyle w:val="Hyperlink"/>
            <w:bCs/>
            <w:iCs/>
            <w:sz w:val="24"/>
            <w:szCs w:val="24"/>
            <w:lang w:val="hr-HR"/>
          </w:rPr>
          <w:t>http://data.europa.eu/eli/reg/2022/2065/oj</w:t>
        </w:r>
      </w:hyperlink>
      <w:r w:rsidRPr="00721DC0">
        <w:rPr>
          <w:bCs/>
          <w:iCs/>
          <w:sz w:val="24"/>
          <w:szCs w:val="24"/>
          <w:lang w:val="hr-HR" w:eastAsia="en-US"/>
        </w:rPr>
        <w:t>).</w:t>
      </w:r>
    </w:p>
  </w:footnote>
  <w:footnote w:id="27">
    <w:p w14:paraId="6A84FCB2" w14:textId="3A83693C" w:rsidR="00BB277F" w:rsidRPr="00975F37" w:rsidRDefault="00BB277F" w:rsidP="00975F37">
      <w:pPr>
        <w:pStyle w:val="FootnoteText"/>
        <w:ind w:left="567" w:hanging="567"/>
        <w:rPr>
          <w:sz w:val="24"/>
          <w:lang w:val="hr-HR"/>
        </w:rPr>
      </w:pPr>
      <w:r w:rsidRPr="00975F37">
        <w:rPr>
          <w:rStyle w:val="FootnoteReference"/>
          <w:sz w:val="24"/>
          <w:lang w:val="hr-HR"/>
        </w:rPr>
        <w:footnoteRef/>
      </w:r>
      <w:r w:rsidR="00975F37" w:rsidRPr="00975F37">
        <w:rPr>
          <w:sz w:val="24"/>
          <w:lang w:val="hr-HR"/>
        </w:rPr>
        <w:t xml:space="preserve"> </w:t>
      </w:r>
      <w:r w:rsidR="00975F37" w:rsidRPr="00975F37">
        <w:rPr>
          <w:sz w:val="24"/>
          <w:lang w:val="hr-HR"/>
        </w:rPr>
        <w:tab/>
      </w:r>
      <w:r w:rsidRPr="00975F37">
        <w:rPr>
          <w:sz w:val="24"/>
          <w:lang w:val="hr-HR"/>
        </w:rPr>
        <w:t xml:space="preserve">Uredba (EU) 2024/1781 Europskog parlamenta i Vijeća od 13. lipnja 2024. o uspostavi okvira za utvrđivanje zahtjeva za ekološki dizajn održivih proizvoda, izmjeni Direktive (EU) 2020/1828 i Uredbe (EU) 2023/1542 te stavljanju izvan snage Direktive 2009/125/EZ (SL L, 2024/1781, 28.6.2024., ELI: </w:t>
      </w:r>
      <w:hyperlink r:id="rId26" w:history="1">
        <w:r w:rsidRPr="00975F37">
          <w:rPr>
            <w:rStyle w:val="Hyperlink"/>
            <w:sz w:val="24"/>
            <w:lang w:val="hr-HR"/>
          </w:rPr>
          <w:t>http://data.europa.eu/eli/reg/2024/1781/oj</w:t>
        </w:r>
      </w:hyperlink>
      <w:r w:rsidRPr="00975F37">
        <w:rPr>
          <w:sz w:val="24"/>
          <w:lang w:val="hr-HR"/>
        </w:rPr>
        <w:t xml:space="preserve">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1664770">
    <w:abstractNumId w:val="9"/>
  </w:num>
  <w:num w:numId="2" w16cid:durableId="1697779240">
    <w:abstractNumId w:val="9"/>
  </w:num>
  <w:num w:numId="3" w16cid:durableId="3018668">
    <w:abstractNumId w:val="7"/>
  </w:num>
  <w:num w:numId="4" w16cid:durableId="1083142505">
    <w:abstractNumId w:val="7"/>
  </w:num>
  <w:num w:numId="5" w16cid:durableId="1211265397">
    <w:abstractNumId w:val="6"/>
  </w:num>
  <w:num w:numId="6" w16cid:durableId="1003431527">
    <w:abstractNumId w:val="6"/>
  </w:num>
  <w:num w:numId="7" w16cid:durableId="519972976">
    <w:abstractNumId w:val="5"/>
  </w:num>
  <w:num w:numId="8" w16cid:durableId="606549245">
    <w:abstractNumId w:val="5"/>
  </w:num>
  <w:num w:numId="9" w16cid:durableId="1762098951">
    <w:abstractNumId w:val="4"/>
  </w:num>
  <w:num w:numId="10" w16cid:durableId="404228166">
    <w:abstractNumId w:val="4"/>
  </w:num>
  <w:num w:numId="11" w16cid:durableId="366416894">
    <w:abstractNumId w:val="8"/>
  </w:num>
  <w:num w:numId="12" w16cid:durableId="2071345865">
    <w:abstractNumId w:val="8"/>
  </w:num>
  <w:num w:numId="13" w16cid:durableId="1909803705">
    <w:abstractNumId w:val="3"/>
  </w:num>
  <w:num w:numId="14" w16cid:durableId="1093862720">
    <w:abstractNumId w:val="3"/>
  </w:num>
  <w:num w:numId="15" w16cid:durableId="1481997251">
    <w:abstractNumId w:val="2"/>
  </w:num>
  <w:num w:numId="16" w16cid:durableId="126824828">
    <w:abstractNumId w:val="2"/>
  </w:num>
  <w:num w:numId="17" w16cid:durableId="1741051504">
    <w:abstractNumId w:val="1"/>
  </w:num>
  <w:num w:numId="18" w16cid:durableId="970137657">
    <w:abstractNumId w:val="1"/>
  </w:num>
  <w:num w:numId="19" w16cid:durableId="1521818694">
    <w:abstractNumId w:val="0"/>
  </w:num>
  <w:num w:numId="20" w16cid:durableId="1467552922">
    <w:abstractNumId w:val="0"/>
  </w:num>
  <w:num w:numId="21" w16cid:durableId="1888375240">
    <w:abstractNumId w:val="9"/>
  </w:num>
  <w:num w:numId="22" w16cid:durableId="1385908936">
    <w:abstractNumId w:val="7"/>
  </w:num>
  <w:num w:numId="23" w16cid:durableId="1742174724">
    <w:abstractNumId w:val="6"/>
  </w:num>
  <w:num w:numId="24" w16cid:durableId="83498242">
    <w:abstractNumId w:val="5"/>
  </w:num>
  <w:num w:numId="25" w16cid:durableId="443035817">
    <w:abstractNumId w:val="4"/>
  </w:num>
  <w:num w:numId="26" w16cid:durableId="423460052">
    <w:abstractNumId w:val="8"/>
  </w:num>
  <w:num w:numId="27" w16cid:durableId="419258534">
    <w:abstractNumId w:val="3"/>
  </w:num>
  <w:num w:numId="28" w16cid:durableId="1571649877">
    <w:abstractNumId w:val="2"/>
  </w:num>
  <w:num w:numId="29" w16cid:durableId="692852200">
    <w:abstractNumId w:val="1"/>
  </w:num>
  <w:num w:numId="30" w16cid:durableId="907306317">
    <w:abstractNumId w:val="0"/>
  </w:num>
  <w:num w:numId="31" w16cid:durableId="1189417558">
    <w:abstractNumId w:val="9"/>
  </w:num>
  <w:num w:numId="32" w16cid:durableId="1381246262">
    <w:abstractNumId w:val="7"/>
  </w:num>
  <w:num w:numId="33" w16cid:durableId="2114394347">
    <w:abstractNumId w:val="6"/>
  </w:num>
  <w:num w:numId="34" w16cid:durableId="279804173">
    <w:abstractNumId w:val="5"/>
  </w:num>
  <w:num w:numId="35" w16cid:durableId="132066267">
    <w:abstractNumId w:val="4"/>
  </w:num>
  <w:num w:numId="36" w16cid:durableId="2145198478">
    <w:abstractNumId w:val="8"/>
  </w:num>
  <w:num w:numId="37" w16cid:durableId="294456213">
    <w:abstractNumId w:val="3"/>
  </w:num>
  <w:num w:numId="38" w16cid:durableId="921178599">
    <w:abstractNumId w:val="2"/>
  </w:num>
  <w:num w:numId="39" w16cid:durableId="778911303">
    <w:abstractNumId w:val="1"/>
  </w:num>
  <w:num w:numId="40" w16cid:durableId="43067937">
    <w:abstractNumId w:val="0"/>
  </w:num>
  <w:num w:numId="41" w16cid:durableId="2095544472">
    <w:abstractNumId w:val="10"/>
  </w:num>
  <w:num w:numId="42" w16cid:durableId="1587837412">
    <w:abstractNumId w:val="10"/>
  </w:num>
  <w:num w:numId="43" w16cid:durableId="997687237">
    <w:abstractNumId w:val="10"/>
  </w:num>
  <w:num w:numId="44" w16cid:durableId="14150111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7/2025"/>
    <w:docVar w:name="dvlangue" w:val="HR"/>
    <w:docVar w:name="dvnumam" w:val="0"/>
    <w:docVar w:name="dvpe" w:val="768.180"/>
    <w:docVar w:name="dvrapporteur" w:val="Izvjestiteljica: "/>
    <w:docVar w:name="dvtitre" w:val="Rezolucija Europskog parlamenta od .... 2026. o europskoj tehnološkoj suverenosti i digitalnoj infrastrukturi(2025/2007(INI))"/>
  </w:docVars>
  <w:rsids>
    <w:rsidRoot w:val="00065B67"/>
    <w:rsid w:val="00002272"/>
    <w:rsid w:val="00034617"/>
    <w:rsid w:val="000404C2"/>
    <w:rsid w:val="00064002"/>
    <w:rsid w:val="00065B67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78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1DC0"/>
    <w:rsid w:val="00731ADD"/>
    <w:rsid w:val="00734777"/>
    <w:rsid w:val="00747932"/>
    <w:rsid w:val="00751A4A"/>
    <w:rsid w:val="00756632"/>
    <w:rsid w:val="00762C74"/>
    <w:rsid w:val="00781F1B"/>
    <w:rsid w:val="00786EC0"/>
    <w:rsid w:val="007D1690"/>
    <w:rsid w:val="007E22AD"/>
    <w:rsid w:val="00817416"/>
    <w:rsid w:val="008308A0"/>
    <w:rsid w:val="00835005"/>
    <w:rsid w:val="00842779"/>
    <w:rsid w:val="00865F67"/>
    <w:rsid w:val="00881A7B"/>
    <w:rsid w:val="008840E5"/>
    <w:rsid w:val="00887B3E"/>
    <w:rsid w:val="008A0EF0"/>
    <w:rsid w:val="008C2AC6"/>
    <w:rsid w:val="00930C23"/>
    <w:rsid w:val="0093193B"/>
    <w:rsid w:val="009509D8"/>
    <w:rsid w:val="00950B64"/>
    <w:rsid w:val="00975F37"/>
    <w:rsid w:val="00981893"/>
    <w:rsid w:val="009976E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77F"/>
    <w:rsid w:val="00BD48FE"/>
    <w:rsid w:val="00BD7BD8"/>
    <w:rsid w:val="00BE6ADC"/>
    <w:rsid w:val="00C05BFE"/>
    <w:rsid w:val="00C23CD4"/>
    <w:rsid w:val="00C30037"/>
    <w:rsid w:val="00C61C0C"/>
    <w:rsid w:val="00C941CB"/>
    <w:rsid w:val="00CC2357"/>
    <w:rsid w:val="00CF071A"/>
    <w:rsid w:val="00D058B8"/>
    <w:rsid w:val="00D55C3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7F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E2DB2"/>
  <w15:chartTrackingRefBased/>
  <w15:docId w15:val="{05589DEC-98BF-4840-9D4F-5FF7AA3F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277F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BB277F"/>
    <w:pPr>
      <w:widowControl/>
      <w:spacing w:after="240"/>
      <w:ind w:left="567" w:hanging="567"/>
    </w:pPr>
    <w:rPr>
      <w:snapToGrid w:val="0"/>
      <w:lang w:val="en-GB" w:eastAsia="en-US"/>
    </w:rPr>
  </w:style>
  <w:style w:type="character" w:customStyle="1" w:styleId="Italic">
    <w:name w:val="Italic"/>
    <w:uiPriority w:val="1"/>
    <w:rsid w:val="00BB277F"/>
    <w:rPr>
      <w:i/>
    </w:rPr>
  </w:style>
  <w:style w:type="character" w:styleId="Hyperlink">
    <w:name w:val="Hyperlink"/>
    <w:basedOn w:val="DefaultParagraphFont"/>
    <w:rsid w:val="00BB277F"/>
    <w:rPr>
      <w:color w:val="0000FF"/>
      <w:u w:val="single"/>
    </w:rPr>
  </w:style>
  <w:style w:type="paragraph" w:styleId="Revision">
    <w:name w:val="Revision"/>
    <w:hidden/>
    <w:uiPriority w:val="99"/>
    <w:semiHidden/>
    <w:rsid w:val="009976EE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9976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976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2/2481/oj" TargetMode="External"/><Relationship Id="rId13" Type="http://schemas.openxmlformats.org/officeDocument/2006/relationships/hyperlink" Target="http://data.europa.eu/eli/reg/2024/1309/oj" TargetMode="External"/><Relationship Id="rId18" Type="http://schemas.openxmlformats.org/officeDocument/2006/relationships/hyperlink" Target="http://data.europa.eu/eli/reg/2021/696/oj" TargetMode="External"/><Relationship Id="rId26" Type="http://schemas.openxmlformats.org/officeDocument/2006/relationships/hyperlink" Target="http://data.europa.eu/eli/reg/2024/1781/oj" TargetMode="External"/><Relationship Id="rId3" Type="http://schemas.openxmlformats.org/officeDocument/2006/relationships/hyperlink" Target="https://www.enisa.europa.eu/publications/foresight-cybersecurity-threats-for-2030-update-2024" TargetMode="External"/><Relationship Id="rId21" Type="http://schemas.openxmlformats.org/officeDocument/2006/relationships/hyperlink" Target="http://data.europa.eu/eli/reg/2021/1173/oj" TargetMode="External"/><Relationship Id="rId7" Type="http://schemas.openxmlformats.org/officeDocument/2006/relationships/hyperlink" Target="http://data.europa.eu/eli/reg/2025/37/oj" TargetMode="External"/><Relationship Id="rId12" Type="http://schemas.openxmlformats.org/officeDocument/2006/relationships/hyperlink" Target="http://data.europa.eu/eli/reg/2023/2854/oj" TargetMode="External"/><Relationship Id="rId17" Type="http://schemas.openxmlformats.org/officeDocument/2006/relationships/hyperlink" Target="http://data.europa.eu/eli/reg/2021/695/oj" TargetMode="External"/><Relationship Id="rId25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dir/2022/2555/oj" TargetMode="External"/><Relationship Id="rId16" Type="http://schemas.openxmlformats.org/officeDocument/2006/relationships/hyperlink" Target="http://data.europa.eu/eli/reg/2021/694/oj" TargetMode="External"/><Relationship Id="rId20" Type="http://schemas.openxmlformats.org/officeDocument/2006/relationships/hyperlink" Target="http://data.europa.eu/eli/reg/2021/2085/oj" TargetMode="External"/><Relationship Id="rId1" Type="http://schemas.openxmlformats.org/officeDocument/2006/relationships/hyperlink" Target="http://data.europa.eu/eli/reg/2023/1781/oj" TargetMode="External"/><Relationship Id="rId6" Type="http://schemas.openxmlformats.org/officeDocument/2006/relationships/hyperlink" Target="http://data.europa.eu/eli/reg/2025/38/oj" TargetMode="External"/><Relationship Id="rId11" Type="http://schemas.openxmlformats.org/officeDocument/2006/relationships/hyperlink" Target="http://data.europa.eu/eli/reg/2024/795/oj" TargetMode="External"/><Relationship Id="rId24" Type="http://schemas.openxmlformats.org/officeDocument/2006/relationships/hyperlink" Target="http://data.europa.eu/eli/reg/2024/1183/oj" TargetMode="External"/><Relationship Id="rId5" Type="http://schemas.openxmlformats.org/officeDocument/2006/relationships/hyperlink" Target="http://data.europa.eu/eli/reg/2019/881/oj" TargetMode="External"/><Relationship Id="rId15" Type="http://schemas.openxmlformats.org/officeDocument/2006/relationships/hyperlink" Target="http://data.europa.eu/eli/reg/2021/1153/oj" TargetMode="External"/><Relationship Id="rId23" Type="http://schemas.openxmlformats.org/officeDocument/2006/relationships/hyperlink" Target="http://data.europa.eu/eli/dir/2018/1972/oj" TargetMode="External"/><Relationship Id="rId10" Type="http://schemas.openxmlformats.org/officeDocument/2006/relationships/hyperlink" Target="http://data.europa.eu/eli/dir/2019/1024/oj" TargetMode="External"/><Relationship Id="rId19" Type="http://schemas.openxmlformats.org/officeDocument/2006/relationships/hyperlink" Target="http://data.europa.eu/eli/reg/2023/588/oj" TargetMode="External"/><Relationship Id="rId4" Type="http://schemas.openxmlformats.org/officeDocument/2006/relationships/hyperlink" Target="http://data.europa.eu/eli/reg/2024/2847/oj" TargetMode="External"/><Relationship Id="rId9" Type="http://schemas.openxmlformats.org/officeDocument/2006/relationships/hyperlink" Target="http://data.europa.eu/eli/reg/2024/903/oj" TargetMode="External"/><Relationship Id="rId14" Type="http://schemas.openxmlformats.org/officeDocument/2006/relationships/hyperlink" Target="http://data.europa.eu/eli/reg/2024/1689/oj" TargetMode="External"/><Relationship Id="rId22" Type="http://schemas.openxmlformats.org/officeDocument/2006/relationships/hyperlink" Target="http://data.europa.eu/eli/reg/2024/173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25</Pages>
  <Words>9940</Words>
  <Characters>63702</Characters>
  <Application>Microsoft Office Word</Application>
  <DocSecurity>0</DocSecurity>
  <Lines>530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2026-02-25T10:54:00Z</dcterms:created>
  <dcterms:modified xsi:type="dcterms:W3CDTF">2026-02-25T10:54:00Z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A10-0107/2025</vt:lpwstr>
  </property>
  <property fmtid="{D5CDD505-2E9C-101B-9397-08002B2CF9AE}" pid="4" name="&lt;Type&gt;">
    <vt:lpwstr>RR</vt:lpwstr>
  </property>
</Properties>
</file>