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1FB3" w14:paraId="393DEF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DFB37C" w14:textId="77777777" w:rsidR="00751A4A" w:rsidRPr="00F11FB3" w:rsidRDefault="00C53987" w:rsidP="0010095E">
            <w:pPr>
              <w:pStyle w:val="EPName"/>
            </w:pPr>
            <w:r w:rsidRPr="00F11FB3">
              <w:t>Parlament Europejski</w:t>
            </w:r>
          </w:p>
          <w:p w14:paraId="6BF567CC" w14:textId="77777777" w:rsidR="00751A4A" w:rsidRPr="00F11F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1FB3">
              <w:t>2024</w:t>
            </w:r>
            <w:r w:rsidR="00817416" w:rsidRPr="00F11FB3">
              <w:t>-202</w:t>
            </w:r>
            <w:r w:rsidRPr="00F11FB3">
              <w:t>9</w:t>
            </w:r>
          </w:p>
        </w:tc>
        <w:tc>
          <w:tcPr>
            <w:tcW w:w="2268" w:type="dxa"/>
            <w:shd w:val="clear" w:color="auto" w:fill="auto"/>
          </w:tcPr>
          <w:p w14:paraId="409BEF73" w14:textId="77777777" w:rsidR="00751A4A" w:rsidRPr="00F11FB3" w:rsidRDefault="00187494" w:rsidP="0010095E">
            <w:pPr>
              <w:pStyle w:val="EPLogo"/>
            </w:pPr>
            <w:r w:rsidRPr="00F11FB3">
              <w:rPr>
                <w:noProof/>
                <w:lang w:eastAsia="ja-JP"/>
              </w:rPr>
              <w:drawing>
                <wp:inline distT="0" distB="0" distL="0" distR="0" wp14:anchorId="7CD3BFB9" wp14:editId="626F1B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25BAA8" w14:textId="77777777" w:rsidR="00D058B8" w:rsidRPr="00F11FB3" w:rsidRDefault="00D058B8" w:rsidP="004C5D52">
      <w:pPr>
        <w:pStyle w:val="LineTop"/>
      </w:pPr>
    </w:p>
    <w:p w14:paraId="7A768C6E" w14:textId="77777777" w:rsidR="00680577" w:rsidRPr="00F11FB3" w:rsidRDefault="00C53987" w:rsidP="00680577">
      <w:pPr>
        <w:pStyle w:val="EPBodyTA1"/>
      </w:pPr>
      <w:r w:rsidRPr="00F11FB3">
        <w:t>TEKSTY PRZYJĘTE</w:t>
      </w:r>
    </w:p>
    <w:p w14:paraId="30F64A27" w14:textId="77777777" w:rsidR="00D058B8" w:rsidRPr="00F11FB3" w:rsidRDefault="00D058B8" w:rsidP="00D058B8">
      <w:pPr>
        <w:pStyle w:val="LineBottom"/>
      </w:pPr>
    </w:p>
    <w:p w14:paraId="73878D1C" w14:textId="452B1D82" w:rsidR="00C53987" w:rsidRPr="00F11FB3" w:rsidRDefault="00C53987" w:rsidP="00C53987">
      <w:pPr>
        <w:pStyle w:val="ATHeading1"/>
      </w:pPr>
      <w:bookmarkStart w:id="0" w:name="TANumber"/>
      <w:r w:rsidRPr="00F11FB3">
        <w:t>P10_TA(2026)00</w:t>
      </w:r>
      <w:r w:rsidR="0001547D">
        <w:t>22</w:t>
      </w:r>
      <w:bookmarkEnd w:id="0"/>
    </w:p>
    <w:p w14:paraId="323D6E4C" w14:textId="77777777" w:rsidR="00C53987" w:rsidRPr="00F11FB3" w:rsidRDefault="00C53987" w:rsidP="00C53987">
      <w:pPr>
        <w:pStyle w:val="ATHeading2"/>
      </w:pPr>
      <w:bookmarkStart w:id="1" w:name="title"/>
      <w:r w:rsidRPr="00F11FB3">
        <w:t>Europejska suwerenność technologiczna i infrastruktura cyfrowa</w:t>
      </w:r>
      <w:bookmarkEnd w:id="1"/>
    </w:p>
    <w:p w14:paraId="79BD2EA6" w14:textId="77777777" w:rsidR="00C53987" w:rsidRPr="00F11FB3" w:rsidRDefault="00C53987" w:rsidP="00C53987">
      <w:pPr>
        <w:rPr>
          <w:i/>
          <w:vanish/>
        </w:rPr>
      </w:pPr>
      <w:r w:rsidRPr="00F11FB3">
        <w:rPr>
          <w:i/>
        </w:rPr>
        <w:fldChar w:fldCharType="begin"/>
      </w:r>
      <w:r w:rsidRPr="00F11FB3">
        <w:rPr>
          <w:i/>
        </w:rPr>
        <w:instrText xml:space="preserve"> TC"(</w:instrText>
      </w:r>
      <w:bookmarkStart w:id="2" w:name="DocNumber"/>
      <w:r w:rsidRPr="00F11FB3">
        <w:rPr>
          <w:i/>
        </w:rPr>
        <w:instrText>A10-0107/2025</w:instrText>
      </w:r>
      <w:bookmarkEnd w:id="2"/>
      <w:r w:rsidRPr="00F11FB3">
        <w:rPr>
          <w:i/>
        </w:rPr>
        <w:instrText xml:space="preserve"> - Sprawozdawczyni: Sarah Knafo)"\l3 \n&gt; \* MERGEFORMAT </w:instrText>
      </w:r>
      <w:r w:rsidRPr="00F11FB3">
        <w:rPr>
          <w:i/>
        </w:rPr>
        <w:fldChar w:fldCharType="end"/>
      </w:r>
    </w:p>
    <w:p w14:paraId="69B39CB9" w14:textId="77777777" w:rsidR="00C53987" w:rsidRPr="00F11FB3" w:rsidRDefault="00C53987" w:rsidP="00C53987">
      <w:pPr>
        <w:rPr>
          <w:vanish/>
        </w:rPr>
      </w:pPr>
      <w:bookmarkStart w:id="3" w:name="Commission"/>
      <w:r w:rsidRPr="00F11FB3">
        <w:rPr>
          <w:vanish/>
        </w:rPr>
        <w:t>Komisja Przemysłu, Badań Naukowych i Energii</w:t>
      </w:r>
      <w:bookmarkEnd w:id="3"/>
    </w:p>
    <w:p w14:paraId="2A906051" w14:textId="77777777" w:rsidR="00C53987" w:rsidRPr="00F11FB3" w:rsidRDefault="00C53987" w:rsidP="00C53987">
      <w:pPr>
        <w:rPr>
          <w:vanish/>
        </w:rPr>
      </w:pPr>
      <w:bookmarkStart w:id="4" w:name="PE"/>
      <w:r w:rsidRPr="00F11FB3">
        <w:rPr>
          <w:vanish/>
        </w:rPr>
        <w:t>PE768.180</w:t>
      </w:r>
      <w:bookmarkEnd w:id="4"/>
    </w:p>
    <w:p w14:paraId="7FCBC79B" w14:textId="3DA6ABCD" w:rsidR="00C53987" w:rsidRPr="00F11FB3" w:rsidRDefault="00C53987" w:rsidP="00C53987">
      <w:pPr>
        <w:pStyle w:val="ATHeading3"/>
      </w:pPr>
      <w:bookmarkStart w:id="5" w:name="Sujet"/>
      <w:r w:rsidRPr="00F11FB3">
        <w:t xml:space="preserve">Rezolucja Parlamentu Europejskiego z dnia </w:t>
      </w:r>
      <w:r w:rsidR="00050C47">
        <w:t>22 stycznia</w:t>
      </w:r>
      <w:r w:rsidRPr="00F11FB3">
        <w:t xml:space="preserve"> 2026 r. w sprawie europejskiej suwerenności technologicznej i infrastruktury cyfrowej</w:t>
      </w:r>
      <w:bookmarkEnd w:id="5"/>
      <w:r w:rsidRPr="00F11FB3">
        <w:t xml:space="preserve"> </w:t>
      </w:r>
      <w:bookmarkStart w:id="6" w:name="References"/>
      <w:r w:rsidRPr="00F11FB3">
        <w:t>(2025/2007(INI))</w:t>
      </w:r>
      <w:bookmarkEnd w:id="6"/>
    </w:p>
    <w:p w14:paraId="5BF35468" w14:textId="77777777" w:rsidR="00CD5F3D" w:rsidRPr="00F11FB3" w:rsidRDefault="00CD5F3D" w:rsidP="00CD5F3D">
      <w:pPr>
        <w:pStyle w:val="EPComma"/>
      </w:pPr>
      <w:r w:rsidRPr="00F11FB3">
        <w:rPr>
          <w:rStyle w:val="Italic"/>
        </w:rPr>
        <w:t>Parlament Europejski</w:t>
      </w:r>
      <w:r w:rsidRPr="00F11FB3">
        <w:t>,</w:t>
      </w:r>
    </w:p>
    <w:p w14:paraId="20FA005C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Traktat o funkcjonowaniu Unii Europejskiej (TFUE), w szczególności jego art. 173, 179 i 190,</w:t>
      </w:r>
    </w:p>
    <w:p w14:paraId="31EC9673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komunikat Komisji z dnia 29 stycznia 2025 r. pt. „Kompas konkurencyjności dla UE” (COM(2025)0030),</w:t>
      </w:r>
    </w:p>
    <w:p w14:paraId="5C548920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komunikat Komisji z dnia 11 lutego 2025 r. pt. „Program prac Komisji na 2025 r.: Razem ku odważniejszej, prostszej, szybszej Unii” (COM(2025)0045),</w:t>
      </w:r>
    </w:p>
    <w:p w14:paraId="321D782D" w14:textId="3D32E24D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 Rady (UE) 2023/1781 z dnia 13 września 2023 r. w sprawie ustanowienia ram dotyczących środków na rzecz wzmocnienia europejskiego ekosystemu półprzewodników</w:t>
      </w:r>
      <w:r w:rsidR="00050C47">
        <w:t xml:space="preserve"> </w:t>
      </w:r>
      <w:r w:rsidR="00050C47" w:rsidRPr="00050C47">
        <w:t>oraz zmiany rozporządzenia (UE) 2021/694 (akt w sprawie czipów)</w:t>
      </w:r>
      <w:r w:rsidRPr="00F11FB3">
        <w:rPr>
          <w:rStyle w:val="FootnoteReference"/>
        </w:rPr>
        <w:footnoteReference w:id="1"/>
      </w:r>
      <w:r w:rsidRPr="00F11FB3">
        <w:t>,</w:t>
      </w:r>
    </w:p>
    <w:p w14:paraId="2F98313D" w14:textId="6420671B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dyrektywę Parlamentu Europejskiego i Rady (UE) 2022/2555 z dnia 14 grudnia 2022 r. w sprawie środków na rzecz wspólnego wysokiego poziomu cyberbezpieczeństwa w całej Unii</w:t>
      </w:r>
      <w:r w:rsidR="00050C47" w:rsidRPr="00050C47">
        <w:t>, zmieniającą rozporządzenie (UE) nr 910/2014 i dyrektywę (UE) 2018/1972 oraz uchylającą dyrektywę (UE) 2016/1148 (dyrektywa NIS 2)</w:t>
      </w:r>
      <w:r w:rsidRPr="00F11FB3">
        <w:rPr>
          <w:rStyle w:val="FootnoteReference"/>
        </w:rPr>
        <w:footnoteReference w:id="2"/>
      </w:r>
      <w:r w:rsidRPr="00F11FB3">
        <w:t>,</w:t>
      </w:r>
    </w:p>
    <w:p w14:paraId="7CA5B14C" w14:textId="679B50A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szczegółowe sprawozdanie Agencji Unii Europejskiej ds. Cyberbezpieczeństwa (ENISA) pt. „Foresight Cybersecurity Threats for 2030 – update 2024” [Prognozowanie zagrożeń cyberbezpieczeństwa na 2030 r. – aktualizacja z 2024 r.], opublikowane w marcu 2024 r.</w:t>
      </w:r>
      <w:r w:rsidR="00050C47">
        <w:rPr>
          <w:rStyle w:val="FootnoteReference"/>
        </w:rPr>
        <w:footnoteReference w:id="3"/>
      </w:r>
      <w:r w:rsidRPr="00F11FB3">
        <w:t>,</w:t>
      </w:r>
    </w:p>
    <w:p w14:paraId="7B8F9D07" w14:textId="59129050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 xml:space="preserve">uwzględniając rozporządzenie Parlamentu Europejskiego i Rady (UE) 2024/2847 z dnia 23 października 2024 r. </w:t>
      </w:r>
      <w:r w:rsidR="00050C47" w:rsidRPr="00050C47">
        <w:t xml:space="preserve">w sprawie horyzontalnych wymagań w zakresie cyberbezpieczeństwa w odniesieniu do produktów z elementami cyfrowymi oraz w </w:t>
      </w:r>
      <w:r w:rsidR="00050C47" w:rsidRPr="00050C47">
        <w:lastRenderedPageBreak/>
        <w:t>sprawie zmiany rozporządzeń (UE) nr 168/2013 i (UE) 2019/1020 i dyrektywy (UE) 2020/1828 (akt o cyberodporności)</w:t>
      </w:r>
      <w:r w:rsidRPr="00F11FB3">
        <w:rPr>
          <w:rStyle w:val="FootnoteReference"/>
        </w:rPr>
        <w:footnoteReference w:id="4"/>
      </w:r>
      <w:r w:rsidRPr="00F11FB3">
        <w:t>,</w:t>
      </w:r>
    </w:p>
    <w:p w14:paraId="4F880F73" w14:textId="3837433A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2019/881 z dnia 17 kwietnia 2019 r. w sprawie ENISA (Agencji Unii Europejskiej ds. Cyberbezpieczeństwa) oraz certyfikacji cyberbezpieczeństwa w zakresie technologii informacyjno-komunikacyjnych oraz uchylenia rozporządzenia (UE) nr 526/2013 (akt o cyberbezpieczeństwie)</w:t>
      </w:r>
      <w:r w:rsidR="00050C47" w:rsidRPr="00F11FB3">
        <w:rPr>
          <w:rStyle w:val="FootnoteReference"/>
        </w:rPr>
        <w:footnoteReference w:id="5"/>
      </w:r>
      <w:r w:rsidRPr="00F11FB3">
        <w:t>,</w:t>
      </w:r>
    </w:p>
    <w:p w14:paraId="31C59D00" w14:textId="0CA0DF03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2025/38 z dnia 19 grudnia 2024</w:t>
      </w:r>
      <w:r w:rsidR="00F92F0F">
        <w:t xml:space="preserve"> r.</w:t>
      </w:r>
      <w:r w:rsidRPr="00F11FB3">
        <w:t xml:space="preserve"> </w:t>
      </w:r>
      <w:r w:rsidR="00050C47" w:rsidRPr="00050C47">
        <w:t>w sprawie ustanowienia środków mających na celu zwiększenie solidarności i zdolności w Unii w zakresie wykrywania cyberzagrożeń i incydentów oraz przygotowywania się i reagowania na takie cyberzagrożenia i incydenty oraz w sprawie zmiany rozporządzenia (UE) 2021/694 (akt w sprawie cybersolidarności)</w:t>
      </w:r>
      <w:r w:rsidRPr="00F11FB3">
        <w:rPr>
          <w:rStyle w:val="FootnoteReference"/>
        </w:rPr>
        <w:footnoteReference w:id="6"/>
      </w:r>
      <w:r w:rsidRPr="00F11FB3">
        <w:t>,</w:t>
      </w:r>
    </w:p>
    <w:p w14:paraId="0524C3E6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2025/37 z dnia 19 grudnia 2024 r. w sprawie zmiany rozporządzenia (UE) 2019/881 w odniesieniu do usług zarządzanych w zakresie bezpieczeństwa</w:t>
      </w:r>
      <w:r w:rsidRPr="00F11FB3">
        <w:rPr>
          <w:rStyle w:val="FootnoteReference"/>
        </w:rPr>
        <w:footnoteReference w:id="7"/>
      </w:r>
      <w:r w:rsidRPr="00F11FB3">
        <w:t>,</w:t>
      </w:r>
    </w:p>
    <w:p w14:paraId="6E7BF930" w14:textId="0D5CDB79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białą księgę Komisji z dnia 21 lutego 2024 r. pt. „ Jak sprostać potrzebom Europy w zakresie infrastruktury cyfrowej?” (COM(2024)0081),</w:t>
      </w:r>
    </w:p>
    <w:p w14:paraId="25138DD7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raport Maria Draghiego z 9 września 2024 r. pt. „The future of European competitiveness” [Przyszłość europejskiej konkurencyjności],</w:t>
      </w:r>
    </w:p>
    <w:p w14:paraId="7A353E0E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sprawozdanie Enrica Letty z 17 kwietnia 2024 r. pt. „Much more than a market” [Znacznie więcej niż rynek],</w:t>
      </w:r>
    </w:p>
    <w:p w14:paraId="679A8DD4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komunikat Komisji z dnia 2 lipca 2024 r. pt. „Stan cyfrowej dekady w 2024 r.” (COM(2024)0260),</w:t>
      </w:r>
    </w:p>
    <w:p w14:paraId="2F3FE9D7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decyzję Parlamentu Europejskiego i Rady (UE) 2022/2481 z dnia 14 grudnia 2022 r. ustanawiającą program polityki „Droga ku cyfrowej dekadzie” do 2030 r.</w:t>
      </w:r>
      <w:r w:rsidRPr="00F11FB3">
        <w:rPr>
          <w:rStyle w:val="FootnoteReference"/>
        </w:rPr>
        <w:footnoteReference w:id="8"/>
      </w:r>
      <w:r w:rsidRPr="00F11FB3">
        <w:t>,</w:t>
      </w:r>
    </w:p>
    <w:p w14:paraId="41FA9F31" w14:textId="77E003C4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2024/903 z dnia 13 marca 2024 r. w sprawie ustanowienia środków na rzecz wysokiego poziomu interoperacyjności sektora publicznego na terytorium Unii</w:t>
      </w:r>
      <w:r w:rsidR="00050C47">
        <w:t xml:space="preserve"> </w:t>
      </w:r>
      <w:r w:rsidRPr="00F11FB3">
        <w:t>(akt w sprawie Interoperacyjnej Europy)</w:t>
      </w:r>
      <w:r w:rsidR="00050C47" w:rsidRPr="00F11FB3">
        <w:rPr>
          <w:rStyle w:val="FootnoteReference"/>
        </w:rPr>
        <w:footnoteReference w:id="9"/>
      </w:r>
      <w:r w:rsidRPr="00F11FB3">
        <w:t>,</w:t>
      </w:r>
    </w:p>
    <w:p w14:paraId="46B9FC95" w14:textId="67FD677E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dyrektywę Parlamentu Europejskiego i Rady (UE) 2019/1024 z dnia 20 czerwca 2019 r. w sprawie otwartych danych i ponownego wykorzystywania informacji sektora publicznego</w:t>
      </w:r>
      <w:r w:rsidRPr="00F11FB3">
        <w:rPr>
          <w:rStyle w:val="FootnoteReference"/>
        </w:rPr>
        <w:footnoteReference w:id="10"/>
      </w:r>
      <w:r w:rsidRPr="00F11FB3">
        <w:t>,</w:t>
      </w:r>
    </w:p>
    <w:p w14:paraId="681BBB8A" w14:textId="77777777" w:rsidR="00CD5F3D" w:rsidRPr="00F11FB3" w:rsidRDefault="00CD5F3D" w:rsidP="00CD5F3D">
      <w:pPr>
        <w:pStyle w:val="NormalHanging12a"/>
      </w:pPr>
      <w:r w:rsidRPr="00F11FB3">
        <w:lastRenderedPageBreak/>
        <w:t>–</w:t>
      </w:r>
      <w:r w:rsidRPr="00F11FB3">
        <w:tab/>
        <w:t>uwzględniając rozporządzenie Parlamentu Europejskiego i Rady (UE) 2024/795 z dnia 29 lutego 2024 r. w sprawie ustanowienia Platformy na rzecz Technologii Strategicznych dla Europy (STEP) oraz zmiany dyrektywy 2003/87/WE oraz rozporządzeń (UE) 2021/1058, (UE) 2021/1056, (UE) 2021/1057, (UE) nr 1303/2013, (UE) nr 223/2014, (UE) 2021/1060, (UE) 2021/523, (UE) 2021/695, (UE) 2021/697 i (UE) 2021/241</w:t>
      </w:r>
      <w:r w:rsidRPr="00F11FB3">
        <w:rPr>
          <w:rStyle w:val="FootnoteReference"/>
        </w:rPr>
        <w:footnoteReference w:id="11"/>
      </w:r>
      <w:r w:rsidRPr="00F11FB3">
        <w:t>,</w:t>
      </w:r>
    </w:p>
    <w:p w14:paraId="0AF68E0E" w14:textId="7F783F2F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rozporządzenia Parlamentu Europejskiego i Rady (UE) 2023/2854 z dnia 13 grudnia 2023 r. w sprawie zharmonizowanych przepisów dotyczących sprawiedliwego dostępu do danych i ich wykorzystywania oraz w sprawie zmiany rozporządzenia (UE) 2017/2394 i dyrektywy (UE) 2020/1828 (akt w sprawie danych)</w:t>
      </w:r>
      <w:r w:rsidR="0022527C" w:rsidRPr="00F11FB3">
        <w:rPr>
          <w:rStyle w:val="FootnoteReference"/>
        </w:rPr>
        <w:footnoteReference w:id="12"/>
      </w:r>
      <w:r w:rsidRPr="00F11FB3">
        <w:t>,</w:t>
      </w:r>
    </w:p>
    <w:p w14:paraId="2FB4584C" w14:textId="431CFC4A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2024/1309 z dnia 29 kwietnia 2024 r. w sprawie środków mających na celu zmniejszenie kosztów wdrażania gigabitowych sieci łączności elektronicznej, zmieniające rozporządzenie (UE) 2015/2120 oraz uchylające dyrektywę 2014/61/UE (akt w sprawie infrastruktury gigabitowej)</w:t>
      </w:r>
      <w:r w:rsidR="0022527C" w:rsidRPr="00F11FB3">
        <w:rPr>
          <w:rStyle w:val="FootnoteReference"/>
        </w:rPr>
        <w:footnoteReference w:id="13"/>
      </w:r>
      <w:r w:rsidRPr="00F11FB3">
        <w:t>,</w:t>
      </w:r>
    </w:p>
    <w:p w14:paraId="34AC31B4" w14:textId="3DB5C4B0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 xml:space="preserve">uwzględniając rozporządzenie Parlamentu Europejskiego i Rady (UE) 2024/1689 z dnia 13 czerwca 2024 r. </w:t>
      </w:r>
      <w:r w:rsidR="0022527C" w:rsidRPr="0022527C">
        <w:t>w sprawie ustanowienia zharmonizowanych przepisów dotyczących sztucznej inteligencji oraz zmiany rozporządzeń (WE) nr 300/2008, (UE) nr 167/2013, (UE) nr 168/2013, (UE) 2018/858, (UE) 2018/1139 i (UE) 2019/2144 oraz dyrektyw 2014/90/UE, (UE) 2016/797 i (UE) 2020/1828 (akt w sprawie sztucznej inteligencji)</w:t>
      </w:r>
      <w:r w:rsidRPr="00F11FB3">
        <w:rPr>
          <w:rStyle w:val="FootnoteReference"/>
        </w:rPr>
        <w:footnoteReference w:id="14"/>
      </w:r>
      <w:r w:rsidRPr="00F11FB3">
        <w:t>,</w:t>
      </w:r>
    </w:p>
    <w:p w14:paraId="4CFB94EA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 Rady (UE) 2021/1153 z dnia 7 lipca 2021 r. ustanawiające instrument „Łącząc Europę” i uchylające rozporządzenia (UE) nr 1316/2013 i (UE) nr 283/2014</w:t>
      </w:r>
      <w:r w:rsidRPr="00F11FB3">
        <w:rPr>
          <w:rStyle w:val="FootnoteReference"/>
        </w:rPr>
        <w:footnoteReference w:id="15"/>
      </w:r>
      <w:r w:rsidRPr="00F11FB3">
        <w:t>,</w:t>
      </w:r>
    </w:p>
    <w:p w14:paraId="6A8CBCA2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2021/694 z dnia 29 kwietnia 2021 r. ustanawiające program „Cyfrowa Europa” oraz uchylające decyzję (UE) 2015/2240</w:t>
      </w:r>
      <w:r w:rsidRPr="00F11FB3">
        <w:rPr>
          <w:rStyle w:val="FootnoteReference"/>
        </w:rPr>
        <w:footnoteReference w:id="16"/>
      </w:r>
      <w:r w:rsidRPr="00F11FB3">
        <w:t>,</w:t>
      </w:r>
    </w:p>
    <w:p w14:paraId="342D74B5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2021/695 z 28 kwietnia 2021 r. ustanawiające Program ramowy w zakresie badań naukowych i innowacji „Horyzont Europa” oraz zasady uczestnictwa i upowszechniania obowiązujące w tym programie oraz uchylające rozporządzenia (UE) nr 1290/2013 i (UE) nr 1291/2013</w:t>
      </w:r>
      <w:r w:rsidRPr="00F11FB3">
        <w:rPr>
          <w:rStyle w:val="FootnoteReference"/>
        </w:rPr>
        <w:footnoteReference w:id="17"/>
      </w:r>
      <w:r w:rsidRPr="00F11FB3">
        <w:t>,</w:t>
      </w:r>
    </w:p>
    <w:p w14:paraId="4EE32622" w14:textId="2C3B133D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2021/696 z dnia 28 kwietnia 2021 r. ustanawiające Unijny program kosmiczny i Agencję Unii Europejskiej ds. Programu Kosmicznego</w:t>
      </w:r>
      <w:r w:rsidR="0022527C">
        <w:t xml:space="preserve"> </w:t>
      </w:r>
      <w:r w:rsidR="0022527C" w:rsidRPr="0022527C">
        <w:t>oraz uchylające rozporządzenia (UE) nr 912/2010, (UE) nr 1285/2013 i (UE) nr 377/2014 oraz decyzję nr 541/2014/UE</w:t>
      </w:r>
      <w:r w:rsidRPr="00F11FB3">
        <w:rPr>
          <w:rStyle w:val="FootnoteReference"/>
        </w:rPr>
        <w:footnoteReference w:id="18"/>
      </w:r>
      <w:r w:rsidRPr="00F11FB3">
        <w:t>,</w:t>
      </w:r>
    </w:p>
    <w:p w14:paraId="7B3AD325" w14:textId="77777777" w:rsidR="00CD5F3D" w:rsidRPr="00F11FB3" w:rsidRDefault="00CD5F3D" w:rsidP="00CD5F3D">
      <w:pPr>
        <w:pStyle w:val="NormalHanging12a"/>
      </w:pPr>
      <w:r w:rsidRPr="00F11FB3">
        <w:lastRenderedPageBreak/>
        <w:t>–</w:t>
      </w:r>
      <w:r w:rsidRPr="00F11FB3">
        <w:tab/>
        <w:t>uwzględniając rozporządzenie Parlamentu Europejskiego i Rady (UE) 2023/588 z dnia 15 marca 2023 r. ustanawiające unijny program bezpiecznej łączności na lata 2023–2027</w:t>
      </w:r>
      <w:r w:rsidRPr="00F11FB3">
        <w:rPr>
          <w:rStyle w:val="FootnoteReference"/>
        </w:rPr>
        <w:footnoteReference w:id="19"/>
      </w:r>
      <w:r w:rsidRPr="00F11FB3">
        <w:t>,</w:t>
      </w:r>
    </w:p>
    <w:p w14:paraId="1AC328C1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Rady (UE) 2021/2085 z 19 listopada 2021 r. ustanawiające wspólne przedsięwzięcia w ramach programu „Horyzont Europa” oraz uchylające rozporządzenia (WE) nr 219/2007, (UE) nr 557/2014, (UE) nr 558/2014, (UE) nr 559/2014, (UE) nr 560/2014, (UE) nr 561/2014 i (UE) nr 642/2014</w:t>
      </w:r>
      <w:r w:rsidRPr="00F11FB3">
        <w:rPr>
          <w:rStyle w:val="FootnoteReference"/>
        </w:rPr>
        <w:footnoteReference w:id="20"/>
      </w:r>
      <w:r w:rsidRPr="00F11FB3">
        <w:t>,</w:t>
      </w:r>
    </w:p>
    <w:p w14:paraId="4BFF46C2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Rady (UE) 2021/1173 z dnia 13 lipca 2021 r. w sprawie ustanowienia Wspólnego Przedsięwzięcia w dziedzinie Europejskich Obliczeń Wielkiej Skali i uchylające rozporządzenie (UE) 2018/1488</w:t>
      </w:r>
      <w:r w:rsidRPr="00F11FB3">
        <w:rPr>
          <w:rStyle w:val="FootnoteReference"/>
        </w:rPr>
        <w:footnoteReference w:id="21"/>
      </w:r>
      <w:r w:rsidRPr="00F11FB3">
        <w:t>,</w:t>
      </w:r>
    </w:p>
    <w:p w14:paraId="1B4A67BB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Rady (UE) 2024/1732 z dnia 17 czerwca 2024 r. w sprawie zmiany rozporządzenia (UE) 2021/1173 w odniesieniu do inicjatywy EuroHPC dla przedsiębiorstw typu start-up w celu wzmocnienia czołowej pozycji Europy w dziedzinie godnej zaufania sztucznej inteligencji</w:t>
      </w:r>
      <w:r w:rsidRPr="00F11FB3">
        <w:rPr>
          <w:rStyle w:val="FootnoteReference"/>
        </w:rPr>
        <w:footnoteReference w:id="22"/>
      </w:r>
      <w:r w:rsidRPr="00F11FB3">
        <w:t>,</w:t>
      </w:r>
    </w:p>
    <w:p w14:paraId="107A2FF4" w14:textId="01475A13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dyrektywę Parlamentu Europejskiego i Rady (UE) 2018/1972 z dnia 11 grudnia 2018 r. ustanawiającą Europejski kodeks łączności elektronicznej</w:t>
      </w:r>
      <w:r w:rsidRPr="00F11FB3">
        <w:rPr>
          <w:rStyle w:val="FootnoteReference"/>
        </w:rPr>
        <w:footnoteReference w:id="23"/>
      </w:r>
      <w:r w:rsidRPr="00F11FB3">
        <w:t>,</w:t>
      </w:r>
    </w:p>
    <w:p w14:paraId="3A8E4DE7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rozporządzenie Parlamentu Europejskiego i Rady (UE) 2024/1183 z dnia 11 kwietnia 2024 r. w sprawie zmiany rozporządzenia (UE) nr 910/2014 w odniesieniu do ustanowienia europejskich ram tożsamości cyfrowej</w:t>
      </w:r>
      <w:r w:rsidRPr="00F11FB3">
        <w:rPr>
          <w:rStyle w:val="FootnoteReference"/>
        </w:rPr>
        <w:footnoteReference w:id="24"/>
      </w:r>
      <w:r w:rsidRPr="00F11FB3">
        <w:t>,</w:t>
      </w:r>
    </w:p>
    <w:p w14:paraId="004F5B7B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wspólny komunikat Komisji i Wysokiego Przedstawiciela Unii do Spraw Zagranicznych i Polityki Bezpieczeństwa do Parlamentu Europejskiego i Rady z dnia 21 lutego 2025 r. pt. „Plan działania UE na rzecz bezpieczeństwa kabli” (JOIN(2025)0009),</w:t>
      </w:r>
    </w:p>
    <w:p w14:paraId="7F7538E0" w14:textId="04912BB6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komunikat Komisji z dnia 29 stycznia 2020 r. pt. „Bezpieczne wprowadzanie sieci 5G w UE – wdrażanie unijnego zestawu narzędzi” (COM(2020)0050),</w:t>
      </w:r>
    </w:p>
    <w:p w14:paraId="4F13D63F" w14:textId="78E2C811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Europejską deklarację praw i zasad cyfrowych w cyfrowej dekadzie, w której zobowiązano się do „propagowania europejskiej drogi ku transformacji cyfrowej, w której najważniejsi są ludzie”</w:t>
      </w:r>
      <w:r w:rsidR="00C47694" w:rsidRPr="00C47694">
        <w:rPr>
          <w:rStyle w:val="FootnoteReference"/>
        </w:rPr>
        <w:t xml:space="preserve"> </w:t>
      </w:r>
      <w:r w:rsidR="00C47694">
        <w:rPr>
          <w:rStyle w:val="FootnoteReference"/>
        </w:rPr>
        <w:footnoteReference w:id="25"/>
      </w:r>
      <w:r w:rsidR="00C47694">
        <w:t>,</w:t>
      </w:r>
    </w:p>
    <w:p w14:paraId="470F1444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komunikat Komisji z dnia 30 grudnia 2021 r. pt. „Kryteria analizy zgodności z rynkiem wewnętrznym pomocy państwa na wspieranie realizacji ważnych projektów stanowiących przedmiot wspólnego europejskiego zainteresowania” (IPCEI) (COM(2021)8481),</w:t>
      </w:r>
    </w:p>
    <w:p w14:paraId="28894554" w14:textId="77777777" w:rsidR="00CD5F3D" w:rsidRPr="00F11FB3" w:rsidRDefault="00CD5F3D" w:rsidP="00CD5F3D">
      <w:pPr>
        <w:pStyle w:val="NormalHanging12a"/>
      </w:pPr>
      <w:r w:rsidRPr="00F11FB3">
        <w:t>–</w:t>
      </w:r>
      <w:r w:rsidRPr="00F11FB3">
        <w:tab/>
        <w:t>uwzględniając art. 55 Regulaminu,</w:t>
      </w:r>
    </w:p>
    <w:p w14:paraId="35356C13" w14:textId="77777777" w:rsidR="00CD5F3D" w:rsidRPr="00F11FB3" w:rsidRDefault="00CD5F3D" w:rsidP="00CD5F3D">
      <w:pPr>
        <w:pStyle w:val="NormalHanging12a"/>
      </w:pPr>
      <w:r w:rsidRPr="00F11FB3">
        <w:lastRenderedPageBreak/>
        <w:t>–</w:t>
      </w:r>
      <w:r w:rsidRPr="00F11FB3">
        <w:tab/>
        <w:t>uwzględniając sprawozdanie Komisji Przemysłu, Badań Naukowych i Energii (A10-0107/2025),</w:t>
      </w:r>
    </w:p>
    <w:p w14:paraId="5D7FF675" w14:textId="77777777" w:rsidR="00CD5F3D" w:rsidRPr="00F11FB3" w:rsidRDefault="00CD5F3D" w:rsidP="00CD5F3D">
      <w:pPr>
        <w:pStyle w:val="NormalHanging12a"/>
      </w:pPr>
      <w:r w:rsidRPr="00F11FB3">
        <w:t>A.</w:t>
      </w:r>
      <w:r w:rsidRPr="00F11FB3">
        <w:tab/>
        <w:t>mając na uwadze, że suwerenność technologiczną należy postrzegać jako cały łańcuch wartości, od doskonałości w dziedzinie badań naukowych po stworzenie lepszych warunków dla konkurencji i zwiększenie suwerenności Europy;</w:t>
      </w:r>
    </w:p>
    <w:p w14:paraId="111ED361" w14:textId="77777777" w:rsidR="00CD5F3D" w:rsidRPr="00F11FB3" w:rsidRDefault="00CD5F3D" w:rsidP="00CD5F3D">
      <w:pPr>
        <w:pStyle w:val="NormalHanging12a"/>
      </w:pPr>
      <w:r w:rsidRPr="00F11FB3">
        <w:t>B.</w:t>
      </w:r>
      <w:r w:rsidRPr="00F11FB3">
        <w:tab/>
        <w:t>mając na uwadze, że UE polega na innych krajach w odniesieniu do ponad 80 % produktów i usług cyfrowych, infrastruktury cyfrowej oraz własności intelektualnej;</w:t>
      </w:r>
    </w:p>
    <w:p w14:paraId="669FE0CA" w14:textId="77777777" w:rsidR="00CD5F3D" w:rsidRPr="00F11FB3" w:rsidRDefault="00CD5F3D" w:rsidP="00CD5F3D">
      <w:pPr>
        <w:pStyle w:val="NormalHanging12a"/>
        <w:spacing w:before="240"/>
      </w:pPr>
      <w:r w:rsidRPr="00F11FB3">
        <w:t>C.</w:t>
      </w:r>
      <w:r w:rsidRPr="00F11FB3">
        <w:tab/>
        <w:t>mając na uwadze, że kilka przedsiębiorstw technologicznych zdominowało najważniejsze rynki cyfrowe i kontroluje bazową infrastrukturę internetową, w tym systemy operacyjne, komputery, sztuczną inteligencję, wyszukiwarki, potencjał w dziedzinie mediów społecznościowych, reklamę cyfrową i usługi płatnicze;</w:t>
      </w:r>
    </w:p>
    <w:p w14:paraId="1E7F9A33" w14:textId="77777777" w:rsidR="00CD5F3D" w:rsidRPr="00F11FB3" w:rsidRDefault="00CD5F3D" w:rsidP="00CD5F3D">
      <w:pPr>
        <w:pStyle w:val="NormalHanging12a"/>
      </w:pPr>
      <w:r w:rsidRPr="00F11FB3">
        <w:t>D.</w:t>
      </w:r>
      <w:r w:rsidRPr="00F11FB3">
        <w:tab/>
        <w:t>mając na uwadze, że nasza suwerenność technologiczna będzie w dużej mierze zależeć od tego, czy Europa stworzy warunki rynkowe, które umożliwią rozwój europejskich przedsiębiorstw i pozwolą im konkurować ze sobą nawzajem, co podniesie jakość ich produktów;</w:t>
      </w:r>
    </w:p>
    <w:p w14:paraId="204B50D3" w14:textId="77777777" w:rsidR="00CD5F3D" w:rsidRPr="00F11FB3" w:rsidRDefault="00CD5F3D" w:rsidP="00CD5F3D">
      <w:pPr>
        <w:pStyle w:val="NormalHanging12a"/>
      </w:pPr>
      <w:r w:rsidRPr="00F11FB3">
        <w:t>E.</w:t>
      </w:r>
      <w:r w:rsidRPr="00F11FB3">
        <w:tab/>
        <w:t>mając na uwadze, że UE może nie być w stanie zrealizować celów i założeń cyfrowej dekady, w tym dotyczących korzystania z usług w chmurze, dużych zbiorów danych i sztucznej inteligencji;</w:t>
      </w:r>
    </w:p>
    <w:p w14:paraId="04686E45" w14:textId="77777777" w:rsidR="00CD5F3D" w:rsidRPr="00F11FB3" w:rsidRDefault="00CD5F3D" w:rsidP="00CD5F3D">
      <w:pPr>
        <w:pStyle w:val="NormalHanging12a"/>
      </w:pPr>
      <w:r w:rsidRPr="00F11FB3">
        <w:t>F.</w:t>
      </w:r>
      <w:r w:rsidRPr="00F11FB3">
        <w:tab/>
        <w:t>mając na uwadze, że wkład europejskich przedsiębiorstw w globalne badania i rozwój w dziedzinie oprogramowania, technologii internetowych i urządzeń elektronicznych jest niewielki, podczas gdy Stany Zjednoczone i Chiny przodują w tych sektorach;</w:t>
      </w:r>
    </w:p>
    <w:p w14:paraId="355B08B6" w14:textId="77777777" w:rsidR="00CD5F3D" w:rsidRPr="00F11FB3" w:rsidRDefault="00CD5F3D" w:rsidP="00CD5F3D">
      <w:pPr>
        <w:pStyle w:val="NormalHanging12a"/>
      </w:pPr>
      <w:r w:rsidRPr="00F11FB3">
        <w:t>G.</w:t>
      </w:r>
      <w:r w:rsidRPr="00F11FB3">
        <w:tab/>
        <w:t>mając na uwadze, że cyfrowy kompas Komisji Europejskiej, program polityki „Droga ku cyfrowej dekadzie” i Kompas konkurencyjności dla UE to ramy prawne niezbędne, aby wzmocnić europejski ekosystem cyfrowy oraz zapewnić UE wiodącą pozycję technologiczną i długoterminową odporność gospodarczą;</w:t>
      </w:r>
    </w:p>
    <w:p w14:paraId="0069F813" w14:textId="77777777" w:rsidR="00CD5F3D" w:rsidRPr="00F11FB3" w:rsidRDefault="00CD5F3D" w:rsidP="00CD5F3D">
      <w:pPr>
        <w:pStyle w:val="NormalHanging12a"/>
      </w:pPr>
      <w:r w:rsidRPr="00F11FB3">
        <w:t>H.</w:t>
      </w:r>
      <w:r w:rsidRPr="00F11FB3">
        <w:tab/>
        <w:t>mając na uwadze, że na infrastrukturę cyfrową składają się: sprzęt związany z łącznością (w tym światłowody, 5G i 6G, kable podmorskie, satelity i widmo) i z mocą obliczeniową (w tym półprzewodniki ośrodki przetwarzania danych, technologie HPC i technologie kwantowe) oraz oprogramowanie, w tym rozwiązania w zakresie tożsamości, internetu rzeczy, chmury i systemów sztucznej inteligencji, a także warstwa pośrednia, w tym systemy reklamowe, wyszukiwarki oraz systemy płatności i komunikacji;</w:t>
      </w:r>
    </w:p>
    <w:p w14:paraId="7C5EAF17" w14:textId="77777777" w:rsidR="00CD5F3D" w:rsidRPr="00F11FB3" w:rsidRDefault="00CD5F3D" w:rsidP="00CD5F3D">
      <w:pPr>
        <w:pStyle w:val="NormalHanging12a"/>
      </w:pPr>
      <w:r w:rsidRPr="00F11FB3">
        <w:t>I.</w:t>
      </w:r>
      <w:r w:rsidRPr="00F11FB3">
        <w:tab/>
      </w:r>
      <w:r w:rsidRPr="00F11FB3">
        <w:rPr>
          <w:color w:val="000000" w:themeColor="text1"/>
        </w:rPr>
        <w:t xml:space="preserve">mając na uwadze, że konkurencyjność UE będzie w coraz większym stopniu zależeć od cyfryzacji wszystkich sektorów wspieranej przez odporną, bezpieczną i godną zaufania infrastrukturę cyfrową; </w:t>
      </w:r>
      <w:r w:rsidRPr="00F11FB3">
        <w:t>zauważa w związku z tym, że jednolity rynek cyfrowy jest istotnym atutem, ponieważ może umożliwić przedsiębiorstwom rozwój i zwiększenie skali działalności;</w:t>
      </w:r>
    </w:p>
    <w:p w14:paraId="576FFC6B" w14:textId="77777777" w:rsidR="00CD5F3D" w:rsidRPr="00F11FB3" w:rsidRDefault="00CD5F3D" w:rsidP="00CD5F3D">
      <w:pPr>
        <w:pStyle w:val="NormalHanging12a"/>
      </w:pPr>
      <w:r w:rsidRPr="00F11FB3">
        <w:t>J.</w:t>
      </w:r>
      <w:r w:rsidRPr="00F11FB3">
        <w:tab/>
        <w:t>mając na uwadze, że pełny potencjał jednolitego rynku cyfrowego pozostaje niewykorzystany, a wewnątrzunijny handel usługami cyfrowymi odpowiada za zaledwie 8 % PKB, czyli znacznie mniej niż handel towarami cyfrowymi (25 % PKB);</w:t>
      </w:r>
    </w:p>
    <w:p w14:paraId="7E336EDB" w14:textId="77777777" w:rsidR="00CD5F3D" w:rsidRPr="00F11FB3" w:rsidRDefault="00CD5F3D" w:rsidP="00CD5F3D">
      <w:pPr>
        <w:pStyle w:val="NormalHanging12a"/>
      </w:pPr>
      <w:r w:rsidRPr="00F11FB3">
        <w:t>K.</w:t>
      </w:r>
      <w:r w:rsidRPr="00F11FB3">
        <w:tab/>
        <w:t xml:space="preserve">mając na uwadze, że chociaż e-identyfikacja i cyfrowe usługi publiczne oraz dostęp do elektronicznej dokumentacji medycznej są coraz powszechniejsze, nadal istnieją </w:t>
      </w:r>
      <w:r w:rsidRPr="00F11FB3">
        <w:lastRenderedPageBreak/>
        <w:t>znaczne luki w świadczeniu w pełni zorientowanych na użytkownika, dostępnych i suwerennych cyfrowych usług publicznych chroniących prywatność we wszystkich państwach członkowskich, czego powodem są różnice w dopuszczalności e-identyfikacji;</w:t>
      </w:r>
    </w:p>
    <w:p w14:paraId="1630CD89" w14:textId="77777777" w:rsidR="00CD5F3D" w:rsidRPr="00F11FB3" w:rsidRDefault="00CD5F3D" w:rsidP="00CD5F3D">
      <w:pPr>
        <w:pStyle w:val="NormalHanging12a"/>
      </w:pPr>
      <w:r w:rsidRPr="00F11FB3">
        <w:t>L.</w:t>
      </w:r>
      <w:r w:rsidRPr="00F11FB3">
        <w:tab/>
        <w:t>mając na uwadze, że chociaż dostęp do e-identyfikacji ma obecnie 93 % ludności UE, osiągnięcie celu 100 % dostępności cyfrowych usług publicznych dla obywateli i przedsiębiorstw do 2030 r. pozostaje wyzwaniem;</w:t>
      </w:r>
    </w:p>
    <w:p w14:paraId="6949AB8D" w14:textId="77777777" w:rsidR="00CD5F3D" w:rsidRPr="00F11FB3" w:rsidRDefault="00CD5F3D" w:rsidP="00CD5F3D">
      <w:pPr>
        <w:pStyle w:val="NormalHanging12a"/>
      </w:pPr>
      <w:r w:rsidRPr="00F11FB3">
        <w:t>M.</w:t>
      </w:r>
      <w:r w:rsidRPr="00F11FB3">
        <w:tab/>
        <w:t>mając na uwadze, że interoperacyjność i wzajemne powiązania zwiększyłyby konkurencyjność gospodarki europejskiej oraz że mogłyby je wspierać takie strategie, jak „najpierw otwarte oprogramowanie” i „publiczne fundusze – publiczny kod” oraz wdrażanie wspólnych i otwartych standardów;</w:t>
      </w:r>
    </w:p>
    <w:p w14:paraId="4A47358F" w14:textId="77777777" w:rsidR="00CD5F3D" w:rsidRPr="00F11FB3" w:rsidRDefault="00CD5F3D" w:rsidP="00CD5F3D">
      <w:pPr>
        <w:pStyle w:val="NormalHanging12a"/>
      </w:pPr>
      <w:r w:rsidRPr="00F11FB3">
        <w:t>N.</w:t>
      </w:r>
      <w:r w:rsidRPr="00F11FB3">
        <w:tab/>
        <w:t>mając na uwadze, że infrastruktura cyfrowa ma zasadnicze znaczenie dla przemysłu UE, w tym dla przemysłu motoryzacyjnego oraz możliwości rozwoju samochodów podłączonych do internetu i autonomicznych; mając na uwadze, że solidna infrastruktura danych i komunikacji jest potrzebna, aby wspierać bezpieczny ekosystem dla samochodów podłączonych do internetu i autonomicznych;</w:t>
      </w:r>
    </w:p>
    <w:p w14:paraId="28DE9A06" w14:textId="77777777" w:rsidR="00CD5F3D" w:rsidRPr="00F11FB3" w:rsidRDefault="00CD5F3D" w:rsidP="00CD5F3D">
      <w:pPr>
        <w:pStyle w:val="NormalHanging12a"/>
      </w:pPr>
      <w:r w:rsidRPr="00F11FB3">
        <w:t>O.</w:t>
      </w:r>
      <w:r w:rsidRPr="00F11FB3">
        <w:tab/>
        <w:t>mając na uwadze, że sieci światłowodowe to jeden z filarów infrastruktury cyfrowej UE, ponieważ umożliwiają działanie szybkiego internetu i sieci 5G oraz przyszłe ulepszenia technologiczne;</w:t>
      </w:r>
    </w:p>
    <w:p w14:paraId="7EC7A14E" w14:textId="77777777" w:rsidR="00CD5F3D" w:rsidRPr="00F11FB3" w:rsidRDefault="00CD5F3D" w:rsidP="00CD5F3D">
      <w:pPr>
        <w:pStyle w:val="NormalHanging12a"/>
      </w:pPr>
      <w:r w:rsidRPr="00F11FB3">
        <w:t>P.</w:t>
      </w:r>
      <w:r w:rsidRPr="00F11FB3">
        <w:tab/>
        <w:t>mając na uwadze, że UE ma opóźnienie we wdrażaniu sieci 5G w kontekście celów na 2030 r., a zasięg sieci światłowodowej nadal pozostaje ograniczony – obejmuje jedynie około 64 % europejskich gospodarstw domowych;</w:t>
      </w:r>
    </w:p>
    <w:p w14:paraId="4B843854" w14:textId="77777777" w:rsidR="00CD5F3D" w:rsidRPr="00F11FB3" w:rsidRDefault="00CD5F3D" w:rsidP="00CD5F3D">
      <w:pPr>
        <w:pStyle w:val="NormalHanging12a"/>
      </w:pPr>
      <w:r w:rsidRPr="00F11FB3">
        <w:t>Q.</w:t>
      </w:r>
      <w:r w:rsidRPr="00F11FB3">
        <w:tab/>
        <w:t>mając na uwadze, że potrzeby inwestycyjne w najnowsze rodzaje łączności w UE są ogromne;</w:t>
      </w:r>
    </w:p>
    <w:p w14:paraId="2A71C642" w14:textId="77777777" w:rsidR="00CD5F3D" w:rsidRPr="00F11FB3" w:rsidRDefault="00CD5F3D" w:rsidP="00CD5F3D">
      <w:pPr>
        <w:pStyle w:val="NormalHanging12a"/>
      </w:pPr>
      <w:r w:rsidRPr="00F11FB3">
        <w:t>R.</w:t>
      </w:r>
      <w:r w:rsidRPr="00F11FB3">
        <w:tab/>
        <w:t>mając na uwadze, że rozwiązanie problemów związanych z dostępem do gruntów i sieci ma zasadnicze znaczenie dla pomyślnego wdrożenia infrastruktury cyfrowej;</w:t>
      </w:r>
    </w:p>
    <w:p w14:paraId="69CFA059" w14:textId="77777777" w:rsidR="00CD5F3D" w:rsidRPr="00F11FB3" w:rsidRDefault="00CD5F3D" w:rsidP="00CD5F3D">
      <w:pPr>
        <w:pStyle w:val="NormalHanging12a"/>
      </w:pPr>
      <w:r w:rsidRPr="00F11FB3">
        <w:t>S.</w:t>
      </w:r>
      <w:r w:rsidRPr="00F11FB3">
        <w:tab/>
        <w:t>mając na uwadze, że dzięki unijnej inicjatywie GOVSATCOM unijne i krajowe organy publiczne, które zarządzają misjami i infrastrukturą o największym znaczeniu dla bezpieczeństwa, powinny mieć długoterminowy dostęp do bezpiecznych, niezawodnych i opłacalnych rządowych usług łączności satelitarnej;</w:t>
      </w:r>
    </w:p>
    <w:p w14:paraId="5D477662" w14:textId="77777777" w:rsidR="00CD5F3D" w:rsidRPr="00F11FB3" w:rsidRDefault="00CD5F3D" w:rsidP="00CD5F3D">
      <w:pPr>
        <w:pStyle w:val="NormalHanging12a"/>
      </w:pPr>
      <w:r w:rsidRPr="00F11FB3">
        <w:t>T.</w:t>
      </w:r>
      <w:r w:rsidRPr="00F11FB3">
        <w:tab/>
        <w:t>mając na uwadze, że czipy odgrywają kluczową rolę w zwiększaniu konkurencyjności technologicznej i odporności Europy;</w:t>
      </w:r>
    </w:p>
    <w:p w14:paraId="199577B4" w14:textId="77777777" w:rsidR="00CD5F3D" w:rsidRPr="00F11FB3" w:rsidRDefault="00CD5F3D" w:rsidP="00CD5F3D">
      <w:pPr>
        <w:pStyle w:val="NormalHanging12a"/>
      </w:pPr>
      <w:r w:rsidRPr="00F11FB3">
        <w:t>U.</w:t>
      </w:r>
      <w:r w:rsidRPr="00F11FB3">
        <w:tab/>
        <w:t>mając na uwadze, że w przedstawionym przez Komisję Kompasie konkurencyjności, Pakcie dla czystego przemysłu i programie prac Komisji na 2025 r. w niewielkim stopniu lub w ogóle nie wspomina się o technologiach półprzewodnikowych, mimo że mają one kluczowe znaczenie dla ambitnych celów UE w dziedzinie przemysłu;</w:t>
      </w:r>
    </w:p>
    <w:p w14:paraId="161DEFA9" w14:textId="77777777" w:rsidR="00CD5F3D" w:rsidRPr="00F11FB3" w:rsidRDefault="00CD5F3D" w:rsidP="00CD5F3D">
      <w:pPr>
        <w:pStyle w:val="NormalHanging12a"/>
      </w:pPr>
      <w:r w:rsidRPr="00F11FB3">
        <w:t>V.</w:t>
      </w:r>
      <w:r w:rsidRPr="00F11FB3">
        <w:tab/>
        <w:t>mając na uwadze, że akt w sprawie czipów był doraźnym mechanizmem dostosowawczym, który miał pomóc sprostać niektórym wyzwaniom związanym z niedoborami półprzewodników; mając na uwadze, że jego obszary działania ograniczają się głównie do zaawansowanych półprzewodników; mając na uwadze, że działania UE w dziedzinie półprzewodników starszej generacji są niewystarczające; mając na uwadze, że na wrzesień 2026 r. przewidziano przegląd aktu w sprawie czipów;</w:t>
      </w:r>
    </w:p>
    <w:p w14:paraId="157FF3E0" w14:textId="77777777" w:rsidR="00CD5F3D" w:rsidRPr="00F11FB3" w:rsidRDefault="00CD5F3D" w:rsidP="00CD5F3D">
      <w:pPr>
        <w:pStyle w:val="NormalHanging12a"/>
      </w:pPr>
      <w:r w:rsidRPr="00F11FB3">
        <w:lastRenderedPageBreak/>
        <w:t>W.</w:t>
      </w:r>
      <w:r w:rsidRPr="00F11FB3">
        <w:tab/>
        <w:t>mające na uwadze, że istniejące europejskie klastry regionalne w sektorze półprzewodników mają do odegrania ważną rolę i że należy je dalej wzmacniać;</w:t>
      </w:r>
    </w:p>
    <w:p w14:paraId="68BB84CE" w14:textId="77777777" w:rsidR="00CD5F3D" w:rsidRPr="00F11FB3" w:rsidRDefault="00CD5F3D" w:rsidP="00CD5F3D">
      <w:pPr>
        <w:pStyle w:val="NormalHanging12a"/>
      </w:pPr>
      <w:r w:rsidRPr="00F11FB3">
        <w:t>X.</w:t>
      </w:r>
      <w:r w:rsidRPr="00F11FB3">
        <w:tab/>
        <w:t>mając na uwadze, że procesory, technologie pamięci, graficzne jednostki obliczeniowe i czipy kwantowe mają kluczowe znaczenie dla europejskiej infrastruktury cyfrowej i bezpieczeństwa łańcucha dostaw;</w:t>
      </w:r>
    </w:p>
    <w:p w14:paraId="7CE2C805" w14:textId="77777777" w:rsidR="00CD5F3D" w:rsidRPr="00F11FB3" w:rsidRDefault="00CD5F3D" w:rsidP="00CD5F3D">
      <w:pPr>
        <w:pStyle w:val="NormalHanging12a"/>
      </w:pPr>
      <w:r w:rsidRPr="00F11FB3">
        <w:t>Y.</w:t>
      </w:r>
      <w:r w:rsidRPr="00F11FB3">
        <w:tab/>
        <w:t>mając na uwadze, że usługi w chmurze mają zasadnicze znaczenie dla wielu rodzajów operacji i usług obliczeniowych, które stały się kluczowym czynnikiem konkurencyjności;</w:t>
      </w:r>
    </w:p>
    <w:p w14:paraId="23206B51" w14:textId="77777777" w:rsidR="00CD5F3D" w:rsidRPr="00F11FB3" w:rsidRDefault="00CD5F3D" w:rsidP="00CD5F3D">
      <w:pPr>
        <w:pStyle w:val="NormalHanging12a"/>
      </w:pPr>
      <w:r w:rsidRPr="00F11FB3">
        <w:t>Z.</w:t>
      </w:r>
      <w:r w:rsidRPr="00F11FB3">
        <w:tab/>
        <w:t>mając na uwadze, że modele federacyjne mogłyby zwiększyć konkurencyjność rynku unijnego, ponieważ ułatwiłyby rozwijanie znaczących europejskich alternatyw w oparciu o wiedzę i obecność na rynku lokalnym;</w:t>
      </w:r>
    </w:p>
    <w:p w14:paraId="2DC1D3E0" w14:textId="77777777" w:rsidR="00CD5F3D" w:rsidRPr="00F11FB3" w:rsidRDefault="00CD5F3D" w:rsidP="00CD5F3D">
      <w:pPr>
        <w:pStyle w:val="NormalHanging12a"/>
      </w:pPr>
      <w:r w:rsidRPr="00F11FB3">
        <w:t>AA.</w:t>
      </w:r>
      <w:r w:rsidRPr="00F11FB3">
        <w:tab/>
        <w:t>mając na uwadze, że infrastruktura sztucznej inteligencji na dużą skalę, taka jak gigafabryki sztucznej inteligencji, jest niezbędna, aby umożliwić otwarty i oparty na współpracy rozwój najbardziej złożonych modeli sztucznej inteligencji;</w:t>
      </w:r>
    </w:p>
    <w:p w14:paraId="7FE9FCDB" w14:textId="77777777" w:rsidR="00CD5F3D" w:rsidRPr="00F11FB3" w:rsidRDefault="00CD5F3D" w:rsidP="00CD5F3D">
      <w:pPr>
        <w:pStyle w:val="NormalHanging12a"/>
      </w:pPr>
      <w:r w:rsidRPr="00F11FB3">
        <w:t>AB.</w:t>
      </w:r>
      <w:r w:rsidRPr="00F11FB3">
        <w:tab/>
        <w:t>mając na uwadze, że łańcuch wartości sztucznej inteligencji jest wciąż w fazie rozwoju, a opracowywanie modeli sztucznej inteligencji jest tylko jego częścią; mając na uwadze, że europejskie rozwiązania w dziedzinie sztucznej inteligencji można opracowywać z wykorzystaniem europejskiej publicznej i prywatnej infrastruktury obliczeniowej, co będzie sprzyjać innowacjom, a przedsiębiorstwa typu start-up i małe przedsiębiorstwa powinny odnieść szczególne korzyści z dostępu do publicznej infrastruktury obliczeniowej;</w:t>
      </w:r>
    </w:p>
    <w:p w14:paraId="4E965E82" w14:textId="77777777" w:rsidR="00CD5F3D" w:rsidRPr="00F11FB3" w:rsidRDefault="00CD5F3D" w:rsidP="00CD5F3D">
      <w:pPr>
        <w:pStyle w:val="NormalHanging12a"/>
      </w:pPr>
      <w:r w:rsidRPr="00F11FB3">
        <w:t>AC.</w:t>
      </w:r>
      <w:r w:rsidRPr="00F11FB3">
        <w:tab/>
        <w:t>mając na uwadze, że modele sztucznej inteligencji, które można uruchomić na powszechnie dostępnym sprzęcie i przy umiarkowanych kosztach, umożliwiają większej liczbie podmiotów kształtowanie tego, w jaki sposób tworzy się i wykorzystuje te systemy, co zapewnia bardziej bezpośrednie korzyści w praktycznym zastosowaniu i pozwala na powszechniejsze wykorzystanie sztucznej inteligencji;</w:t>
      </w:r>
    </w:p>
    <w:p w14:paraId="79B4924A" w14:textId="77777777" w:rsidR="00CD5F3D" w:rsidRPr="00F11FB3" w:rsidRDefault="00CD5F3D" w:rsidP="00CD5F3D">
      <w:pPr>
        <w:pStyle w:val="NormalHanging12a"/>
      </w:pPr>
      <w:r w:rsidRPr="00F11FB3">
        <w:t>AD.</w:t>
      </w:r>
      <w:r w:rsidRPr="00F11FB3">
        <w:tab/>
        <w:t>mając na uwadze, że wdrażanie, marketing i rozwój sztucznej inteligencji często kształtuje obecnie niewielka liczba gigantów technologicznych; mając na uwadze, że niektóre funkcje sztucznej inteligencji nie są wdrażane w UE w tym samym czasie co w państwach spoza Unii, co stawia europejskie przedsiębiorstwa i konsumentów w niekorzystnej sytuacji konkurencyjnej;</w:t>
      </w:r>
    </w:p>
    <w:p w14:paraId="1F5D24C2" w14:textId="77777777" w:rsidR="00CD5F3D" w:rsidRPr="00F11FB3" w:rsidRDefault="00CD5F3D" w:rsidP="00CD5F3D">
      <w:pPr>
        <w:pStyle w:val="NormalHanging12a"/>
      </w:pPr>
      <w:r w:rsidRPr="00F11FB3">
        <w:t>AE.</w:t>
      </w:r>
      <w:r w:rsidRPr="00F11FB3">
        <w:tab/>
        <w:t xml:space="preserve">mając na uwadze, że ośrodki przetwarzania danych są istotną częścią zaawansowanego społeczeństwa cyfrowego, ponieważ umożliwiają rozproszone przetwarzanie i efektywne przechowywanie danych; </w:t>
      </w:r>
    </w:p>
    <w:p w14:paraId="5357F454" w14:textId="77777777" w:rsidR="00CD5F3D" w:rsidRPr="00F11FB3" w:rsidRDefault="00CD5F3D" w:rsidP="00CD5F3D">
      <w:pPr>
        <w:pStyle w:val="NormalHanging12a"/>
      </w:pPr>
      <w:r w:rsidRPr="00F11FB3">
        <w:t>AF.</w:t>
      </w:r>
      <w:r w:rsidRPr="00F11FB3">
        <w:tab/>
        <w:t>mając na uwadze, że wystarczająca i niezawodna przestrzeń dyskowa ma zasadnicze znaczenie dla odporności i rozwoju Europy; mając na uwadze, że większość ośrodków przetwarzania danych w Europie nie jest własnością przedsiębiorstw europejskich;</w:t>
      </w:r>
    </w:p>
    <w:p w14:paraId="704509CA" w14:textId="77777777" w:rsidR="00CD5F3D" w:rsidRPr="00F11FB3" w:rsidRDefault="00CD5F3D" w:rsidP="00CD5F3D">
      <w:pPr>
        <w:pStyle w:val="NormalHanging12a"/>
      </w:pPr>
      <w:r w:rsidRPr="00F11FB3">
        <w:t>AG.</w:t>
      </w:r>
      <w:r w:rsidRPr="00F11FB3">
        <w:tab/>
        <w:t>mając na uwadze, że budowa i obsługa dużych ośrodków przetwarzania danych wymaga znacznych inwestycji;</w:t>
      </w:r>
    </w:p>
    <w:p w14:paraId="23956AF8" w14:textId="77777777" w:rsidR="00CD5F3D" w:rsidRPr="00F11FB3" w:rsidRDefault="00CD5F3D" w:rsidP="00CD5F3D">
      <w:pPr>
        <w:pStyle w:val="NormalHanging12a"/>
      </w:pPr>
      <w:r w:rsidRPr="00F11FB3">
        <w:t>AH.</w:t>
      </w:r>
      <w:r w:rsidRPr="00F11FB3">
        <w:tab/>
        <w:t>mając na uwadze, że za około 9 % globalnego zużycia energii elektrycznej odpowiadają ośrodki przetwarzania danych, usługi w chmurze i łączność;</w:t>
      </w:r>
    </w:p>
    <w:p w14:paraId="363564D1" w14:textId="77777777" w:rsidR="00CD5F3D" w:rsidRPr="00F11FB3" w:rsidRDefault="00CD5F3D" w:rsidP="00CD5F3D">
      <w:pPr>
        <w:pStyle w:val="NormalHanging12a"/>
      </w:pPr>
      <w:r w:rsidRPr="00F11FB3">
        <w:lastRenderedPageBreak/>
        <w:t>AI.</w:t>
      </w:r>
      <w:r w:rsidRPr="00F11FB3">
        <w:tab/>
        <w:t>mając na uwadze, że kable podmorskie – które stanowią kluczową infrastrukturę dla światowej łączności, stabilności gospodarczej i bezpieczeństwa, ponieważ umożliwiają ponad 99 % komunikacji międzynarodowej – są podatne na uszkodzenia fizyczne oraz zagrożenia cybernetyczne i geopolityczne;</w:t>
      </w:r>
    </w:p>
    <w:p w14:paraId="39696CA9" w14:textId="77777777" w:rsidR="00CD5F3D" w:rsidRPr="00F11FB3" w:rsidRDefault="00CD5F3D" w:rsidP="00CD5F3D">
      <w:pPr>
        <w:pStyle w:val="NormalHanging12a"/>
      </w:pPr>
      <w:r w:rsidRPr="00F11FB3">
        <w:t>AJ.</w:t>
      </w:r>
      <w:r w:rsidRPr="00F11FB3">
        <w:tab/>
        <w:t>mając na uwadze, że bezpieczna i odporna infrastruktura cyfrowa ma kluczowe znaczenie, zwłaszcza biorąc pod uwagę rosnącą liczbę cyberataków na UE, jej państwa członkowskie oraz przemysł i społeczeństwo;</w:t>
      </w:r>
    </w:p>
    <w:p w14:paraId="1C7A54DB" w14:textId="77777777" w:rsidR="00CD5F3D" w:rsidRPr="00F11FB3" w:rsidRDefault="00CD5F3D" w:rsidP="00CD5F3D">
      <w:pPr>
        <w:pStyle w:val="NormalHanging12a"/>
      </w:pPr>
      <w:r w:rsidRPr="00F11FB3">
        <w:t>AK.</w:t>
      </w:r>
      <w:r w:rsidRPr="00F11FB3">
        <w:tab/>
        <w:t xml:space="preserve">mając na uwadze, że unijny zestaw narzędzi na potrzeby cyberbezpieczeństwa sieci 5G w istotny sposób pomaga zapobiegać cyberszpiegostwu i wzmacnia odporność łańcuchów dostaw w infrastrukturze cyfrowej UE; </w:t>
      </w:r>
    </w:p>
    <w:p w14:paraId="1C1617A6" w14:textId="77777777" w:rsidR="00CD5F3D" w:rsidRPr="00F11FB3" w:rsidRDefault="00CD5F3D" w:rsidP="00CD5F3D">
      <w:pPr>
        <w:pStyle w:val="NormalHanging12a"/>
      </w:pPr>
      <w:r w:rsidRPr="00F11FB3">
        <w:t>AL.</w:t>
      </w:r>
      <w:r w:rsidRPr="00F11FB3">
        <w:tab/>
        <w:t>mając na uwadze, że 21 % przedsiębiorstw twierdzi, iż konieczność przestrzegania przepisów i niepewność prawa powstrzymują ich od inwestycji cyfrowych;</w:t>
      </w:r>
    </w:p>
    <w:p w14:paraId="1695F6BA" w14:textId="77777777" w:rsidR="00CD5F3D" w:rsidRPr="00F11FB3" w:rsidRDefault="00CD5F3D" w:rsidP="00CD5F3D">
      <w:pPr>
        <w:pStyle w:val="NormalHanging12a"/>
      </w:pPr>
      <w:r w:rsidRPr="00F11FB3">
        <w:t>AM.</w:t>
      </w:r>
      <w:r w:rsidRPr="00F11FB3">
        <w:tab/>
        <w:t xml:space="preserve">mając na uwadze, że zasada „jedno więcej – jedno mniej” gwarantuje, iż bierze się pod uwagę wszystkie obciążenia wprowadzone inicjatywami Komisji, a obciążenia administracyjne rekompensuje się przez usuwanie innych obciążeń o równoważnej wartości w tym samym obszarze polityki; </w:t>
      </w:r>
    </w:p>
    <w:p w14:paraId="1226F29F" w14:textId="77777777" w:rsidR="00CD5F3D" w:rsidRPr="00F11FB3" w:rsidRDefault="00CD5F3D" w:rsidP="00CD5F3D">
      <w:pPr>
        <w:pStyle w:val="NormalHanging12a"/>
      </w:pPr>
      <w:r w:rsidRPr="00F11FB3">
        <w:t>AN.</w:t>
      </w:r>
      <w:r w:rsidRPr="00F11FB3">
        <w:tab/>
        <w:t>mając na uwadze, że ze względu na wyzwania związane ze zużyciem energii przez sztuczną inteligencję, przetwarzanie w chmurze, obliczenia kwantowe oraz ośrodki przetwarzania danych należy uwzględnić kryterium zrównoważonego rozwoju w strategii infrastruktury cyfrowej;</w:t>
      </w:r>
    </w:p>
    <w:p w14:paraId="7B368850" w14:textId="77777777" w:rsidR="00CD5F3D" w:rsidRPr="00F11FB3" w:rsidRDefault="00CD5F3D" w:rsidP="00CD5F3D">
      <w:pPr>
        <w:pStyle w:val="NormalHanging12a"/>
      </w:pPr>
      <w:r w:rsidRPr="00F11FB3">
        <w:t>AO.</w:t>
      </w:r>
      <w:r w:rsidRPr="00F11FB3">
        <w:tab/>
        <w:t>mając na uwadze, że przewiduje się, iż do końca tej dekady zużycie energii przez ośrodki przetwarzania danych w Europie wzrośnie niemal trzykrotnie, z obecnych ok. 62 terawatogodzin (TWh) do ponad 150 TWh, tym samym będzie odpowiadać już nie za 2 %, a za 5 % całkowitego zużycia energii w Europie;</w:t>
      </w:r>
    </w:p>
    <w:p w14:paraId="76185AFF" w14:textId="77777777" w:rsidR="00CD5F3D" w:rsidRPr="00F11FB3" w:rsidRDefault="00CD5F3D" w:rsidP="00CD5F3D">
      <w:pPr>
        <w:pStyle w:val="NormalHanging12a"/>
      </w:pPr>
      <w:r w:rsidRPr="00F11FB3">
        <w:t>AP.</w:t>
      </w:r>
      <w:r w:rsidRPr="00F11FB3">
        <w:tab/>
        <w:t>mając na uwadze, że niedobór umiejętności cyfrowych pozostaje poważnym problemem – tylko 54 % obywateli europejskich posiada co najmniej podstawowe umiejętności cyfrowe, czyli znacznie mniej niż wynosi cel 80 % określony w programie polityki „Droga ku cyfrowej dekadzie”;</w:t>
      </w:r>
    </w:p>
    <w:p w14:paraId="1F67E53F" w14:textId="77777777" w:rsidR="00CD5F3D" w:rsidRPr="00F11FB3" w:rsidRDefault="00CD5F3D" w:rsidP="00CD5F3D">
      <w:pPr>
        <w:pStyle w:val="NormalHanging12a"/>
      </w:pPr>
      <w:r w:rsidRPr="00F11FB3">
        <w:t>AQ.</w:t>
      </w:r>
      <w:r w:rsidRPr="00F11FB3">
        <w:tab/>
        <w:t xml:space="preserve">mając na uwadze, że zgodnie z prognozami do 2030 r. w UE będzie brakować 12 mln specjalistów w dziedzinie ICT, co znacznie odbiega od celu UE, jakim jest posiadanie 20 mln wykwalifikowanych pracowników w tym sektorze; </w:t>
      </w:r>
    </w:p>
    <w:p w14:paraId="6FD2580F" w14:textId="77777777" w:rsidR="00CD5F3D" w:rsidRPr="00F11FB3" w:rsidRDefault="00CD5F3D" w:rsidP="00CD5F3D">
      <w:pPr>
        <w:pStyle w:val="NormalHanging12a"/>
      </w:pPr>
      <w:r w:rsidRPr="00F11FB3">
        <w:t>AR.</w:t>
      </w:r>
      <w:r w:rsidRPr="00F11FB3">
        <w:tab/>
        <w:t>mając na uwadze, że zarówno w sprawozdaniu na temat stanu cyfrowej dekady z 2024 r., jak i w sprawozdaniu Draghiego podkreślono, że aby utrzymać zdolności technologiczne Europy i jej globalną konkurencyjność, potrzebne są pilne inwestycje w umiejętności cyfrowe i umiejętności w dziedzinie nauk przyrodniczych, technologii, inżynierii i matematyki (STEM);</w:t>
      </w:r>
    </w:p>
    <w:p w14:paraId="73891DCC" w14:textId="77777777" w:rsidR="00CD5F3D" w:rsidRPr="00F11FB3" w:rsidRDefault="00CD5F3D" w:rsidP="00CD5F3D">
      <w:pPr>
        <w:pStyle w:val="NormalHanging12a"/>
      </w:pPr>
      <w:r w:rsidRPr="00F11FB3">
        <w:t>AS.</w:t>
      </w:r>
      <w:r w:rsidRPr="00F11FB3">
        <w:tab/>
        <w:t>mając na uwadze, że 60 % unijnych przedsiębiorstw zgłasza trudności z rekrutacją wykwalifikowanych pracowników w takich dziedzinach jak sztuczna inteligencja, cyberbezpieczeństwo i czyste technologie, co stanowi istotną barierę dla innowacji, konkurencyjności oraz transformacji ekologicznej i cyfrowej;</w:t>
      </w:r>
    </w:p>
    <w:p w14:paraId="6E49201B" w14:textId="77777777" w:rsidR="00CD5F3D" w:rsidRPr="00F11FB3" w:rsidRDefault="00CD5F3D" w:rsidP="00CD5F3D">
      <w:pPr>
        <w:pStyle w:val="NormalHanging12a"/>
      </w:pPr>
      <w:r w:rsidRPr="00F11FB3">
        <w:lastRenderedPageBreak/>
        <w:t>AT.</w:t>
      </w:r>
      <w:r w:rsidRPr="00F11FB3">
        <w:tab/>
        <w:t xml:space="preserve">mając na uwadze, że obecne zmiany na rynku pracy, w tym zwolnienia na całym świecie i niestabilność polityczna poza UE, dają UE możliwość przyciągnięcia wysoko wykwalifikowanych talentów cyfrowych; </w:t>
      </w:r>
    </w:p>
    <w:p w14:paraId="06619589" w14:textId="77777777" w:rsidR="00CD5F3D" w:rsidRPr="00F11FB3" w:rsidRDefault="00CD5F3D" w:rsidP="00CD5F3D">
      <w:pPr>
        <w:pStyle w:val="NormalHanging12a"/>
      </w:pPr>
      <w:r w:rsidRPr="00F11FB3">
        <w:t>AU.</w:t>
      </w:r>
      <w:r w:rsidRPr="00F11FB3">
        <w:tab/>
        <w:t>mając na uwadze, że zwiększenie konkurencyjności i odporności wymaga odpowiedniego finansowania; mając na uwadze, że finansowanie publiczne może działać jako katalizator, a inwestycje prywatne i konkurencyjne siły rynkowe mają kluczowe znaczenie dla długoterminowego rozwoju infrastruktury cyfrowej;</w:t>
      </w:r>
    </w:p>
    <w:p w14:paraId="68B267A2" w14:textId="77777777" w:rsidR="00CD5F3D" w:rsidRPr="00F11FB3" w:rsidRDefault="00CD5F3D" w:rsidP="00CD5F3D">
      <w:pPr>
        <w:pStyle w:val="NormalHanging12a"/>
      </w:pPr>
      <w:r w:rsidRPr="00F11FB3">
        <w:t>AV.</w:t>
      </w:r>
      <w:r w:rsidRPr="00F11FB3">
        <w:tab/>
        <w:t xml:space="preserve">mając na uwadze, że solidny, sprawny i ukierunkowany na doskonałość ekosystem badań naukowych i innowacji ma zasadnicze znaczenie dla globalnej konkurencyjności i wiodącej pozycji UE w technologiach strategicznych, takich jak technologie kwantowe i sztuczna inteligencja; </w:t>
      </w:r>
    </w:p>
    <w:p w14:paraId="1F3E9AE7" w14:textId="77777777" w:rsidR="00CD5F3D" w:rsidRPr="00F11FB3" w:rsidRDefault="00CD5F3D" w:rsidP="00CD5F3D">
      <w:pPr>
        <w:pStyle w:val="NormalHanging12a"/>
      </w:pPr>
      <w:r w:rsidRPr="00F11FB3">
        <w:t>AW.</w:t>
      </w:r>
      <w:r w:rsidRPr="00F11FB3">
        <w:tab/>
        <w:t>mając na uwadze, że standaryzacja jest podstawą prawdziwej europejskiej suwerenności cyfrowej i technologicznej; mając na uwadze, że znaczenie standardów wzrasta ze względu na rosnącą konkurencję technologiczną na całym świecie, zwłaszcza ze strony Stanów Zjednoczonych i Chin;</w:t>
      </w:r>
    </w:p>
    <w:p w14:paraId="3FC95CB8" w14:textId="77777777" w:rsidR="00CD5F3D" w:rsidRPr="00F11FB3" w:rsidRDefault="00CD5F3D" w:rsidP="00CD5F3D">
      <w:pPr>
        <w:pStyle w:val="NormalHanging12a"/>
      </w:pPr>
      <w:r w:rsidRPr="00F11FB3">
        <w:t>AX.</w:t>
      </w:r>
      <w:r w:rsidRPr="00F11FB3">
        <w:tab/>
        <w:t xml:space="preserve">mając na uwadze, że UE angażuje się w negocjacje kompleksowych umów o handlu cyfrowym, które ułatwiają bezpieczny, odporny i konkurencyjny rozwój infrastruktury cyfrowej w krajach partnerskich; </w:t>
      </w:r>
    </w:p>
    <w:p w14:paraId="2AF6DFA7" w14:textId="77777777" w:rsidR="00CD5F3D" w:rsidRPr="00F11FB3" w:rsidRDefault="00CD5F3D" w:rsidP="00CD5F3D">
      <w:pPr>
        <w:pStyle w:val="NormalHanging12a"/>
      </w:pPr>
      <w:r w:rsidRPr="00F11FB3">
        <w:t>AY.</w:t>
      </w:r>
      <w:r w:rsidRPr="00F11FB3">
        <w:tab/>
        <w:t>mając na uwadze, że Komisja ogłosiła przełomowe umowy o handlu cyfrowym z Koreą Południową i Singapurem, które stanowią ważny precedens dla przyszłych umów;</w:t>
      </w:r>
    </w:p>
    <w:p w14:paraId="5BEED738" w14:textId="77777777" w:rsidR="00CD5F3D" w:rsidRPr="00F11FB3" w:rsidRDefault="00CD5F3D" w:rsidP="00CD5F3D">
      <w:pPr>
        <w:pStyle w:val="NormalHanging12a"/>
      </w:pPr>
      <w:r w:rsidRPr="00F11FB3">
        <w:t>AZ.</w:t>
      </w:r>
      <w:r w:rsidRPr="00F11FB3">
        <w:tab/>
        <w:t>mając na uwadze, że Parlament i Rada uzgodniły unijne przepisy horyzontalne dotyczące transgranicznych przepływów danych oraz ochrony danych osobowych i prywatności w tytułach umów handlowych UE dotyczących handlu cyfrowego, a przepisy te zostały zatwierdzone przez Komisję i pozostają ważnym narzędziem, jeśli chodzi o handel cyfrowy i ustanawianie nowych umów o handlu cyfrowym;</w:t>
      </w:r>
    </w:p>
    <w:p w14:paraId="74C3591B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Wprowadzenie ogólne</w:t>
      </w:r>
    </w:p>
    <w:p w14:paraId="053E51E1" w14:textId="77777777" w:rsidR="00CD5F3D" w:rsidRPr="00F11FB3" w:rsidRDefault="00CD5F3D" w:rsidP="00CD5F3D">
      <w:pPr>
        <w:pStyle w:val="NormalHanging12a"/>
      </w:pPr>
      <w:r w:rsidRPr="00F11FB3">
        <w:t>1.</w:t>
      </w:r>
      <w:r w:rsidRPr="00F11FB3">
        <w:tab/>
        <w:t>podkreśla, że suwerenność europejska to zdolność do budowania zdolności, odporności i bezpieczeństwa dzięki zmniejszeniu strategicznych zależności, niepoleganiu na podmiotach zagranicznych i pojedynczych dostawcach usług oraz ochronie krytycznych technologii i infrastruktury; apeluje o opracowanie kompleksowych ram oceny ryzyka, które pozwolą monitorować zależności w całym cyfrowym łańcuchu wartości i reagować na nie; podkreśla, że takie ramy powinny być podstawą zapewniania UE gotowości i odporności, co będzie możliwe dzięki wzmocnieniu europejskiej polityki przemysłowej oraz zwiększeniu krajowych zdolności w dziedzinie badań i rozwoju oraz produkcji technologii strategicznych;</w:t>
      </w:r>
    </w:p>
    <w:p w14:paraId="42D7DBF6" w14:textId="77777777" w:rsidR="00CD5F3D" w:rsidRPr="00F11FB3" w:rsidRDefault="00CD5F3D" w:rsidP="00CD5F3D">
      <w:pPr>
        <w:pStyle w:val="NormalHanging12a"/>
      </w:pPr>
      <w:r w:rsidRPr="00F11FB3">
        <w:t>2.</w:t>
      </w:r>
      <w:r w:rsidRPr="00F11FB3">
        <w:tab/>
        <w:t>uważa, że suwerenność technologiczna to zdolność do projektowania, rozwijania i zwiększania skali technologii cyfrowych niezbędnych dla zapewnienia konkurencyjności naszej gospodarki, dobrobytu naszych obywateli i otwartej strategicznej autonomii UE w zglobalizowanym świecie; jest zdania, że obejmuje to zapewnienie UE zdolności do podejmowania autonomicznych decyzji, współpracę z zaufanymi państwami i podmiotami spoza UE, dywersyfikację i wzmocnienie łańcuchów dostaw oraz promowanie koncepcji otwartości i interoperacyjności, dzięki czemu Europa pozostanie atrakcyjnym miejscem do inwestycji;</w:t>
      </w:r>
    </w:p>
    <w:p w14:paraId="6E1E412F" w14:textId="77777777" w:rsidR="00CD5F3D" w:rsidRDefault="00CD5F3D" w:rsidP="00CD5F3D">
      <w:pPr>
        <w:pStyle w:val="NormalHanging12a"/>
      </w:pPr>
      <w:r w:rsidRPr="00F11FB3">
        <w:lastRenderedPageBreak/>
        <w:t>3.</w:t>
      </w:r>
      <w:r w:rsidRPr="00F11FB3">
        <w:tab/>
        <w:t>dostrzega rosnącą koncentrację władzy w przedsiębiorstwach spoza Europy, co ogranicza zdolność Europy do innowacji, konkurowania i utrzymania kontroli nad gospodarką cyfrową, społeczeństwem i demokracją; jest zaniepokojony nadmierną zależnością od podmiotów spoza UE w obszarach krytycznych, takich jak infrastruktura chmurowa, półprzewodniki, sztuczna inteligencja i cyberbezpieczeństwo, w których to sektorach koncentracja rynku i kontrola zagraniczna zagrażają konkurencyjności, odporności demokratycznej i bezpieczeństwu Europy;</w:t>
      </w:r>
    </w:p>
    <w:p w14:paraId="0D6A76F2" w14:textId="121E8733" w:rsidR="0001547D" w:rsidRPr="00F11FB3" w:rsidRDefault="00A46DD3" w:rsidP="00CD5F3D">
      <w:pPr>
        <w:pStyle w:val="NormalHanging12a"/>
      </w:pPr>
      <w:r>
        <w:t>4</w:t>
      </w:r>
      <w:r w:rsidR="0001547D" w:rsidRPr="0001547D">
        <w:t>.</w:t>
      </w:r>
      <w:r w:rsidR="0001547D" w:rsidRPr="0001547D">
        <w:tab/>
        <w:t>ponownie podkreśla, że UE musi pozostać suwerenna w egzekwowaniu swoich przepisów, zwłaszcza w dziedzinie cyfrowej; zdecydowanie potępia zakazy podróżowania nałożone przez Stany Zjednoczone na liderów społeczeństwa obywatelskiego Imrana Ahmeda, Clare Melford, Annę-Lenę von Hodenberg i Josephine Ballon, których praca przyczynia się do bezpieczniejszego środowiska cyfrowego dla wszystkich i sprawia, że platformy cyfrowe mogą zostać pociągnięte do odpowiedzialności, a także zakaz podróżowania nałożony przez Stany Zjednoczone na byłego komisarza UE Thierry’ego Bretona, który odegrał kluczową rolę w ustanawianiu unijnych przepisów cyfrowych, i wzywa do zniesienia tych zakazów; wzywa Komisję i państwa członkowskie do zdecydowanej reakcji na te bezprecedensowe ataki; odnotowuje niedawne działania w zakresie egzekwowania prawa podjęte na mocy aktu o usługach cyfrowych</w:t>
      </w:r>
      <w:r w:rsidR="00E03A30">
        <w:rPr>
          <w:rStyle w:val="FootnoteReference"/>
        </w:rPr>
        <w:footnoteReference w:id="26"/>
      </w:r>
      <w:r w:rsidR="0001547D" w:rsidRPr="0001547D">
        <w:t xml:space="preserve"> w związku z naruszeniami obowiązków w zakresie przejrzystości i ograniczania ryzyka, np. nałożenie grzywny w wysokości 120 mln EUR na X; przypomina, że egzekwowanie prawodawstwa cyfrowego UE ma na celu zapewnienie zgodności z prawem UE i ochronę praw podstawowych, a nie regulowanie opinii politycznych; podkreśla, że wdrażaniu przez bardzo duże platformy internetowe nowych funkcji, w tym funkcji opartych na generatywnej AI, muszą towarzyszyć odpowiednie zabezpieczenia i środki zmniejszające ryzyko, aby zapewnić pełną zgodność z prawem UE, w szczególności w odniesieniu do zapobiegania rozpowszechnianiu nielegalnych lub zmanipulowanych treści; potępia wsparcie udzielane przez niektóre partie polityczne – takie jak AfD, Reconquête, Fidesz czy Konfederacja – które powtarzają narracje pochodzące spoza UE i osłabiają unijne przepisy cyfrowe i wartości demokratyczne;</w:t>
      </w:r>
    </w:p>
    <w:p w14:paraId="19B79998" w14:textId="7B49904E" w:rsidR="00CD5F3D" w:rsidRPr="00F11FB3" w:rsidRDefault="000933F1" w:rsidP="00CD5F3D">
      <w:pPr>
        <w:pStyle w:val="NormalHanging12a"/>
      </w:pPr>
      <w:r>
        <w:t>5</w:t>
      </w:r>
      <w:r w:rsidR="00CD5F3D" w:rsidRPr="00F11FB3">
        <w:t>.</w:t>
      </w:r>
      <w:r w:rsidR="00CD5F3D" w:rsidRPr="00F11FB3">
        <w:tab/>
        <w:t>uważa, że ambicje UE w dziedzinie technologii przemysłowych powinny koncentrować się na najważniejszych strategicznych technologiach przyszłości, takich jak technologie półprzewodnikowe lub kwantowe, które przyczyniają się do europejskiej otwartej strategicznej autonomii i mają zasadnicze znaczenie dla naszej transformacji ekologicznej, cyfrowej i obronnej;</w:t>
      </w:r>
    </w:p>
    <w:p w14:paraId="338C16E4" w14:textId="5031FCCB" w:rsidR="00CD5F3D" w:rsidRPr="00F11FB3" w:rsidRDefault="000933F1" w:rsidP="00CD5F3D">
      <w:pPr>
        <w:pStyle w:val="NormalHanging12a"/>
      </w:pPr>
      <w:r>
        <w:t>6</w:t>
      </w:r>
      <w:r w:rsidR="00CD5F3D" w:rsidRPr="00F11FB3">
        <w:t>.</w:t>
      </w:r>
      <w:r w:rsidR="00CD5F3D" w:rsidRPr="00F11FB3">
        <w:tab/>
        <w:t>zauważa zmianę krajobrazu geopolitycznego i związany z nią potencjał wzrostu popytu na europejskie produkty i usługi; dostrzega w tym szansę na to, by Europa stała się światowym liderem w dziedzinie zaufanych i bezpiecznych rozwiązań cyfrowych;</w:t>
      </w:r>
    </w:p>
    <w:p w14:paraId="2056E4EC" w14:textId="28BBC659" w:rsidR="00CD5F3D" w:rsidRPr="00F11FB3" w:rsidRDefault="000933F1" w:rsidP="00CD5F3D">
      <w:pPr>
        <w:pStyle w:val="NormalHanging12a"/>
      </w:pPr>
      <w:r>
        <w:t>7</w:t>
      </w:r>
      <w:r w:rsidR="00CD5F3D" w:rsidRPr="00F11FB3">
        <w:t>.</w:t>
      </w:r>
      <w:r w:rsidR="00CD5F3D" w:rsidRPr="00F11FB3">
        <w:tab/>
        <w:t>podkreśla potrzebę wspierania sprzyjającego otoczenia regulacyjnego, które zachęca do innowacji, inwestycji i rozwoju najnowocześniejszych technologii w Europie, a jednocześnie chroni UE i użytkowników przed konsekwencjami eksterytorialności;</w:t>
      </w:r>
    </w:p>
    <w:p w14:paraId="4098FF23" w14:textId="46B50C90" w:rsidR="00CD5F3D" w:rsidRPr="00F11FB3" w:rsidRDefault="000933F1" w:rsidP="00CD5F3D">
      <w:pPr>
        <w:pStyle w:val="NormalHanging12a"/>
      </w:pPr>
      <w:r>
        <w:lastRenderedPageBreak/>
        <w:t>8</w:t>
      </w:r>
      <w:r w:rsidR="00CD5F3D" w:rsidRPr="00F11FB3">
        <w:t>.</w:t>
      </w:r>
      <w:r w:rsidR="00CD5F3D" w:rsidRPr="00F11FB3">
        <w:tab/>
        <w:t>uznaje, że potrzebna jest kompleksowa polityka przemysłowa dla ekosystemu cyfrowego, która łączyłaby wszystkie istotne dziedziny polityki, takie jak dostęp do rynku, standaryzacja, badania i rozwój, inwestycje, handel i współpraca międzynarodowa; wzywa Komisję do opracowania tej kompleksowej polityki, aby ograniczyć szkodliwe zależności strategiczne, wzmocnić krajowe łańcuchy wartości i zapewnić bezpieczny, godny zaufania i oparty na innowacjach ekosystem cyfrowy zgodny z wartościami europejskimi;</w:t>
      </w:r>
    </w:p>
    <w:p w14:paraId="4880AD8B" w14:textId="2AAFCE0D" w:rsidR="00CD5F3D" w:rsidRPr="00F11FB3" w:rsidRDefault="000933F1" w:rsidP="00CD5F3D">
      <w:pPr>
        <w:pStyle w:val="NormalHanging12a"/>
      </w:pPr>
      <w:r>
        <w:t>9</w:t>
      </w:r>
      <w:r w:rsidR="00CD5F3D" w:rsidRPr="00F11FB3">
        <w:t>.</w:t>
      </w:r>
      <w:r w:rsidR="00CD5F3D" w:rsidRPr="00F11FB3">
        <w:tab/>
        <w:t>przypomina, że rynki produktów zaawansowanych technologicznie i usług cyfrowych w dużym stopniu zależą od zewnętrznych łańcuchów dostaw, co stanowi zagrożenie dla suwerenności i odporności; podkreśla, że zwiększenie zdolności przemysłowych i wiedzy technologicznej w dziedzinie wschodzących i przełomowych technologii przyczyni się do zapewnienia otwartej strategicznej autonomii UE;</w:t>
      </w:r>
    </w:p>
    <w:p w14:paraId="0B8E8072" w14:textId="3580851E" w:rsidR="00CD5F3D" w:rsidRPr="00F11FB3" w:rsidRDefault="000933F1" w:rsidP="00CD5F3D">
      <w:pPr>
        <w:pStyle w:val="NormalHanging12a"/>
      </w:pPr>
      <w:r>
        <w:t>10</w:t>
      </w:r>
      <w:r w:rsidR="00CD5F3D" w:rsidRPr="00F11FB3">
        <w:t>.</w:t>
      </w:r>
      <w:r w:rsidR="00CD5F3D" w:rsidRPr="00F11FB3">
        <w:tab/>
        <w:t>podkreśla, że w dobie szybkiego rozwoju technologicznego zwiększanie suwerenności technologicznej Europy wymaga wzmocnienia innowacyjności i komercjalizacji, które pozwolą zbudować niezbędne zdolności; podkreśla, że Europa musi przekształcić się w atrakcyjne dla całego świata i elastyczne otoczenie biznesowe, w czym pomoże ograniczenie biurokracji, zwiększenie przewidywalności regulacyjnej oraz wspieranie przedsiębiorczości i podejmowania ryzyka;</w:t>
      </w:r>
    </w:p>
    <w:p w14:paraId="74E24BCF" w14:textId="1E7F92D0" w:rsidR="00CD5F3D" w:rsidRPr="00F11FB3" w:rsidRDefault="000933F1" w:rsidP="00CD5F3D">
      <w:pPr>
        <w:pStyle w:val="NormalHanging12a"/>
      </w:pPr>
      <w:r>
        <w:t>11</w:t>
      </w:r>
      <w:r w:rsidR="00CD5F3D" w:rsidRPr="00F11FB3">
        <w:t>.</w:t>
      </w:r>
      <w:r w:rsidR="00CD5F3D" w:rsidRPr="00F11FB3">
        <w:tab/>
        <w:t>uznaje, że strategiczna autonomia i odporność demokratyczna muszą stanowić trzon programu Komisji oraz że kompleksowe podejście musi obejmować zamówienia, finansowanie i długoterminowe ramy instytucjonalne, które pomogą zbudować suwerenną infrastrukturę cyfrową w krytycznych dziedzinach;</w:t>
      </w:r>
    </w:p>
    <w:p w14:paraId="28833F75" w14:textId="1F2FF0E8" w:rsidR="00CD5F3D" w:rsidRPr="00F11FB3" w:rsidRDefault="000933F1" w:rsidP="00CD5F3D">
      <w:pPr>
        <w:pStyle w:val="NormalHanging12a"/>
      </w:pPr>
      <w:r>
        <w:t>12</w:t>
      </w:r>
      <w:r w:rsidR="00CD5F3D" w:rsidRPr="00F11FB3">
        <w:t>.</w:t>
      </w:r>
      <w:r w:rsidR="00CD5F3D" w:rsidRPr="00F11FB3">
        <w:tab/>
        <w:t>wzywa Komisję, by przeanalizowała krytyczne zależności w infrastrukturze cyfrowej i technologiach cyfrowych oraz sporządziła ich kompleksowy wykaz, w którym oceni co najmniej usługi przechowywania, systemy identyfikacji i płatności, platformy komunikacyjne, a także oprogramowanie, protokoły i normy, które je wspierają, a także by zaproponowała środki promujące dostęp do rynku dla produktów i usług mających silny pozytywny wpływ na suwerenność technologiczną, odporność i zrównoważony rozwój UE; uważa w związku z tym, że można by zachęcać do stosowania szczególnych kryteriów udzielania zamówień publicznych w obszarach, w których istnieją takie krytyczne zależności; uważa, że takie kryteria mogą sprzyjać konkurencji i wzmocnić europejską suwerenność technologiczną, ponieważ ułatwią zamawianie europejskich produktów i usług cyfrowych, tam gdzie jest to możliwe;</w:t>
      </w:r>
    </w:p>
    <w:p w14:paraId="4E263DB3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  <w:snapToGrid/>
        </w:rPr>
        <w:t>Cyfrowa infrastruktura publiczna</w:t>
      </w:r>
    </w:p>
    <w:p w14:paraId="2C19DFD5" w14:textId="0D39C8BB" w:rsidR="00CD5F3D" w:rsidRPr="00F11FB3" w:rsidRDefault="00E716AB" w:rsidP="00CD5F3D">
      <w:pPr>
        <w:pStyle w:val="NormalHanging12a"/>
      </w:pPr>
      <w:r>
        <w:t>13</w:t>
      </w:r>
      <w:r w:rsidR="00CD5F3D" w:rsidRPr="00F11FB3">
        <w:t>.</w:t>
      </w:r>
      <w:r w:rsidR="00CD5F3D" w:rsidRPr="00F11FB3">
        <w:tab/>
        <w:t xml:space="preserve">jest głęboko przekonany, że infrastruktura cyfrowa jest podstawą naszej gospodarki i dlatego powinna istnieć podstawowa warstwa cyfrowej infrastruktury publicznej, która zapewni suwerenność i otoczenie rynkowe sprzyjające konkurencji; zauważa, że rynek nie rozwinął tej podstawowej warstwy w wielu ważnych obszarach, co doprowadziło do monopoli i zależności od podmiotów zagranicznych; podkreśla, że aby wypełnić tę lukę, UE powinna odgrywać wiodącą rolę w tworzeniu solidnych podstaw cyfrowej infrastruktury publicznej, a mianowicie opracowywać takie warstwy technologii cyfrowych, jak m.in. półprzewodniki, rozwiązania w zakresie łączności, infrastruktura chmurowa, oprogramowanie, dane i sztuczna inteligencja; uważa, że europejska cyfrowa infrastruktura publiczna powinna opierać się na sprawiedliwych i konkurencyjnych modelach gospodarczych, a także wykorzystywać modele zarządzania, w których ani prywatne przedsiębiorstwa, ani rządy nie utrzymują </w:t>
      </w:r>
      <w:r w:rsidR="00CD5F3D" w:rsidRPr="00F11FB3">
        <w:lastRenderedPageBreak/>
        <w:t>scentralizowanej kontroli; jest zdania, że infrastruktura ta powinna opierać się na wspólnych i otwartych standardach, obejmować interoperacyjność i wzajemne powiązania, tak aby użytkownicy nie byli uzależnieni od jednego dostawcy, a dostawcy – od jednego użytkownika, a także pobudzać innowacje przez ułatwianie wejścia na rynek oraz domyślnie zapewniać prywatność i bezpieczeństwo;</w:t>
      </w:r>
    </w:p>
    <w:p w14:paraId="77ACC61E" w14:textId="7CD6563E" w:rsidR="00CD5F3D" w:rsidRPr="00F11FB3" w:rsidRDefault="00E716AB" w:rsidP="00CD5F3D">
      <w:pPr>
        <w:pStyle w:val="NormalHanging12a"/>
      </w:pPr>
      <w:r>
        <w:t>14</w:t>
      </w:r>
      <w:r w:rsidR="00CD5F3D" w:rsidRPr="00F11FB3">
        <w:t>.</w:t>
      </w:r>
      <w:r w:rsidR="00CD5F3D" w:rsidRPr="00F11FB3">
        <w:tab/>
        <w:t>uważa, że przy tworzeniu europejskiej cyfrowej infrastruktury publicznej należy koncentrować się na obszarach, w których istnieją krytyczne zależności wskazane w kompleksowym wykazie Komisji; wzywa Komisję do przygotowania szczegółowego i kompleksowego planu utworzenia europejskiej cyfrowej infrastruktury publicznej, w którym określi technologie najlepiej nadające się do wykorzystania na szczeblu europejskim, oraz apeluje do Komisji i państw członkowskich, aby przeznaczyły odpowiednie zasoby na utworzenie europejskiej cyfrowej infrastruktury publicznej;</w:t>
      </w:r>
    </w:p>
    <w:p w14:paraId="3A3961A3" w14:textId="45B77E16" w:rsidR="00CD5F3D" w:rsidRPr="00F11FB3" w:rsidRDefault="00E716AB" w:rsidP="00CD5F3D">
      <w:pPr>
        <w:pStyle w:val="NormalHanging12a"/>
      </w:pPr>
      <w:r>
        <w:t>15</w:t>
      </w:r>
      <w:r w:rsidR="00CD5F3D" w:rsidRPr="00F11FB3">
        <w:t>.</w:t>
      </w:r>
      <w:r w:rsidR="00CD5F3D" w:rsidRPr="00F11FB3">
        <w:tab/>
        <w:t>podkreśla, że europejską cyfrową infrastrukturę publiczną powinny stymulować skoordynowane działania na szczeblu UE, które zapewnią obecność i konkurencyjność europejskich dostawców, a także konkurencyjne otoczenie rynkowe; podkreśla, że celów tych nie da się osiągnąć wyłącznie w drodze regulacji i że będą konieczne znaczne inwestycje publiczne; uznaje w związku z tym, że w przyszłych wieloletnich ramach finansowych (WRF) należy uwzględnić dodatkowe środki na ten cel, przy czym trzeba skoncentrować się na unijnej wartości dodanej i finansowaniu podstawowej warstwy europejskiej cyfrowej infrastruktury publicznej;</w:t>
      </w:r>
    </w:p>
    <w:p w14:paraId="4663840E" w14:textId="2B6CEBAF" w:rsidR="00CD5F3D" w:rsidRPr="00F11FB3" w:rsidRDefault="00E716AB" w:rsidP="00CD5F3D">
      <w:pPr>
        <w:pStyle w:val="NormalHanging12a"/>
      </w:pPr>
      <w:r>
        <w:t>16</w:t>
      </w:r>
      <w:r w:rsidR="00CD5F3D" w:rsidRPr="00F11FB3">
        <w:t>.</w:t>
      </w:r>
      <w:r w:rsidR="00CD5F3D" w:rsidRPr="00F11FB3">
        <w:tab/>
        <w:t xml:space="preserve">dostrzega, że w przyszłych WRF UE musi zobowiązać się do zwiększenia wydatków na dążenie do suwerenności technologicznej; podkreśla, że powinno to obejmować specjalną pulę środków na opracowanie i wdrożenie warstw cyfrowej infrastruktury publicznej wskazanych w kompleksowym wykazie Komisji, a także dodatkowe fundusze, które pomogą stworzyć otoczenie rynkowe sprzyjające konkurencji w innych obszarach cyfrowych; </w:t>
      </w:r>
    </w:p>
    <w:p w14:paraId="72CDDEC1" w14:textId="0C9A5C50" w:rsidR="00CD5F3D" w:rsidRPr="00F11FB3" w:rsidRDefault="00E716AB" w:rsidP="00CD5F3D">
      <w:pPr>
        <w:pStyle w:val="NormalHanging12a"/>
      </w:pPr>
      <w:r>
        <w:t>17</w:t>
      </w:r>
      <w:r w:rsidR="00CD5F3D" w:rsidRPr="00F11FB3">
        <w:t>.</w:t>
      </w:r>
      <w:r w:rsidR="00CD5F3D" w:rsidRPr="00F11FB3">
        <w:tab/>
        <w:t>uważa, że w przyszłych WRF należy priorytetowo traktować finansowanie aktywnego budowania zdolności w najważniejszych obszarach dotyczących sprzętu, oprogramowania i usług, w tym obliczeń wielkiej skali, obliczeń kwantowych, szyfrowania i komunikacji, łączności, chmury, danych, ekosystemów internetowych i ekosystemów sztucznej inteligencji oraz bibliotek cyfrowych;</w:t>
      </w:r>
    </w:p>
    <w:p w14:paraId="5EE791DD" w14:textId="18D42455" w:rsidR="00CD5F3D" w:rsidRPr="00F11FB3" w:rsidRDefault="00E716AB" w:rsidP="00CD5F3D">
      <w:pPr>
        <w:pStyle w:val="NormalHanging12a"/>
      </w:pPr>
      <w:r>
        <w:t>18</w:t>
      </w:r>
      <w:r w:rsidR="00CD5F3D" w:rsidRPr="00F11FB3">
        <w:t>.</w:t>
      </w:r>
      <w:r w:rsidR="00CD5F3D" w:rsidRPr="00F11FB3">
        <w:tab/>
        <w:t xml:space="preserve">uważa, że europejska cyfrowa infrastruktura publiczna powinna opierać się na wartościach UE i być otwarta na partnerów spoza UE o podobnych poglądach; wzywa Komisję i państwa członkowskie, by kontynuowały i zintensyfikowały działania w ramach Programu Narodów Zjednoczonych ds. Rozwoju dotyczącego cyfrowej infrastruktury publicznej; </w:t>
      </w:r>
    </w:p>
    <w:p w14:paraId="74D3BFF2" w14:textId="1D829E5B" w:rsidR="00CD5F3D" w:rsidRPr="00F11FB3" w:rsidRDefault="00E716AB" w:rsidP="00CD5F3D">
      <w:pPr>
        <w:pStyle w:val="NormalHanging12a"/>
      </w:pPr>
      <w:r>
        <w:t>19</w:t>
      </w:r>
      <w:r w:rsidR="00CD5F3D" w:rsidRPr="00F11FB3">
        <w:t>.</w:t>
      </w:r>
      <w:r w:rsidR="00CD5F3D" w:rsidRPr="00F11FB3">
        <w:tab/>
        <w:t xml:space="preserve">uznaje usługi elektronicznej administracji publicznej za jeden z najważniejszych czynników umożliwiających skuteczne, bezpieczne i dostępne świadczenie usług publicznych, które to usługi należy zaprojektować tak, aby ułatwiały identyfikację cyfrową, udostępnianie danych rządowych i płatności w sektorze publicznym, a jednocześnie nie zakłócały rynków i nie podważały istniejących rozwiązań sektora prywatnego; podkreśla, że działania UE w dziedzinie usług elektronicznej administracji publicznej powinny koncentrować się na wzmocnieniu cyfrowych interakcji między administracją publiczną a obywatelami i między administracją publiczną a przedsiębiorstwami, przy jednoczesnym zapewnieniu zaufania, interoperacyjności i dostępności; uważa w związku z tym, że bezpieczny i bezproblemowy dostęp do usług </w:t>
      </w:r>
      <w:r w:rsidR="00CD5F3D" w:rsidRPr="00F11FB3">
        <w:lastRenderedPageBreak/>
        <w:t>publicznych wymaga wiarygodnych ram identyfikacji elektronicznej, i z zadowoleniem przyjmuje ogłoszenie „portfela biznesowego” mającego znacznie uprościć interakcje między przedsiębiorstwami a organami publicznymi;</w:t>
      </w:r>
    </w:p>
    <w:p w14:paraId="7A779FFF" w14:textId="3701DBDB" w:rsidR="00CD5F3D" w:rsidRPr="00F11FB3" w:rsidRDefault="00E716AB" w:rsidP="00CD5F3D">
      <w:pPr>
        <w:pStyle w:val="NormalHanging12a"/>
      </w:pPr>
      <w:r>
        <w:t>20</w:t>
      </w:r>
      <w:r w:rsidR="00CD5F3D" w:rsidRPr="00F11FB3">
        <w:t>.</w:t>
      </w:r>
      <w:r w:rsidR="00CD5F3D" w:rsidRPr="00F11FB3">
        <w:tab/>
        <w:t xml:space="preserve">wzywa Komisję do dalszego rozwijania platform danych w interesie publicznym, które umożliwią bezpieczną transgraniczną wymianę danych między podmiotami publicznymi i prywatnymi do celów konkretnych zastosowań, w szczególności w opiece zdrowotnej, planowaniu przestrzeni miejskiej i monitoringu środowiska; wzywa ponadto Komisję Europejską do promowania interoperacyjności między platformami danych w interesie publicznym a platformami danych specyficznych dla danego sektora, aby zapewnić niezakłócony przepływ danych przy jednoczesnym zminimalizowaniu obciążeń administracyjnych; zauważa, że można to osiągnąć dzięki istniejącym rozwiązaniom rynkowym, które sprzyjają innowacjom i utrzymują zaufanie oraz spełniają standardy prywatności i bezpieczeństwa; </w:t>
      </w:r>
    </w:p>
    <w:p w14:paraId="5A41E7DB" w14:textId="5D5C2F62" w:rsidR="00CD5F3D" w:rsidRPr="00F11FB3" w:rsidRDefault="00E716AB" w:rsidP="00CD5F3D">
      <w:pPr>
        <w:pStyle w:val="NormalHanging12a"/>
      </w:pPr>
      <w:r>
        <w:t>21</w:t>
      </w:r>
      <w:r w:rsidR="00CD5F3D" w:rsidRPr="00F11FB3">
        <w:t>.</w:t>
      </w:r>
      <w:r w:rsidR="00CD5F3D" w:rsidRPr="00F11FB3">
        <w:tab/>
        <w:t>stwierdza, że zgodnie z obowiązującymi przepisami obywatele europejscy mają prawo kontrolować swoje dane osobowe oraz że dane generowane w UE należy przetwarzać zgodnie z prawem unijnym; podkreśla, że ochrona prywatności i danych osobowych ma zasadnicze znaczenie dla budowania zaufania do gospodarki cyfrowej, ponieważ daje europejskim konsumentom poczucie bezpieczeństwa, niezależnie od miejsca przetwarzania ich danych; podkreśla, że przedsiębiorstwa europejskie – zwłaszcza małe i średnie przedsiębiorstwa (MŚP) – muszą być w stanie wykorzystywać dane w sposób zgodny z prawem, etyczny i bezpieczny, aby stymulować zrównoważony wzrost i konkurencyjność;</w:t>
      </w:r>
    </w:p>
    <w:p w14:paraId="2D689DE4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Infrastruktura cyfrowa</w:t>
      </w:r>
    </w:p>
    <w:p w14:paraId="217E0BCC" w14:textId="34929FBD" w:rsidR="00CD5F3D" w:rsidRPr="00F11FB3" w:rsidRDefault="001A73B2" w:rsidP="00CD5F3D">
      <w:pPr>
        <w:pStyle w:val="NormalHanging12a"/>
      </w:pPr>
      <w:r>
        <w:t>22</w:t>
      </w:r>
      <w:r w:rsidR="00CD5F3D" w:rsidRPr="00F11FB3">
        <w:t>.</w:t>
      </w:r>
      <w:r w:rsidR="00CD5F3D" w:rsidRPr="00F11FB3">
        <w:tab/>
        <w:t xml:space="preserve">podkreśla, że infrastruktura cyfrowa jest podstawą europejskiej gospodarki i społeczeństwa oraz że jej znaczenie będzie dalej rosło; wzywa Komisję, aby włączyła do proponowanego wykazu krytycznych zależności kompleksową ocenę struktury europejskiej infrastruktury cyfrowej, co pozwoli odpowiednio przeanalizować aktualną sytuację, ocenić zagrożenia i koordynować działania; </w:t>
      </w:r>
    </w:p>
    <w:p w14:paraId="7B974E06" w14:textId="7806E707" w:rsidR="00CD5F3D" w:rsidRPr="00F11FB3" w:rsidRDefault="001A73B2" w:rsidP="00CD5F3D">
      <w:pPr>
        <w:pStyle w:val="NormalHanging12a"/>
      </w:pPr>
      <w:r>
        <w:t>23</w:t>
      </w:r>
      <w:r w:rsidR="00CD5F3D" w:rsidRPr="00F11FB3">
        <w:t>.</w:t>
      </w:r>
      <w:r w:rsidR="00CD5F3D" w:rsidRPr="00F11FB3">
        <w:tab/>
        <w:t>uważa, że w celu wzmocnienia infrastruktury cyfrowej należy realizować na szczeblu UE inicjatywy na rzecz budowania zdolności w najważniejszych obszarach; uważa, że inicjatywy te powinny koncentrować się na rozwoju podstawowej warstwy infrastruktury publicznej, takiej jak sieć gigafabryk sztucznej inteligencji i europejski model indeksowania stron internetowych; jest zdania, że ta podstawowa warstwa ułatwi przedsiębiorstwom rozwój ich modeli biznesowych i zwiększy suwerenność technologiczną; zwraca uwagę na rozwiązania cyfrowe tworzone przez UE, takie jak europejska tożsamość cyfrowa, które mogą stanowić innowacyjną infrastrukturę dla gospodarki cyfrowej UE;</w:t>
      </w:r>
    </w:p>
    <w:p w14:paraId="76992FDE" w14:textId="3BDA01C9" w:rsidR="00CD5F3D" w:rsidRPr="00F11FB3" w:rsidRDefault="001A73B2" w:rsidP="00CD5F3D">
      <w:pPr>
        <w:pStyle w:val="NormalHanging12a"/>
      </w:pPr>
      <w:r>
        <w:t>24</w:t>
      </w:r>
      <w:r w:rsidR="00CD5F3D" w:rsidRPr="00F11FB3">
        <w:t>.</w:t>
      </w:r>
      <w:r w:rsidR="00CD5F3D" w:rsidRPr="00F11FB3">
        <w:tab/>
        <w:t>uznaje strategiczne znaczenie krytycznej infrastruktury cyfrowej oraz przyznaje, że należy wzmocnić jej bezpieczeństwo i odporność; rozumie, że krytyczna infrastruktura cyfrowa obejmuje m.in. kable (naziemne i podmorskie), maszty sieci komórkowych, systemy łączności satelitarnej, widmo i sprzęt radiowy, serwery w chmurze zawierające informacje szczególnie chronione oraz ośrodki przetwarzania danych przetwarzające informacje szczególnie chronione, jak również niektóre elementy oprogramowania, w tym oprogramowanie zabezpieczające chroniące krytyczne sieci i ośrodki przetwarzania danych;</w:t>
      </w:r>
    </w:p>
    <w:p w14:paraId="6DCE42DE" w14:textId="35835ACE" w:rsidR="00CD5F3D" w:rsidRPr="00F11FB3" w:rsidRDefault="001A73B2" w:rsidP="00CD5F3D">
      <w:pPr>
        <w:pStyle w:val="NormalHanging12a"/>
      </w:pPr>
      <w:r>
        <w:lastRenderedPageBreak/>
        <w:t>25</w:t>
      </w:r>
      <w:r w:rsidR="00CD5F3D" w:rsidRPr="00F11FB3">
        <w:t>.</w:t>
      </w:r>
      <w:r w:rsidR="00CD5F3D" w:rsidRPr="00F11FB3">
        <w:tab/>
        <w:t>podkreśla, że należy dopilnować, aby infrastruktura ta podlegała jurysdykcji UE, dzięki czemu będzie ona w pełni zgodna z prawem UE; podkreśla znaczenie ochrony prywatności i uwzględniania bezpieczeństwa już w fazie projektowania; w związku z tym wzywa Komisję do wprowadzenia przepisów ograniczających zagrożenia stwarzane przez dostawców wysokiego ryzyka z państw trzecich,w tym dostawców zasobów energii kontrolowanych przez podmioty zagraniczne;</w:t>
      </w:r>
    </w:p>
    <w:p w14:paraId="1CE83C28" w14:textId="0B3F6210" w:rsidR="00CD5F3D" w:rsidRPr="00F11FB3" w:rsidRDefault="001A73B2" w:rsidP="00CD5F3D">
      <w:pPr>
        <w:pStyle w:val="NormalHanging12a"/>
      </w:pPr>
      <w:r>
        <w:t>26</w:t>
      </w:r>
      <w:r w:rsidR="00CD5F3D" w:rsidRPr="00F11FB3">
        <w:t>.</w:t>
      </w:r>
      <w:r w:rsidR="00CD5F3D" w:rsidRPr="00F11FB3">
        <w:tab/>
        <w:t>wzywa Komisję Europejską, aby podczas przygotowywania przyszłych wniosków ustawodawczych i kolejnym WRF skoncentrowała się na pogłębianiu jednolitego rynku, zgodnie z zaleceniem zawartym w sprawozdaniu Enrica Letty „Much more than a market” [Znacznie więcej niż rynek] oraz w sprawozdaniu Maria Draghiego na temat przyszłości europejskiej konkurencyjności, co pomoże wykorzystać potencjał jednolitego rynku cyfrowego;</w:t>
      </w:r>
    </w:p>
    <w:p w14:paraId="1458879A" w14:textId="19A1AF65" w:rsidR="00CD5F3D" w:rsidRPr="00F11FB3" w:rsidRDefault="001A73B2" w:rsidP="00CD5F3D">
      <w:pPr>
        <w:pStyle w:val="NormalHanging12a"/>
      </w:pPr>
      <w:r>
        <w:t>27</w:t>
      </w:r>
      <w:r w:rsidR="00CD5F3D" w:rsidRPr="00F11FB3">
        <w:t>.</w:t>
      </w:r>
      <w:r w:rsidR="00CD5F3D" w:rsidRPr="00F11FB3">
        <w:tab/>
        <w:t>przyjmuje do wiadomości zalecenia zawarte w tych dwóch sprawozdaniach, zgodnie z którymi UE musi zmienić paradygmat z promowania łączności w UE na ustanowienie jednolitego rynku usług telekomunikacyjnych i łączności; opowiada się za uproszczonymi, zharmonizowanymi i sprzyjającymi innowacjom ramami telekomunikacyjnymi, które zapewniają uczciwą konkurencję i dostępność infrastruktury;</w:t>
      </w:r>
    </w:p>
    <w:p w14:paraId="2356D3D9" w14:textId="6AD27647" w:rsidR="00CD5F3D" w:rsidRPr="00F11FB3" w:rsidRDefault="001A73B2" w:rsidP="00CD5F3D">
      <w:pPr>
        <w:pStyle w:val="NormalHanging12a"/>
      </w:pPr>
      <w:r>
        <w:t>28</w:t>
      </w:r>
      <w:r w:rsidR="00CD5F3D" w:rsidRPr="00F11FB3">
        <w:t>.</w:t>
      </w:r>
      <w:r w:rsidR="00CD5F3D" w:rsidRPr="00F11FB3">
        <w:tab/>
        <w:t>z zadowoleniem przyjmuje białą księgę Komisji pt. „Jak sprostać potrzebom Europy w zakresie infrastruktury cyfrowej?”, w której określono trzy filary: stworzenie sieci 3C – sieci połączonych systemów obliczeniowych „Connected Collaborative Computing”, ukończenie tworzenia jednolitego rynku cyfrowego oraz zapewnienie Europie bezpiecznej i odpornej infrastruktury cyfrowej;</w:t>
      </w:r>
    </w:p>
    <w:p w14:paraId="5509E873" w14:textId="271071AA" w:rsidR="00CD5F3D" w:rsidRPr="00F11FB3" w:rsidRDefault="001A73B2" w:rsidP="00CD5F3D">
      <w:pPr>
        <w:pStyle w:val="NormalHanging12a"/>
      </w:pPr>
      <w:r>
        <w:t>29</w:t>
      </w:r>
      <w:r w:rsidR="00CD5F3D" w:rsidRPr="00F11FB3">
        <w:t>.</w:t>
      </w:r>
      <w:r w:rsidR="00CD5F3D" w:rsidRPr="00F11FB3">
        <w:tab/>
        <w:t>postrzega białą księgę i następujący po niej proces konsultacji jako część przygotowań do inicjatywy ustawodawczej zaplanowanej na tę kadencję, w tym aktu w sprawie sieci cyfrowych; wzywa Komisję, by w tym procesie przyjęła bardziej całościowe podejście do infrastruktury cyfrowej oraz by uznała, że infrastruktura cyfrowa obejmuje wiele elementów, a nie tylko zwykłą łączność; podkreśla, że każdemu nowemu środkowi polityki cyfrowej musi towarzyszyć ocena skutków;</w:t>
      </w:r>
    </w:p>
    <w:p w14:paraId="78275B97" w14:textId="3CE54194" w:rsidR="00CD5F3D" w:rsidRPr="00F11FB3" w:rsidRDefault="001A73B2" w:rsidP="00CD5F3D">
      <w:pPr>
        <w:pStyle w:val="NormalHanging12a"/>
      </w:pPr>
      <w:r>
        <w:t>30</w:t>
      </w:r>
      <w:r w:rsidR="00CD5F3D" w:rsidRPr="00F11FB3">
        <w:t>.</w:t>
      </w:r>
      <w:r w:rsidR="00CD5F3D" w:rsidRPr="00F11FB3">
        <w:tab/>
        <w:t>apeluje do Komisji, aby w przyszłym akcie w sprawie sieci cyfrowych i ogólniejszym pakiecie cyfrowym uprościła i zharmonizowała przepisy telekomunikacyjne;</w:t>
      </w:r>
    </w:p>
    <w:p w14:paraId="18F1AB91" w14:textId="421194CC" w:rsidR="00CD5F3D" w:rsidRPr="00F11FB3" w:rsidRDefault="001A73B2" w:rsidP="00CD5F3D">
      <w:pPr>
        <w:pStyle w:val="NormalHanging12a"/>
      </w:pPr>
      <w:r>
        <w:t>31</w:t>
      </w:r>
      <w:r w:rsidR="00CD5F3D" w:rsidRPr="00F11FB3">
        <w:t>.</w:t>
      </w:r>
      <w:r w:rsidR="00CD5F3D" w:rsidRPr="00F11FB3">
        <w:tab/>
        <w:t>wzywa Komisję do przedstawienia unijnego aktu w sprawie rozwoju chmury i sztucznej inteligencji, który wzmocni europejską infrastrukturę danych i będzie promować europejskich dostawców usług w chmurze; podkreśla, że celem tego aktu powinna być aktywna budowa europejskiego jednolitego rynku chmury i sztucznej inteligencji;</w:t>
      </w:r>
    </w:p>
    <w:p w14:paraId="0A4F88F6" w14:textId="37861B45" w:rsidR="00CD5F3D" w:rsidRPr="00F11FB3" w:rsidRDefault="001A73B2" w:rsidP="00CD5F3D">
      <w:pPr>
        <w:pStyle w:val="NormalHanging12a"/>
      </w:pPr>
      <w:r>
        <w:t>32</w:t>
      </w:r>
      <w:r w:rsidR="00CD5F3D" w:rsidRPr="00F11FB3">
        <w:t>.</w:t>
      </w:r>
      <w:r w:rsidR="00CD5F3D" w:rsidRPr="00F11FB3">
        <w:tab/>
        <w:t xml:space="preserve">przyznaje, że wdrożenie najnowocześniejszej infrastruktury cyfrowej w całej UE wymaga znacznych inwestycji, i przyznaje, że dla osiągnięcia tego celu zasadnicze znaczenie ma zarówno publiczne, jak i prywatne finansowanie; wyraża zaniepokojenie utrzymującym się niedoborem kapitału wysokiego ryzyka i środków na finansowanie inwestycji w Europie, co osłabia suwerenność technologiczną; wzywa Komisję Europejską do znacznego zwiększenia skali publiczno-prywatnych instrumentów inwestycyjnych, w tym venture capital, platform inwestycji strategicznych oraz specjalnych narzędzi finansowania przedsiębiorstw typu start-up i przedsiębiorstw scale-up w sektorach technologii krytycznych; podkreśla, jak ważne jest wykorzystywanie zamówień publicznych do wspierania wdrażania i zwiększania skali </w:t>
      </w:r>
      <w:r w:rsidR="00CD5F3D" w:rsidRPr="00F11FB3">
        <w:lastRenderedPageBreak/>
        <w:t>otwartych i interoperacyjnych rozwiązań cyfrowych oraz dbanie o to, by kapitał prywatny, konkurencyjność i innowacje stały się głównymi motorami transformacji cyfrowej Europy w perspektywie średnio- i długoterminowej;</w:t>
      </w:r>
    </w:p>
    <w:p w14:paraId="2845EA15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Szybka łączność</w:t>
      </w:r>
    </w:p>
    <w:p w14:paraId="1D32019F" w14:textId="2ED0F2A5" w:rsidR="00CD5F3D" w:rsidRPr="00F11FB3" w:rsidRDefault="00C31194" w:rsidP="00CD5F3D">
      <w:pPr>
        <w:pStyle w:val="NormalHanging12a"/>
      </w:pPr>
      <w:r>
        <w:t>33</w:t>
      </w:r>
      <w:r w:rsidR="00CD5F3D" w:rsidRPr="00F11FB3">
        <w:t>.</w:t>
      </w:r>
      <w:r w:rsidR="00CD5F3D" w:rsidRPr="00F11FB3">
        <w:tab/>
        <w:t xml:space="preserve">uważa, że przyszły akt w sprawie sieci cyfrowych musi wspierać cel, jakim jest zapewnienie wszystkim konsumentom w UE wysokiej jakości łączności do 2030 r., zwłaszcza na obszarach oddalonych i wiejskich, a także usunięcie barier administracyjnych dla wprowadzenia sieci 5G i 6G oraz bezpiecznych, szybkich łączy szerokopasmowych; </w:t>
      </w:r>
    </w:p>
    <w:p w14:paraId="2274EA02" w14:textId="20F96FD9" w:rsidR="00CD5F3D" w:rsidRPr="00F11FB3" w:rsidRDefault="00C31194" w:rsidP="00CD5F3D">
      <w:pPr>
        <w:pStyle w:val="NormalHanging12a"/>
      </w:pPr>
      <w:r>
        <w:t>34</w:t>
      </w:r>
      <w:r w:rsidR="00CD5F3D" w:rsidRPr="00F11FB3">
        <w:t>.</w:t>
      </w:r>
      <w:r w:rsidR="00CD5F3D" w:rsidRPr="00F11FB3">
        <w:tab/>
        <w:t>dostrzega rosnącą konwergencję infrastruktury telekomunikacyjnej z technologiami chmury obliczeniowej i technologii brzegowych oraz dostrzega potencjał otwartych sieci dostępu radiowego w zakresie dostarczania zaawansowanych rozwiązań technologicznych, zmniejszenia kosztów i zwiększenia interoperacyjności łączności; wierzy, że przyszłość łączności leży w komplementarności różnych technologii, takich jak 5G/6G, Wi-Fi i technologie satelitarne, ponieważ płynne połączenia między nimi przynoszą korzyści biznesowi i konsumentom;</w:t>
      </w:r>
    </w:p>
    <w:p w14:paraId="7A421FDF" w14:textId="1C448B63" w:rsidR="00CD5F3D" w:rsidRPr="00F11FB3" w:rsidRDefault="00C31194" w:rsidP="00CD5F3D">
      <w:pPr>
        <w:pStyle w:val="NormalHanging12a"/>
      </w:pPr>
      <w:r>
        <w:t>35</w:t>
      </w:r>
      <w:r w:rsidR="00CD5F3D" w:rsidRPr="00F11FB3">
        <w:t>.</w:t>
      </w:r>
      <w:r w:rsidR="00CD5F3D" w:rsidRPr="00F11FB3">
        <w:tab/>
        <w:t>zwraca uwagę, że dzięki usługom w chmurze i usługom przetwarzania brzegowego sieci łączności szybko zmieniają się w platformy innowacji i będą w coraz większym stopniu zależeć od chmury obliczeniowej, sztucznej inteligencji, wirtualizacji i innych technologii;</w:t>
      </w:r>
    </w:p>
    <w:p w14:paraId="55CDA359" w14:textId="0CA4073F" w:rsidR="00CD5F3D" w:rsidRPr="00F11FB3" w:rsidRDefault="00C31194" w:rsidP="00CD5F3D">
      <w:pPr>
        <w:pStyle w:val="NormalHanging12a"/>
      </w:pPr>
      <w:r>
        <w:t>36</w:t>
      </w:r>
      <w:r w:rsidR="00CD5F3D" w:rsidRPr="00F11FB3">
        <w:t>.</w:t>
      </w:r>
      <w:r w:rsidR="00CD5F3D" w:rsidRPr="00F11FB3">
        <w:tab/>
        <w:t>apeluje o wyznaczenie ambitnych celów dotyczących rozwoju bezprzewodowych sieci łączności i innowacji w tym zakresie, zwracając uwagę na potrzebę przyjęcia szeroko zakrojonego podejścia, które obejmowałoby przetwarzanie w chmurze, sztuczną inteligencję, przetwarzanie brzegowe i obliczenia kwantowe; podkreśla, że ekosystem innowacji w dziedzinie łączności elektronicznej, zwłaszcza w przypadku zintegrowanych pionowo operatorów usług telekomunikacyjnych, powinien pozostać oparty na zasadach rynkowych, i nalega, aby przyszłe środki regulacyjne bazowały na gruntownych, opartych na wiedzy ocenach skutków obowiązujących przepisów;</w:t>
      </w:r>
    </w:p>
    <w:p w14:paraId="4D00788E" w14:textId="0BB6AACC" w:rsidR="00CD5F3D" w:rsidRPr="00F11FB3" w:rsidRDefault="00C31194" w:rsidP="00CD5F3D">
      <w:pPr>
        <w:pStyle w:val="NormalHanging12a"/>
      </w:pPr>
      <w:r>
        <w:t>37</w:t>
      </w:r>
      <w:r w:rsidR="00CD5F3D" w:rsidRPr="00F11FB3">
        <w:t>.</w:t>
      </w:r>
      <w:r w:rsidR="00CD5F3D" w:rsidRPr="00F11FB3">
        <w:tab/>
        <w:t>uznaje, że konkurencja między operatorami różnej wielkości pozostaje kluczowym czynnikiem napędzającym inwestycje w sieci łączności; wzywa państwa członkowskie do dopilnowania, aby sieci miedziane były stopniowo wyłączane i zastępowane technologiami światłowodowymi lub 5G, zwłaszcza przy okazji regularnej konserwacji lub modernizacji sieci, co zagwarantuje, że zmiana zostanie przeprowadzona w sposób łatwy do osiągnięcia, i umożliwi dostawcom planowanie logistyczne i finansowe z wyprzedzeniem;</w:t>
      </w:r>
    </w:p>
    <w:p w14:paraId="261DB6A8" w14:textId="79C2FC58" w:rsidR="00CD5F3D" w:rsidRPr="00F11FB3" w:rsidRDefault="00C31194" w:rsidP="00CD5F3D">
      <w:pPr>
        <w:pStyle w:val="NormalHanging12a"/>
      </w:pPr>
      <w:r>
        <w:t>38</w:t>
      </w:r>
      <w:r w:rsidR="00CD5F3D" w:rsidRPr="00F11FB3">
        <w:t>.</w:t>
      </w:r>
      <w:r w:rsidR="00CD5F3D" w:rsidRPr="00F11FB3">
        <w:tab/>
        <w:t>podkreśla, że wszyscy konsumenci w UE powinni mieć dostęp do niezawodnej i przystępnej cenowo łączności o odpowiedniej jakości, co przyczyni się do zwiększenia popytu na usługi łączności; wzywa Komisję i państwa członkowskie do rozbudowy i modernizacji sieci cyfrowych, zwłaszcza na obszarach wiejskich, a także do wspierania inwestycji publiczno-prywatnych w łącza szerokopasmowe oraz wdrażanie sieci 5G i 6G, przy jednoczesnym utrzymaniu standardów cyberbezpieczeństwa i zasad uwzględniania bezpieczeństwa na etapie projektowania;</w:t>
      </w:r>
    </w:p>
    <w:p w14:paraId="5CF5010E" w14:textId="4857AA90" w:rsidR="00CD5F3D" w:rsidRPr="00F11FB3" w:rsidRDefault="00C31194" w:rsidP="00CD5F3D">
      <w:pPr>
        <w:pStyle w:val="NormalHanging12a"/>
      </w:pPr>
      <w:r>
        <w:t>39</w:t>
      </w:r>
      <w:r w:rsidR="00CD5F3D" w:rsidRPr="00F11FB3">
        <w:t>.</w:t>
      </w:r>
      <w:r w:rsidR="00CD5F3D" w:rsidRPr="00F11FB3">
        <w:tab/>
        <w:t xml:space="preserve">jest przekonany, że ponieważ infrastruktura łączności cyfrowej, taka jak światłowody, 5G i 6G, będzie miała kluczowe znaczenie dla konkurencyjności przemysłu </w:t>
      </w:r>
      <w:r w:rsidR="00CD5F3D" w:rsidRPr="00F11FB3">
        <w:lastRenderedPageBreak/>
        <w:t>w przyszłości, następne WRF powinny obejmować fundusze na wdrażanie na dużą skalę infrastruktury sieciowej, tak aby zniwelować istniejącą lukę we wdrażaniu i osiągnąć dzięki temu cele programu „Droga ku cyfrowej dekadzie” do 2030 r., zapewnić ogólnoeuropejski zasięg sieci 5G do użytku obywateli i skutecznie wdrożyć narzędzia dla Przemysłu 4.0;</w:t>
      </w:r>
    </w:p>
    <w:p w14:paraId="3E364E80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Światłowody</w:t>
      </w:r>
    </w:p>
    <w:p w14:paraId="446E6B3A" w14:textId="1BAE7E16" w:rsidR="00CD5F3D" w:rsidRPr="00F11FB3" w:rsidRDefault="00C31194" w:rsidP="00CD5F3D">
      <w:pPr>
        <w:pStyle w:val="NormalHanging12a"/>
      </w:pPr>
      <w:r>
        <w:t>40</w:t>
      </w:r>
      <w:r w:rsidR="00CD5F3D" w:rsidRPr="00F11FB3">
        <w:t>.</w:t>
      </w:r>
      <w:r w:rsidR="00CD5F3D" w:rsidRPr="00F11FB3">
        <w:tab/>
        <w:t>podkreśla znaczenie szybszego wdrażania sieci światłowodowych i nowoczesnych systemów łączności bezprzewodowej, które mogą zapewnić szybkie, bezpieczne i niezawodne usługi cyfrowe;</w:t>
      </w:r>
    </w:p>
    <w:p w14:paraId="5B146B08" w14:textId="615C37ED" w:rsidR="00CD5F3D" w:rsidRPr="00F11FB3" w:rsidRDefault="00CD5F3D" w:rsidP="00CD5F3D">
      <w:pPr>
        <w:pStyle w:val="NormalHanging12a"/>
      </w:pPr>
      <w:r w:rsidRPr="00F11FB3">
        <w:t>4</w:t>
      </w:r>
      <w:r w:rsidR="00C31194">
        <w:t>1</w:t>
      </w:r>
      <w:r w:rsidRPr="00F11FB3">
        <w:t>.</w:t>
      </w:r>
      <w:r w:rsidRPr="00F11FB3">
        <w:tab/>
        <w:t>podkreśla, że kluczowe znaczenie dla zapewnienia ultraszybkiej i niezawodnej łączności ma priorytetowe traktowanie bezpośrednich połączeń światłowodowych dla gospodarstw domowych, firm i instytucji publicznych, a także instalacja sieci przy okazji robót budowlanych związanych np. z drogami, wodą i elektrycznością, aby przyspieszyć instalację światłowodów;</w:t>
      </w:r>
    </w:p>
    <w:p w14:paraId="395AFF61" w14:textId="3CBD30E1" w:rsidR="00CD5F3D" w:rsidRPr="00F11FB3" w:rsidRDefault="00CD5F3D" w:rsidP="00CD5F3D">
      <w:pPr>
        <w:pStyle w:val="NormalHanging12a"/>
      </w:pPr>
      <w:r w:rsidRPr="00F11FB3">
        <w:t>4</w:t>
      </w:r>
      <w:r w:rsidR="00C31194">
        <w:t>2</w:t>
      </w:r>
      <w:r w:rsidRPr="00F11FB3">
        <w:t>.</w:t>
      </w:r>
      <w:r w:rsidRPr="00F11FB3">
        <w:tab/>
        <w:t xml:space="preserve">z zadowoleniem przyjmuje wprowadzenie aktu w sprawie infrastruktury gigabitowej, który jest odpowiedzią na rosnące zapotrzebowanie na szybszą i niezawodną łączność wykorzystującą dużą ilość danych; dostrzega znaczenie wspólnego wykorzystywania kanałów i słupów do wdrażania sieci o bardzo dużej przepustowości, aby zoptymalizować zasoby i obniżyć koszty; wzywa państwa członkowskie do usprawnienia procesów wydawania pozwoleń i harmonizacji przepisów w celu zmniejszenia barier finansowych i administracyjnych dla rozbudowy infrastruktury światłowodowej; </w:t>
      </w:r>
    </w:p>
    <w:p w14:paraId="7303EE2C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5G i 6G</w:t>
      </w:r>
    </w:p>
    <w:p w14:paraId="78D50830" w14:textId="6637340C" w:rsidR="00CD5F3D" w:rsidRPr="00F11FB3" w:rsidRDefault="00227E2A" w:rsidP="00CD5F3D">
      <w:pPr>
        <w:pStyle w:val="NormalHanging12a"/>
      </w:pPr>
      <w:r>
        <w:t>43</w:t>
      </w:r>
      <w:r w:rsidR="00CD5F3D" w:rsidRPr="00F11FB3">
        <w:t>.</w:t>
      </w:r>
      <w:r w:rsidR="00CD5F3D" w:rsidRPr="00F11FB3">
        <w:tab/>
        <w:t>uważa, że inwestycje prywatne są kluczowe dla wdrożenia sieci łączności elektronicznej 5G i 6G, które są wystarczająco zaawansowane pod względem transmisji, prędkości, pojemności, mocy przetwarzania brzegowego oraz interoperacyjności;</w:t>
      </w:r>
    </w:p>
    <w:p w14:paraId="1FA82388" w14:textId="6ED4931D" w:rsidR="00CD5F3D" w:rsidRPr="00F11FB3" w:rsidRDefault="00227E2A" w:rsidP="00CD5F3D">
      <w:pPr>
        <w:pStyle w:val="NormalHanging12a"/>
      </w:pPr>
      <w:r>
        <w:t>44</w:t>
      </w:r>
      <w:r w:rsidR="00CD5F3D" w:rsidRPr="00F11FB3">
        <w:t>.</w:t>
      </w:r>
      <w:r w:rsidR="00CD5F3D" w:rsidRPr="00F11FB3">
        <w:tab/>
        <w:t>podkreśla, że egzekwowanie i wdrażanie aktu w sprawie infrastruktury gigabitowej jest ponadto konieczne w celu stworzenia punktu kompleksowej obsługi w zakresie wydawania zezwoleń oraz scentralizowanego procesu wydawania zezwoleń cyfrowych, aby zmniejszyć opóźnienia we wdrażaniu infrastruktury oraz zapewnić jednolite zasady dostępu do infrastruktury, ustalania cen i przeprowadzania ocen oddziaływania na środowisko; w związku z tym wzywa do podjęcia zdecydowanych działań w tym obszarze;</w:t>
      </w:r>
    </w:p>
    <w:p w14:paraId="1067E942" w14:textId="6C1CA8CF" w:rsidR="00CD5F3D" w:rsidRPr="00F11FB3" w:rsidRDefault="00227E2A" w:rsidP="00CD5F3D">
      <w:pPr>
        <w:pStyle w:val="NormalHanging12a"/>
      </w:pPr>
      <w:r>
        <w:t>45</w:t>
      </w:r>
      <w:r w:rsidR="00CD5F3D" w:rsidRPr="00F11FB3">
        <w:t>.</w:t>
      </w:r>
      <w:r w:rsidR="00CD5F3D" w:rsidRPr="00F11FB3">
        <w:tab/>
        <w:t xml:space="preserve">uważa, że UE potrzebuje silnej ochrony cyberbezpieczeństwa we wszystkich sektorach infrastruktury krytycznej, w tym bardziej rygorystycznych środków w celu zmniejszenia ryzyka dostawców wysokiego ryzyka w sieciach 5G i 6G, aby zapewnić gęste rozmieszczenie nadajników o małej mocy i stacji bazowych, szczególnie na obszarach miejskich i wiejskich o niestabilnym zasięgu, oraz zadbać o zrównoważony i energooszczędny charakter infrastruktury, tak by wspierać globalną konkurencyjność Europy w gospodarce cyfrowej; </w:t>
      </w:r>
    </w:p>
    <w:p w14:paraId="7D6C3C13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Widmo</w:t>
      </w:r>
    </w:p>
    <w:p w14:paraId="3C49A076" w14:textId="7B64B8E5" w:rsidR="00CD5F3D" w:rsidRPr="00F11FB3" w:rsidRDefault="00CD5F3D" w:rsidP="00CD5F3D">
      <w:pPr>
        <w:pStyle w:val="NormalHanging12a"/>
      </w:pPr>
      <w:r w:rsidRPr="00F11FB3">
        <w:lastRenderedPageBreak/>
        <w:t>4</w:t>
      </w:r>
      <w:r w:rsidR="00227E2A">
        <w:t>6</w:t>
      </w:r>
      <w:r w:rsidRPr="00F11FB3">
        <w:t>.</w:t>
      </w:r>
      <w:r w:rsidRPr="00F11FB3">
        <w:tab/>
        <w:t>wzywa komisję i państwa członkowskie do pracy nad lepszą koordynacją alokacji widma, w szczególności poprzez wcześniejszą identyfikację i harmonizację uwalniania nowych częstotliwości, począwszy od częstotliwości 6 GHz; apeluje o wdrożenie polityki w zakresie widma radiowego, która promowałaby inwestycje w Europie, w tym o harmonizację polityki alokacji widma w państwach członkowskich w celu przyspieszenia wdrażania 5G w oparciu o najlepsze praktyki, promowanie dłuższych okresów obowiązywania licencji oraz dostępu do nowych częstotliwości, takich jak górne pasmo 6 GHz, w celu zaspokojenia przyszłego popytu i umożliwienia wdrażania 6G. uważa, że podmioty publiczne i prywatne muszą współpracować, aby zwiększyć konkurencyjność Europy i nie pozostawać w tyle za najszybciej rozwijającymi się sieciami na świecie, tj. sieciami w Chinach i Korei Południowej;</w:t>
      </w:r>
    </w:p>
    <w:p w14:paraId="6F9D9692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Satelity i systemy łączności satelitarnej</w:t>
      </w:r>
    </w:p>
    <w:p w14:paraId="0BA658BA" w14:textId="2284EEFC" w:rsidR="00CD5F3D" w:rsidRPr="00F11FB3" w:rsidRDefault="00227E2A" w:rsidP="00CD5F3D">
      <w:pPr>
        <w:pStyle w:val="NormalHanging12a"/>
      </w:pPr>
      <w:r>
        <w:t>47</w:t>
      </w:r>
      <w:r w:rsidR="00CD5F3D" w:rsidRPr="00F11FB3">
        <w:t>.</w:t>
      </w:r>
      <w:r w:rsidR="00CD5F3D" w:rsidRPr="00F11FB3">
        <w:tab/>
        <w:t>podkreśla znaczenie łączności satelitarnej dla rozwoju infrastruktury cyfrowej UE, zwiększenia jej odporności, wzmocnienia zdolności podmiotów UE i zmniejszenia zależności od dostawców spoza UE, zwłaszcza w dziedzinie obronności; podkreśla potrzebę zapewnienia alternatywnych rozwiązań w zakresie łączności dla konsumentów na obszarach oddalonych i wiejskich;</w:t>
      </w:r>
    </w:p>
    <w:p w14:paraId="07A68A73" w14:textId="60D0EEAB" w:rsidR="00CD5F3D" w:rsidRPr="00F11FB3" w:rsidRDefault="00227E2A" w:rsidP="00CD5F3D">
      <w:pPr>
        <w:pStyle w:val="NormalHanging12a"/>
      </w:pPr>
      <w:r>
        <w:t>48</w:t>
      </w:r>
      <w:r w:rsidR="00CD5F3D" w:rsidRPr="00F11FB3">
        <w:t>.</w:t>
      </w:r>
      <w:r w:rsidR="00CD5F3D" w:rsidRPr="00F11FB3">
        <w:tab/>
        <w:t>podkreśla strategiczną rolę unijnego programu kosmicznego, stanowiącego jeden z filarów suwerenności UE, w zapewnianiu najnowocześniejszych i bezpiecznych usług pozycjonowania, nawigacji i pomiaru czasu na potrzeby Galileo i EGNOS oraz racjonalnych pod względem kosztów usług łączności satelitarnej dla GOVSATCOM; zauważa, że umożliwia to UE i jej państwom członkowskim większą suwerenność w zakresie ich zdolności satelitarnych, w tym geopozycjonowania, obserwacji Ziemi, obserwacji przestrzeni kosmicznej i łączności; z zadowoleniem przyjmuje w szczególności unijne programy GOVSATCOM i IRIS</w:t>
      </w:r>
      <w:r w:rsidR="00CD5F3D" w:rsidRPr="00F11FB3">
        <w:rPr>
          <w:vertAlign w:val="superscript"/>
        </w:rPr>
        <w:t>2</w:t>
      </w:r>
      <w:r w:rsidR="00CD5F3D" w:rsidRPr="00F11FB3">
        <w:t>, których celem jest zapewnienie krótko- i długoterminowej dostępności bezpiecznych, niezawodnych i opłacalnych rządowych usług łączności satelitarnej dla unijnych i krajowych organów publicznych zarządzających misjami i infrastrukturą o kluczowym znaczeniu dla bezpieczeństwa;</w:t>
      </w:r>
    </w:p>
    <w:p w14:paraId="1B1A1E12" w14:textId="4A610E02" w:rsidR="00CD5F3D" w:rsidRPr="00F11FB3" w:rsidRDefault="00227E2A" w:rsidP="00CD5F3D">
      <w:pPr>
        <w:pStyle w:val="NormalHanging12a"/>
      </w:pPr>
      <w:r>
        <w:t>49</w:t>
      </w:r>
      <w:r w:rsidR="00CD5F3D" w:rsidRPr="00F11FB3">
        <w:t>.</w:t>
      </w:r>
      <w:r w:rsidR="00CD5F3D" w:rsidRPr="00F11FB3">
        <w:tab/>
        <w:t>wyraża ubolewanie z powodu silnego uzależnienia od danych spoza UE w zakresie śledzenia i nadzoru obiektów kosmicznych; podkreśla, że Europa musi pilnie wzmocnić własne zdolności i infrastrukturę w zakresie orientacji sytuacyjnej w przestrzeni kosmicznej w celu zapewnienia otwartej autonomii strategicznej i bezpieczeństwa; wzywa Komisję i państwa członkowskie, aby znacznie zwiększyły inwestycje w należące do UE zasoby służące do nadzoru i śledzenia oraz aby opracowały skuteczne mechanizmy wymiany informacji między państwami członkowskimi, co umożliwi Europie niezależne monitorowanie i ochronę krytycznej infrastruktury kosmicznej;</w:t>
      </w:r>
    </w:p>
    <w:p w14:paraId="5400462B" w14:textId="08632E2F" w:rsidR="00CD5F3D" w:rsidRPr="00F11FB3" w:rsidRDefault="00227E2A" w:rsidP="00CD5F3D">
      <w:pPr>
        <w:pStyle w:val="NormalHanging12a"/>
      </w:pPr>
      <w:r>
        <w:t>50</w:t>
      </w:r>
      <w:r w:rsidR="00CD5F3D" w:rsidRPr="00F11FB3">
        <w:t>.</w:t>
      </w:r>
      <w:r w:rsidR="00CD5F3D" w:rsidRPr="00F11FB3">
        <w:tab/>
        <w:t>podkreśla znaczenie zaangażowania sektora prywatnego w technologie rakiet nośnych w celu dalszego przyspieszenia wdrożenia IRIS</w:t>
      </w:r>
      <w:r w:rsidR="00CD5F3D" w:rsidRPr="00F11FB3">
        <w:rPr>
          <w:vertAlign w:val="superscript"/>
        </w:rPr>
        <w:t>2</w:t>
      </w:r>
      <w:r w:rsidR="00CD5F3D" w:rsidRPr="00F11FB3">
        <w:t>; podkreśla znaczenie wspierania silnego i konkurencyjnego europejskiego sektora systemów wynoszących poprzez większe zaangażowanie sektora prywatnego i wsparcie dla sektorów wyższego i niższego szczebla; wzywa Komisję do promowania europejskiej polityki przemysłu kosmicznego, która wzmocni suwerenność w zakresie technologii i usług kosmicznych poprzez zmniejszenie strategicznych zależności i poprawę zarządzania operacyjnego europejskimi programami kosmicznymi;</w:t>
      </w:r>
    </w:p>
    <w:p w14:paraId="2990D137" w14:textId="5FEF712D" w:rsidR="00CD5F3D" w:rsidRPr="00F11FB3" w:rsidRDefault="00227E2A" w:rsidP="00CD5F3D">
      <w:pPr>
        <w:pStyle w:val="NormalHanging12a"/>
      </w:pPr>
      <w:r>
        <w:t>51</w:t>
      </w:r>
      <w:r w:rsidR="00CD5F3D" w:rsidRPr="00F11FB3">
        <w:t>.</w:t>
      </w:r>
      <w:r w:rsidR="00CD5F3D" w:rsidRPr="00F11FB3">
        <w:tab/>
        <w:t xml:space="preserve">w tym celu wzywa do wdrożenia konkretnych środków, które ułatwią świadczenie usług satelitarnych w całej Europie, w tym do określenia wspólnych procedur i </w:t>
      </w:r>
      <w:r w:rsidR="00CD5F3D" w:rsidRPr="00F11FB3">
        <w:lastRenderedPageBreak/>
        <w:t>warunków; apeluje jednocześnie o uczciwą konkurencję oraz jasne i możliwe do wyegzekwowania przepisy dotyczące wszystkich konstelacji satelitów mających dostęp do rynku UE;</w:t>
      </w:r>
    </w:p>
    <w:p w14:paraId="33B6EC8B" w14:textId="7FD5BCB6" w:rsidR="00CD5F3D" w:rsidRPr="00F11FB3" w:rsidRDefault="00227E2A" w:rsidP="00CD5F3D">
      <w:pPr>
        <w:pStyle w:val="NormalHanging12a"/>
      </w:pPr>
      <w:r>
        <w:t>52</w:t>
      </w:r>
      <w:r w:rsidR="00CD5F3D" w:rsidRPr="00F11FB3">
        <w:t>.</w:t>
      </w:r>
      <w:r w:rsidR="00CD5F3D" w:rsidRPr="00F11FB3">
        <w:tab/>
        <w:t>zauważa, że obecnie występuje kilka problemów związanych z opóźnieniami w sieciach satelitarnych i uznaje, że integracja sieci satelitarnych z technologiami 5G, a w przyszłości 6G, ma kluczowe znaczenie dla zwiększenia zasięgu i niezawodności sieci naziemnych;</w:t>
      </w:r>
    </w:p>
    <w:p w14:paraId="0B9D67DE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Obliczenia wielkiej skali (HPC)</w:t>
      </w:r>
    </w:p>
    <w:p w14:paraId="30A65B2F" w14:textId="45B58B80" w:rsidR="00CD5F3D" w:rsidRPr="00F11FB3" w:rsidRDefault="00BC4316" w:rsidP="00CD5F3D">
      <w:pPr>
        <w:pStyle w:val="NormalHanging12a"/>
      </w:pPr>
      <w:r>
        <w:t>53</w:t>
      </w:r>
      <w:r w:rsidR="00CD5F3D" w:rsidRPr="00F11FB3">
        <w:t>.</w:t>
      </w:r>
      <w:r w:rsidR="00CD5F3D" w:rsidRPr="00F11FB3">
        <w:tab/>
        <w:t xml:space="preserve">zwraca uwagę na postępy poczynione w ostatnich latach w zwiększaniu wydajności obliczeń wielkiej skali; wzywa Komisję do ciągłej integracji i zwiększania mocy obliczeniowej w unijnych ośrodkach HPC, a w szczególności do usprawnienia szkolenia modeli sztucznej inteligencji i przygotowania się na przyszłe postępy w dziedzinie obliczeń superkomputerowych; </w:t>
      </w:r>
    </w:p>
    <w:p w14:paraId="7904E201" w14:textId="60B5913A" w:rsidR="00CD5F3D" w:rsidRPr="00F11FB3" w:rsidRDefault="00BC4316" w:rsidP="00CD5F3D">
      <w:pPr>
        <w:pStyle w:val="NormalHanging12a"/>
      </w:pPr>
      <w:r>
        <w:t>54</w:t>
      </w:r>
      <w:r w:rsidR="00CD5F3D" w:rsidRPr="00F11FB3">
        <w:t>.</w:t>
      </w:r>
      <w:r w:rsidR="00CD5F3D" w:rsidRPr="00F11FB3">
        <w:tab/>
        <w:t>wzywa Komisję do opracowania skoordynowanej strategii w celu wypełnienia luki między najnowocześniejszą europejską technologią HPC a jej praktycznym, skalowalnym wdrożeniem w różnych gałęziach przemysłu, między innymi poprzez stworzenie publicznej sieci na rzecz obliczeń superkomputerowych; zauważa, że strategia ta powinna wspierać współpracę między instytucjami publicznymi a partnerami z sektora prywatnego, w tym MŚP, tak aby europejskie możliwości w zakresie HPC stały się kluczowym czynnikiem konkurencyjności gospodarczej i suwerenności technologicznej;</w:t>
      </w:r>
    </w:p>
    <w:p w14:paraId="4B5F2897" w14:textId="30915535" w:rsidR="00CD5F3D" w:rsidRPr="00F11FB3" w:rsidRDefault="00BC4316" w:rsidP="00CD5F3D">
      <w:pPr>
        <w:pStyle w:val="NormalHanging12a"/>
      </w:pPr>
      <w:r>
        <w:t>55</w:t>
      </w:r>
      <w:r w:rsidR="00CD5F3D" w:rsidRPr="00F11FB3">
        <w:t>.</w:t>
      </w:r>
      <w:r w:rsidR="00CD5F3D" w:rsidRPr="00F11FB3">
        <w:tab/>
        <w:t>podkreśla, że ośrodki HPC muszą być dostępne dla twórców systemów sztucznej inteligencji ogólnego przeznaczenia, generatywnej sztucznej inteligencji i stosowanej sztucznej inteligencji oraz dla podmiotów je wdrażających; uważa, że należy umożliwić korzystanie z ośrodków EuroHPC do tego typu zastosowań w szczególności MŚP, przedsiębiorstwom typu start-up i przedsiębiorstwom typu scale-up; podkreśla, że musi to być płynnie uzupełnione inicjatywami umożliwiającymi rozwój i wdrażanie sztucznej inteligencji w UE;</w:t>
      </w:r>
    </w:p>
    <w:p w14:paraId="1CA4F5CF" w14:textId="527EA4C0" w:rsidR="00CD5F3D" w:rsidRPr="00F11FB3" w:rsidRDefault="00BC4316" w:rsidP="00CD5F3D">
      <w:pPr>
        <w:pStyle w:val="NormalHanging12a"/>
      </w:pPr>
      <w:r>
        <w:t>56</w:t>
      </w:r>
      <w:r w:rsidR="00CD5F3D" w:rsidRPr="00F11FB3">
        <w:t>.</w:t>
      </w:r>
      <w:r w:rsidR="00CD5F3D" w:rsidRPr="00F11FB3">
        <w:tab/>
        <w:t>z zadowoleniem przyjmuje utworzenie nowych fabryk sztucznej inteligencji; podkreśla, że fabryki sztucznej inteligencji zmodernizują superkomputery EuroHPC, aby zapewnić moc obliczeniową dla sztucznej inteligencji i wspierać przedsiębiorstwa typu start-up i scale-up w szkoleniu i opracowywaniu na dużą skalę godnych zaufania modeli sztucznej inteligencji ogólnego przeznaczenia;</w:t>
      </w:r>
    </w:p>
    <w:p w14:paraId="7F76CE94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 xml:space="preserve">Sprzęt komputerowy: półprzewodniki, czipy i czipy kwantowe </w:t>
      </w:r>
    </w:p>
    <w:p w14:paraId="0BDFEF71" w14:textId="5F833310" w:rsidR="00CD5F3D" w:rsidRPr="00F11FB3" w:rsidRDefault="0023798A" w:rsidP="00CD5F3D">
      <w:pPr>
        <w:pStyle w:val="NormalHanging12a"/>
      </w:pPr>
      <w:r>
        <w:t>57</w:t>
      </w:r>
      <w:r w:rsidR="00CD5F3D" w:rsidRPr="00F11FB3">
        <w:t>.</w:t>
      </w:r>
      <w:r w:rsidR="00CD5F3D" w:rsidRPr="00F11FB3">
        <w:tab/>
        <w:t xml:space="preserve">uważa, że potrzebne są pilne działania w celu pobudzenia krajowej produkcji półprzewodników w UE, poprawy odporności łańcucha dostaw poprzez tworzenie strategicznych globalnych partnerstw, zachęcanie do zakładania nowych przedsiębiorstw i wprowadzania innowacji, wspieranie współpracy transgranicznej w zakresie rozwoju zaawansowanych półprzewodników oraz zapewnianie zachęt finansowych, wsparcia regulacyjnego i dostępu do rynku; </w:t>
      </w:r>
    </w:p>
    <w:p w14:paraId="28F17647" w14:textId="474ADA6F" w:rsidR="00CD5F3D" w:rsidRPr="00F11FB3" w:rsidRDefault="0023798A" w:rsidP="00CD5F3D">
      <w:pPr>
        <w:pStyle w:val="NormalHanging12a"/>
      </w:pPr>
      <w:r>
        <w:t>58</w:t>
      </w:r>
      <w:r w:rsidR="00CD5F3D" w:rsidRPr="00F11FB3">
        <w:t>.</w:t>
      </w:r>
      <w:r w:rsidR="00CD5F3D" w:rsidRPr="00F11FB3">
        <w:tab/>
        <w:t>podkreśla potrzebę pewności prawnej w celu wsparcia rozwoju półprzewodników, zapewnienia bezpiecznych łańcuchów dostaw kluczowych surowców i uniknięcia zakłóceń spowodowanych niepewnością inwestycyjną;</w:t>
      </w:r>
    </w:p>
    <w:p w14:paraId="52534C6C" w14:textId="1DAAA433" w:rsidR="00CD5F3D" w:rsidRPr="00F11FB3" w:rsidRDefault="0023798A" w:rsidP="00CD5F3D">
      <w:pPr>
        <w:pStyle w:val="NormalHanging12a"/>
      </w:pPr>
      <w:r>
        <w:lastRenderedPageBreak/>
        <w:t>59</w:t>
      </w:r>
      <w:r w:rsidR="00CD5F3D" w:rsidRPr="00F11FB3">
        <w:t>.</w:t>
      </w:r>
      <w:r w:rsidR="00CD5F3D" w:rsidRPr="00F11FB3">
        <w:tab/>
        <w:t>apeluje o nadanie najwyższej wagi politycznej kwestii zapewnienia wystarczającej podaży czipów sztucznej inteligencji w UE i o uczynienie z niej centralnego punktu polityki UE w dziedzinie przemysłu cyfrowego; odnotowuje wzrost popytu na czipy sztucznej inteligencji napędzany ich coraz szerszym zastosowaniem w chmurze obliczeniowej, urządzeniach brzegowych, systemach autonomicznych i generatywnej sztucznej inteligencji;</w:t>
      </w:r>
    </w:p>
    <w:p w14:paraId="60A7A1C6" w14:textId="366A0422" w:rsidR="00CD5F3D" w:rsidRPr="00F11FB3" w:rsidRDefault="0023798A" w:rsidP="00CD5F3D">
      <w:pPr>
        <w:pStyle w:val="NormalHanging12a"/>
      </w:pPr>
      <w:r>
        <w:t>60</w:t>
      </w:r>
      <w:r w:rsidR="00CD5F3D" w:rsidRPr="00F11FB3">
        <w:t>.</w:t>
      </w:r>
      <w:r w:rsidR="00CD5F3D" w:rsidRPr="00F11FB3">
        <w:tab/>
        <w:t>wzywa Komisję, aby zareagowała na nowe realia geopolityczne i wykorzystywanie cyfrowych łańcuchów dostaw jako narzędzi nacisku; wzywa Komisję do wynegocjowania rozwiązania kwestii amerykańskiego zakazu eksportu czipów sztucznej inteligencji do 16 państw członkowskich UE;</w:t>
      </w:r>
    </w:p>
    <w:p w14:paraId="19F62144" w14:textId="1C2D4A65" w:rsidR="00CD5F3D" w:rsidRPr="00F11FB3" w:rsidRDefault="0023798A" w:rsidP="00CD5F3D">
      <w:pPr>
        <w:pStyle w:val="NormalHanging12a"/>
      </w:pPr>
      <w:r>
        <w:t>61</w:t>
      </w:r>
      <w:r w:rsidR="00CD5F3D" w:rsidRPr="00F11FB3">
        <w:t>.</w:t>
      </w:r>
      <w:r w:rsidR="00CD5F3D" w:rsidRPr="00F11FB3">
        <w:tab/>
        <w:t>wzywa Komisję, aby podczas przeglądu aktu w sprawie czipów priorytetowo potraktowała zaawansowane czipy sztucznej inteligencji, w tym ich projektowanie i produkcję; wzywa Komisję, aby jeszcze w tym roku przedstawiła ten przegląd, w ramach którego zaprezentuje długoterminową strategię zakorzenioną w obecnych realiach geopolitycznych, budującą strategiczną niezbędność Europy poprzez przywództwo technologiczne, odpowiednie zdolności produkcyjne i silny ekosystem badawczo-rozwojowy, co będzie miało zasadnicze znaczenie dla zabezpieczenia suwerenności Europy w coraz bardziej niespokojnych czasach; uważa, że kluczowe znaczenie ma wzmocnienie interakcji między badaniami naukowymi, szkoleniami, dostawcami i solidną infrastrukturą publiczną, aby przyspieszyć drogę od badań, rozwoju i testowania do wytwarzania z wykorzystaniem pełni możliwości produkcyjnych;</w:t>
      </w:r>
    </w:p>
    <w:p w14:paraId="1266FC9B" w14:textId="108BC775" w:rsidR="00CD5F3D" w:rsidRPr="00F11FB3" w:rsidRDefault="0023798A" w:rsidP="00CD5F3D">
      <w:pPr>
        <w:pStyle w:val="NormalHanging12a"/>
      </w:pPr>
      <w:r>
        <w:t>62</w:t>
      </w:r>
      <w:r w:rsidR="00CD5F3D" w:rsidRPr="00F11FB3">
        <w:t>.</w:t>
      </w:r>
      <w:r w:rsidR="00CD5F3D" w:rsidRPr="00F11FB3">
        <w:tab/>
        <w:t>uważa, że jeżeli UE chce przyspieszyć wprowadzanie na rynek unijnych innowacji przemysłowych w dziedzinie technologii kwantowej, powinna zwiększyć wysiłki na rzecz rozwoju czipów kwantowych;</w:t>
      </w:r>
    </w:p>
    <w:p w14:paraId="13F5840D" w14:textId="5D6F80E9" w:rsidR="00CD5F3D" w:rsidRPr="00F11FB3" w:rsidRDefault="0023798A" w:rsidP="00CD5F3D">
      <w:pPr>
        <w:pStyle w:val="NormalHanging12a"/>
      </w:pPr>
      <w:r>
        <w:t>63</w:t>
      </w:r>
      <w:r w:rsidR="00CD5F3D" w:rsidRPr="00F11FB3">
        <w:t>.</w:t>
      </w:r>
      <w:r w:rsidR="00CD5F3D" w:rsidRPr="00F11FB3">
        <w:tab/>
        <w:t>wzywa Komisję do wspierania produkcji w UE powszechnie stosowanych czipów, np. czipów do urządzeń elektronicznych i samochodów; apeluje o wsparcie prac nad czipami, które zmniejszają zużycie energii w sektorze cyfrowym;</w:t>
      </w:r>
    </w:p>
    <w:p w14:paraId="4CD7B3F9" w14:textId="19B14755" w:rsidR="00CD5F3D" w:rsidRPr="00F11FB3" w:rsidRDefault="0023798A" w:rsidP="00CD5F3D">
      <w:pPr>
        <w:pStyle w:val="NormalHanging12a"/>
      </w:pPr>
      <w:r>
        <w:t>64</w:t>
      </w:r>
      <w:r w:rsidR="00CD5F3D" w:rsidRPr="00F11FB3">
        <w:t>.</w:t>
      </w:r>
      <w:r w:rsidR="00CD5F3D" w:rsidRPr="00F11FB3">
        <w:tab/>
        <w:t>podkreśla potrzebę wspierania wydajności gospodarki o obiegu zamkniętym i przypomina, że produkty technologii informacyjno-komunikacyjnych i inne urządzenia elektroniczne należą do priorytetowych grup produktów w planie prac, który ma zostać przyjęty do kwietnia 2025 r. na mocy rozporządzenia (UE) 2024/1781</w:t>
      </w:r>
      <w:r w:rsidR="00CD5F3D" w:rsidRPr="00F11FB3">
        <w:rPr>
          <w:rStyle w:val="FootnoteReference"/>
        </w:rPr>
        <w:footnoteReference w:id="27"/>
      </w:r>
      <w:r w:rsidR="00CD5F3D" w:rsidRPr="00F11FB3">
        <w:t>;</w:t>
      </w:r>
    </w:p>
    <w:p w14:paraId="0A203BB7" w14:textId="410A55CE" w:rsidR="00CD5F3D" w:rsidRPr="00F11FB3" w:rsidRDefault="0023798A" w:rsidP="00CD5F3D">
      <w:pPr>
        <w:pStyle w:val="NormalHanging12a"/>
      </w:pPr>
      <w:r>
        <w:t>65</w:t>
      </w:r>
      <w:r w:rsidR="00CD5F3D" w:rsidRPr="00F11FB3">
        <w:t>.</w:t>
      </w:r>
      <w:r w:rsidR="00CD5F3D" w:rsidRPr="00F11FB3">
        <w:tab/>
        <w:t xml:space="preserve">uważa, że w przyszłych WRF należy przeznaczyć dodatkowe środki na rozwój zdolności produkcyjnych w zakresie półprzewodników oraz inne technologie i procesy półprzewodnikowe nowej generacji (np. czipy fotoniczne, czipy o szerokim paśmie wzbronionym, a także projektowanie, produkcję, testowanie, montaż i zaawansowaną technologię instalacji w obudowie) w UE; </w:t>
      </w:r>
    </w:p>
    <w:p w14:paraId="119F904F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Usługi w chmurze</w:t>
      </w:r>
    </w:p>
    <w:p w14:paraId="316FDC59" w14:textId="448A9614" w:rsidR="00CD5F3D" w:rsidRPr="00F11FB3" w:rsidRDefault="00336F92" w:rsidP="00CD5F3D">
      <w:pPr>
        <w:pStyle w:val="NormalHanging12a"/>
      </w:pPr>
      <w:r>
        <w:lastRenderedPageBreak/>
        <w:t>66</w:t>
      </w:r>
      <w:r w:rsidR="00CD5F3D" w:rsidRPr="00F11FB3">
        <w:t>.</w:t>
      </w:r>
      <w:r w:rsidR="00CD5F3D" w:rsidRPr="00F11FB3">
        <w:tab/>
        <w:t>przyznaje, że na rynku istnieje zapotrzebowanie na suwerenne rozwiązania, które oferują zwiększony poziom kontroli nad danymi w odniesieniu do niektórych kategorii danych wrażliwych i zwraca uwagę na ryzyko związane z poleganiem na pojedynczych dominujących dostawcach; apeluje o opracowanie strategii ograniczania zależności od zagranicznych dostawców usług w chmurze przy jednoczesnym wspieraniu europejskich alternatyw;</w:t>
      </w:r>
    </w:p>
    <w:p w14:paraId="2B651E45" w14:textId="13AC59BB" w:rsidR="00CD5F3D" w:rsidRPr="00F11FB3" w:rsidRDefault="00336F92" w:rsidP="00CD5F3D">
      <w:pPr>
        <w:pStyle w:val="NormalHanging12a"/>
      </w:pPr>
      <w:r>
        <w:t>67</w:t>
      </w:r>
      <w:r w:rsidR="00CD5F3D" w:rsidRPr="00F11FB3">
        <w:t>.</w:t>
      </w:r>
      <w:r w:rsidR="00CD5F3D" w:rsidRPr="00F11FB3">
        <w:tab/>
        <w:t>zauważa, że dyskusje na temat unijnego systemu certyfikacji cyberbezpieczeństwa usług w chmurze nie przyniosły żadnych rezultatów; zwraca uwagę, że istnieją względy suwerennościowe, w szczególności związane z eksterytorialnością wiążących systemów prawnych, których nie można rozwiązać w drodze dyskusji technicznych; wzywa Komisję, aby w planowanym akcie w sprawie rozwoju chmury i sztucznej inteligencji zaproponowała definicję suwerennej chmury i zakres jej stosowania;</w:t>
      </w:r>
    </w:p>
    <w:p w14:paraId="61471209" w14:textId="55FB13F4" w:rsidR="00CD5F3D" w:rsidRPr="00F11FB3" w:rsidRDefault="00336F92" w:rsidP="00CD5F3D">
      <w:pPr>
        <w:pStyle w:val="NormalHanging12a"/>
      </w:pPr>
      <w:r>
        <w:t>68</w:t>
      </w:r>
      <w:r w:rsidR="00CD5F3D" w:rsidRPr="00F11FB3">
        <w:t>.</w:t>
      </w:r>
      <w:r w:rsidR="00CD5F3D" w:rsidRPr="00F11FB3">
        <w:tab/>
        <w:t>zauważa potrzebę zabezpieczenia przechowywania danych i mocy obliczeniowej oraz infrastruktury przetwarzania rozproszonego; wzywa Komisję do zapewnienia użytkownikom usług w chmurze możliwości wyboru rozwiązań spełniających ich potrzeby poprzez pilne usunięcie barier utrudniających zmianę i dywersyfikację dostawców za pomocą strategii wielochmurowych oraz poprzez wspieranie konkurencyjnego europejskiego rynku usług w chmurze, aby zmniejszyć zależność od pojedynczych dostawców i zwiększyć suwerenność cyfrową;</w:t>
      </w:r>
    </w:p>
    <w:p w14:paraId="7E8BBC5B" w14:textId="1C395A40" w:rsidR="00CD5F3D" w:rsidRPr="00F11FB3" w:rsidRDefault="00336F92" w:rsidP="00CD5F3D">
      <w:pPr>
        <w:pStyle w:val="NormalHanging12a"/>
      </w:pPr>
      <w:r>
        <w:t>69</w:t>
      </w:r>
      <w:r w:rsidR="00CD5F3D" w:rsidRPr="00F11FB3">
        <w:t>.</w:t>
      </w:r>
      <w:r w:rsidR="00CD5F3D" w:rsidRPr="00F11FB3">
        <w:tab/>
        <w:t>wzywa Komisję do wykorzystania inicjatyw takich jak 8ra i IPCEI CIS w celu rozwoju zdecentralizowanej infrastruktury chmurowej i brzegowej, gdyż umożliwiają suwerenność i pomagają zmniejszyć zależność od zagranicznych dostawców i zapewnić odporność przy jednoczesnym zwiększeniu elastyczności operacyjnej w Europie;</w:t>
      </w:r>
    </w:p>
    <w:p w14:paraId="51C5EE23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Systemy sztucznej inteligencji</w:t>
      </w:r>
    </w:p>
    <w:p w14:paraId="314D90F4" w14:textId="5F47FE39" w:rsidR="00CD5F3D" w:rsidRPr="00F11FB3" w:rsidRDefault="00C515BD" w:rsidP="00CD5F3D">
      <w:pPr>
        <w:pStyle w:val="NormalHanging12a"/>
      </w:pPr>
      <w:r>
        <w:t>70</w:t>
      </w:r>
      <w:r w:rsidR="00CD5F3D" w:rsidRPr="00F11FB3">
        <w:t>.</w:t>
      </w:r>
      <w:r w:rsidR="00CD5F3D" w:rsidRPr="00F11FB3">
        <w:tab/>
        <w:t>z zadowoleniem przyjmuje inicjatywę InvestAI, w tym gigafabryki sztucznej inteligencji; podkreśla, że Europa musi stać się światowym liderem w szkoleniu modeli sztucznej inteligencji, badaniach naukowych i postępach w dziedzinie obliczeń kwantowych; zobowiązuje się do dalszego wspierania rozwoju sztucznej inteligencji poprzez uruchamianie inicjatyw takich jak fabryki sztucznej inteligencji w celu zapewnienia mocy obliczeniowej przedsiębiorstwom typu start-up i scale-up oraz naukowcom;</w:t>
      </w:r>
    </w:p>
    <w:p w14:paraId="07BEAB20" w14:textId="67F0BAA7" w:rsidR="00CD5F3D" w:rsidRPr="00F11FB3" w:rsidRDefault="00C515BD" w:rsidP="00CD5F3D">
      <w:pPr>
        <w:pStyle w:val="NormalHanging12a"/>
      </w:pPr>
      <w:r>
        <w:t>71</w:t>
      </w:r>
      <w:r w:rsidR="00CD5F3D" w:rsidRPr="00F11FB3">
        <w:t>.</w:t>
      </w:r>
      <w:r w:rsidR="00CD5F3D" w:rsidRPr="00F11FB3">
        <w:tab/>
        <w:t>wzywa Komisję, aby nadal wspierała projektowanie i rozwój europejskiej sztucznej inteligencji oraz aby przyjęła strategie polityczne i środki, które umożliwią europejskim sektorom przemysłowym czerpanie korzyści z danych i wdrażania sztucznej inteligencji;</w:t>
      </w:r>
    </w:p>
    <w:p w14:paraId="38B78CDE" w14:textId="193592BB" w:rsidR="00CD5F3D" w:rsidRPr="00F11FB3" w:rsidRDefault="00C515BD" w:rsidP="00CD5F3D">
      <w:pPr>
        <w:pStyle w:val="NormalHanging12a"/>
      </w:pPr>
      <w:r>
        <w:t>72</w:t>
      </w:r>
      <w:r w:rsidR="00CD5F3D" w:rsidRPr="00F11FB3">
        <w:t>.</w:t>
      </w:r>
      <w:r w:rsidR="00CD5F3D" w:rsidRPr="00F11FB3">
        <w:tab/>
        <w:t>podkreśla, że opóźnione wdrażanie innowacji opartych na sztucznej inteligencji utrudnia postęp technologiczny, konkurencyjność rynkową i transformację cyfrową w UE;</w:t>
      </w:r>
    </w:p>
    <w:p w14:paraId="74A3FADC" w14:textId="374ABF4A" w:rsidR="00CD5F3D" w:rsidRPr="00F11FB3" w:rsidRDefault="00C515BD" w:rsidP="00CD5F3D">
      <w:pPr>
        <w:pStyle w:val="NormalHanging12a"/>
      </w:pPr>
      <w:r>
        <w:t>73</w:t>
      </w:r>
      <w:r w:rsidR="00CD5F3D" w:rsidRPr="00F11FB3">
        <w:t>.</w:t>
      </w:r>
      <w:r w:rsidR="00CD5F3D" w:rsidRPr="00F11FB3">
        <w:tab/>
        <w:t xml:space="preserve">oczekuje, że model finansowania publiczno-prywatnego odblokuje bezprecedensowe inwestycje prywatne w sztuczną inteligencję, co otworzy dostęp do superkomputerów dla przedsiębiorstw typu start-up oraz przemysłu; </w:t>
      </w:r>
    </w:p>
    <w:p w14:paraId="51DBBE6F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Technologie kwantowe</w:t>
      </w:r>
    </w:p>
    <w:p w14:paraId="7625938B" w14:textId="49994BEE" w:rsidR="00CD5F3D" w:rsidRPr="00F11FB3" w:rsidRDefault="008C4857" w:rsidP="00CD5F3D">
      <w:pPr>
        <w:pStyle w:val="NormalHanging12a"/>
      </w:pPr>
      <w:r>
        <w:lastRenderedPageBreak/>
        <w:t>74</w:t>
      </w:r>
      <w:r w:rsidR="00CD5F3D" w:rsidRPr="00F11FB3">
        <w:t>.</w:t>
      </w:r>
      <w:r w:rsidR="00CD5F3D" w:rsidRPr="00F11FB3">
        <w:tab/>
        <w:t>dostrzega pilną potrzebę określenia jasnego planu rozwoju technologii kwantowej, w tym obliczeń kwantowych i szyfrowania kwantowego, aby zagwarantować, że inwestycje publiczne i prywatne doprowadzą do konkretnych zastosowań komercyjnych;</w:t>
      </w:r>
    </w:p>
    <w:p w14:paraId="1A9A38EE" w14:textId="1902BF55" w:rsidR="00CD5F3D" w:rsidRPr="00F11FB3" w:rsidRDefault="008C4857" w:rsidP="00CD5F3D">
      <w:pPr>
        <w:pStyle w:val="NormalHanging12a"/>
      </w:pPr>
      <w:r>
        <w:t>75</w:t>
      </w:r>
      <w:r w:rsidR="00CD5F3D" w:rsidRPr="00F11FB3">
        <w:t>.</w:t>
      </w:r>
      <w:r w:rsidR="00CD5F3D" w:rsidRPr="00F11FB3">
        <w:tab/>
        <w:t xml:space="preserve">wzywa Komisję do przeprowadzenia oceny istniejących krajowych ram dotyczących kwantowego środowiska testowego oraz sposobu, w jaki obowiązujące przepisy mają do nich zastosowanie, aby zapobiec fragmentacji rynku; z zadowoleniem przyjmuje ogłoszenie strategii kwantowej i aktu kwantowego w przedstawionym przez Komisję Kompasie konkurencyjności; </w:t>
      </w:r>
    </w:p>
    <w:p w14:paraId="2986B8A3" w14:textId="1972D980" w:rsidR="00CD5F3D" w:rsidRPr="00F11FB3" w:rsidRDefault="008C4857" w:rsidP="00CD5F3D">
      <w:pPr>
        <w:pStyle w:val="NormalHanging12a"/>
      </w:pPr>
      <w:r>
        <w:t>76</w:t>
      </w:r>
      <w:r w:rsidR="00CD5F3D" w:rsidRPr="00F11FB3">
        <w:t>.</w:t>
      </w:r>
      <w:r w:rsidR="00CD5F3D" w:rsidRPr="00F11FB3">
        <w:tab/>
        <w:t>wzywa Komisję do zadbania o to, aby akt kwantowy, któremu towarzyszy ocena skutków, zapewnił Europie pozycję wiodącego regionu w zakresie doskonałości i innowacji kwantowych dzięki inwestycjom w badania, rozwój i innowacje, mobilizowaniu funduszy w celu zwiększenia skali europejskiego ekosystemu kwantowego oraz zdolności i produkcji w dziedzinie technologii kwantowych, a także zapewnieniu komercjalizacji wiodących europejskich badań kwantowych w Europie; podkreśla, że akt ten powinien umożliwić wymierne zastosowania technologiczne poprzez wspieranie polityk, które przyspieszają dojrzałość technologiczną i ułatwiają przejście od badań do sukcesu komercyjnego;</w:t>
      </w:r>
    </w:p>
    <w:p w14:paraId="30660534" w14:textId="660ED120" w:rsidR="00CD5F3D" w:rsidRPr="00F11FB3" w:rsidRDefault="008C4857" w:rsidP="00CD5F3D">
      <w:pPr>
        <w:pStyle w:val="NormalHanging12a"/>
      </w:pPr>
      <w:r>
        <w:t>77</w:t>
      </w:r>
      <w:r w:rsidR="00CD5F3D" w:rsidRPr="00F11FB3">
        <w:t>.</w:t>
      </w:r>
      <w:r w:rsidR="00CD5F3D" w:rsidRPr="00F11FB3">
        <w:tab/>
        <w:t>wzywa do ukierunkowanych inwestycji, współpracy branżowej i ram regulacyjnych, które wspierają rozwój, skalowanie i wprowadzanie na rynek technologii kwantowych w kluczowych sektorach;</w:t>
      </w:r>
    </w:p>
    <w:p w14:paraId="54E27A60" w14:textId="6179995B" w:rsidR="00CD5F3D" w:rsidRPr="00F11FB3" w:rsidRDefault="008C4857" w:rsidP="00CD5F3D">
      <w:pPr>
        <w:pStyle w:val="NormalHanging12a"/>
      </w:pPr>
      <w:r>
        <w:t>78</w:t>
      </w:r>
      <w:r w:rsidR="00CD5F3D" w:rsidRPr="00F11FB3">
        <w:t>.</w:t>
      </w:r>
      <w:r w:rsidR="00CD5F3D" w:rsidRPr="00F11FB3">
        <w:tab/>
        <w:t>wzywa do skoordynowanej strategii UE w zakresie kryptografii postkwantowej w celu ochrony danych przed przyszłymi zagrożeniami cyberbezpieczeństwa;</w:t>
      </w:r>
    </w:p>
    <w:p w14:paraId="0F7D9097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Ośrodki przetwarzania danych</w:t>
      </w:r>
    </w:p>
    <w:p w14:paraId="5F20B0EB" w14:textId="10FD2502" w:rsidR="00CD5F3D" w:rsidRPr="00F11FB3" w:rsidRDefault="00AD26E3" w:rsidP="00CD5F3D">
      <w:pPr>
        <w:pStyle w:val="NormalHanging12a"/>
      </w:pPr>
      <w:r>
        <w:t>79</w:t>
      </w:r>
      <w:r w:rsidR="00CD5F3D" w:rsidRPr="00F11FB3">
        <w:t>.</w:t>
      </w:r>
      <w:r w:rsidR="00CD5F3D" w:rsidRPr="00F11FB3">
        <w:tab/>
        <w:t xml:space="preserve">wzywa Komisję Europejską do wspierania ekosystemów udostępniania danych branżowych w sektorach przemysłowych, co będzie zachęcać do współpracy i stymulować innowacje, przy jednoczesnym utrzymaniu suwerenności danych i zapewnieniu zgodności z przepisami europejskimi, jak określono w akcie w sprawie danych; wzywa Komisję do zdecydowanego egzekwowania przepisów w celu zadbania o to, aby dominujące podmioty na rynku nie narzucały MŚP i średnim przedsiębiorstwom nieuczciwych warunków dostępu do danych i ich udostępniania; </w:t>
      </w:r>
    </w:p>
    <w:p w14:paraId="04300CD4" w14:textId="5A81753F" w:rsidR="00CD5F3D" w:rsidRPr="00F11FB3" w:rsidRDefault="00AD26E3" w:rsidP="00CD5F3D">
      <w:pPr>
        <w:pStyle w:val="NormalHanging12a"/>
      </w:pPr>
      <w:r>
        <w:t>80</w:t>
      </w:r>
      <w:r w:rsidR="00CD5F3D" w:rsidRPr="00F11FB3">
        <w:t>.</w:t>
      </w:r>
      <w:r w:rsidR="00CD5F3D" w:rsidRPr="00F11FB3">
        <w:tab/>
        <w:t>uważa, że istnieje potrzeba zapewnienia wzajemnie połączonej infrastruktury, która umożliwiłaby ośrodkom przetwarzania danych wydajną współpracę w ramach wspólnych standardów z szybką łącznością, przy jednoczesnym utrzymaniu elastyczności, bezpieczeństwa i skalowalności; uważa, że ten połączony system pomógłby w zapewnieniu rozproszonej redundancji, tak aby dane i usługi pozostały dostępne nawet w przypadku awarii ośrodka przetwarzania danych;</w:t>
      </w:r>
    </w:p>
    <w:p w14:paraId="4268D23E" w14:textId="337BE294" w:rsidR="00CD5F3D" w:rsidRPr="00F11FB3" w:rsidRDefault="00AD26E3" w:rsidP="00CD5F3D">
      <w:pPr>
        <w:pStyle w:val="NormalHanging12a"/>
      </w:pPr>
      <w:r>
        <w:t>81</w:t>
      </w:r>
      <w:r w:rsidR="00CD5F3D" w:rsidRPr="00F11FB3">
        <w:t>.</w:t>
      </w:r>
      <w:r w:rsidR="00CD5F3D" w:rsidRPr="00F11FB3">
        <w:tab/>
        <w:t xml:space="preserve">wzywa Komisję do priorytetowego traktowania interoperacyjności między platformami, umożliwiającej płynną integrację danych między przedsiębiorstwami i sektorami, zgodnie z wymogami aktu w sprawie danych, który nakłada obowiązki w zakresie przenoszenia danych i interoperacyjności usług w chmurze i usług przetwarzania brzegowego; podkreśla potrzebę stanowczego egzekwowania tych przepisów, aby zapobiec uzależnieniu od jednego dostawcy i zadbać o to, by europejskie ekosystemy </w:t>
      </w:r>
      <w:r w:rsidR="00CD5F3D" w:rsidRPr="00F11FB3">
        <w:lastRenderedPageBreak/>
        <w:t>przemysłowe mogły wykorzystywać innowacje oparte na danych bez barier technicznych lub umownych;</w:t>
      </w:r>
    </w:p>
    <w:p w14:paraId="4A567B53" w14:textId="32B028CD" w:rsidR="00CD5F3D" w:rsidRPr="00F11FB3" w:rsidRDefault="00AD26E3" w:rsidP="00CD5F3D">
      <w:pPr>
        <w:pStyle w:val="NormalHanging12a"/>
      </w:pPr>
      <w:r>
        <w:t>82</w:t>
      </w:r>
      <w:r w:rsidR="00CD5F3D" w:rsidRPr="00F11FB3">
        <w:t>.</w:t>
      </w:r>
      <w:r w:rsidR="00CD5F3D" w:rsidRPr="00F11FB3">
        <w:tab/>
        <w:t>przypomina o planie Komisji, aby do 2030 r. ośrodki przetwarzania danych były neutralne dla klimatu i wysoce energooszczędne; dostrzega potrzebę lepszej integracji ośrodków przetwarzania danych z systemem energetycznym poprzez skoncentrowanie się na ponownym wykorzystaniu ciepła i świadczeniu usług elastyczności na potrzeby sieci elektroenergetycznej; zwraca uwagę na potrzebę zachęcania do badań nad chłodzeniem i energooszczędnymi procesorami, przy czym szczególną uwagę należy zwrócić na wspieranie ośrodków przetwarzania danych w UE; wzywa Komisję do zapewnienia jasnego i spójnego wdrożenia istniejących wymogów prawnych dla operatorów ośrodków przetwarzania danych w prawodawstwie UE i państwach członkowskich;</w:t>
      </w:r>
    </w:p>
    <w:p w14:paraId="72C60115" w14:textId="2B19FC91" w:rsidR="00CD5F3D" w:rsidRPr="00F11FB3" w:rsidRDefault="00AD26E3" w:rsidP="00CD5F3D">
      <w:pPr>
        <w:pStyle w:val="NormalHanging12a"/>
      </w:pPr>
      <w:r>
        <w:t>83</w:t>
      </w:r>
      <w:r w:rsidR="00CD5F3D" w:rsidRPr="00F11FB3">
        <w:t>.</w:t>
      </w:r>
      <w:r w:rsidR="00CD5F3D" w:rsidRPr="00F11FB3">
        <w:tab/>
        <w:t>wzywa Komisję i państwa członkowskie do zwiększenia i ukierunkowania inwestycji publicznych oraz do pobudzenia inwestycji prywatnych w infrastrukturę cyfrową, aby umożliwić rozwój i modernizację ośrodków przetwarzania danych;</w:t>
      </w:r>
    </w:p>
    <w:p w14:paraId="31246BFB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Kable podmorskie</w:t>
      </w:r>
    </w:p>
    <w:p w14:paraId="5D4F3EA5" w14:textId="1EFB1414" w:rsidR="00CD5F3D" w:rsidRPr="00F11FB3" w:rsidRDefault="003D5F10" w:rsidP="00CD5F3D">
      <w:pPr>
        <w:pStyle w:val="NormalHanging12a"/>
      </w:pPr>
      <w:r>
        <w:t>84</w:t>
      </w:r>
      <w:r w:rsidR="00CD5F3D" w:rsidRPr="00F11FB3">
        <w:t>.</w:t>
      </w:r>
      <w:r w:rsidR="00CD5F3D" w:rsidRPr="00F11FB3">
        <w:tab/>
        <w:t>wzywa Komisję do podjęcia skoordynowanych działań w celu ochrony kabli podmorskich oraz zwiększenia ich bezpieczeństwa i możliwości ich naprawy; podkreśla potrzebę ciągłych inwestycji w nowe kable podmorskie w celu zapewnienia nadmiarowych zdolności; przyjmuje z zadowoleniem rolę UE we współfinansowaniu takich projektów mających poprawić infrastrukturę cyfrową i łączność we wszystkich państwach członkowskich; wzywa Komisję do zbadania potencjalnych synergii między konserwacją cyfrowej i energetycznej infrastruktury podmorskiej;</w:t>
      </w:r>
    </w:p>
    <w:p w14:paraId="44231E34" w14:textId="213E0F18" w:rsidR="00CD5F3D" w:rsidRPr="00F11FB3" w:rsidRDefault="003D5F10" w:rsidP="00CD5F3D">
      <w:pPr>
        <w:pStyle w:val="NormalHanging12a"/>
      </w:pPr>
      <w:r>
        <w:t>85</w:t>
      </w:r>
      <w:r w:rsidR="00CD5F3D" w:rsidRPr="00F11FB3">
        <w:t>.</w:t>
      </w:r>
      <w:r w:rsidR="00CD5F3D" w:rsidRPr="00F11FB3">
        <w:tab/>
        <w:t>podkreśla znaczenie poprawy zdolności naprawczych UE i państw członkowskich oraz mechanizmów reagowania na zaburzenia w działaniu kabli podmorskich, które to mechanizmy są niezbędne do utrzymania bezpiecznej i nieprzerwanej łączności; podkreśla znaczenie współpracy międzynarodowej w naprawianiu uszkodzonych kabli i ułatwianiu niezbędnych inwestycji, a także apeluje o utworzenie unijnej floty naprawczej szybkiego reagowania, aby zapewnić szybkie przywrócenie gotowości do pracy i ciągłość operacyjną w przypadku zakłóceń; wzywa Komisję do przeprowadzenia oceny środków regulacyjnych w celu zapewnienia sprawiedliwego dostępu i bezpieczeństwa, niezależnie od tego, czy dana infrastruktura jest własnością prywatną czy publiczną;</w:t>
      </w:r>
    </w:p>
    <w:p w14:paraId="124A77B3" w14:textId="64D5DEAA" w:rsidR="00CD5F3D" w:rsidRPr="00F11FB3" w:rsidRDefault="003D5F10" w:rsidP="00CD5F3D">
      <w:pPr>
        <w:pStyle w:val="NormalHanging12a"/>
      </w:pPr>
      <w:r>
        <w:t>86</w:t>
      </w:r>
      <w:r w:rsidR="00CD5F3D" w:rsidRPr="00F11FB3">
        <w:t>.</w:t>
      </w:r>
      <w:r w:rsidR="00CD5F3D" w:rsidRPr="00F11FB3">
        <w:tab/>
        <w:t>wyraża zadowolenie z powodu przyjęcia planu działania na rzecz bezpieczeństwa kabli, który będzie zorganizowany wokół czterech filarów: zapobieganie, wykrywanie, reagowanie i naprawa oraz odstraszanie; podkreśla znaczenie pełnego i terminowego wdrożenia tego planu; w obecnym kontekście geopolitycznym apeluje o zwiększenie inwestycji w technologie wzmacniające bezpieczeństwo i odporność infrastruktury podmorskiej i morskiej;</w:t>
      </w:r>
    </w:p>
    <w:p w14:paraId="4DDEDA74" w14:textId="7BCBFC84" w:rsidR="00CD5F3D" w:rsidRPr="00F11FB3" w:rsidRDefault="003D5F10" w:rsidP="00CD5F3D">
      <w:pPr>
        <w:pStyle w:val="NormalHanging12a"/>
      </w:pPr>
      <w:r>
        <w:t>87</w:t>
      </w:r>
      <w:r w:rsidR="00CD5F3D" w:rsidRPr="00F11FB3">
        <w:t>.</w:t>
      </w:r>
      <w:r w:rsidR="00CD5F3D" w:rsidRPr="00F11FB3">
        <w:tab/>
        <w:t xml:space="preserve">wzywa Komisję do wspierania działalności badawczo-innowacyjnej umożliwiającej opracowanie zaawansowanych innowacji technologicznych, które zwiększą bezpieczeństwo kabli, w tym systemów wczesnego ostrzegania i systemów oceny zagrożenia opartych na sztucznej inteligencji; </w:t>
      </w:r>
    </w:p>
    <w:p w14:paraId="796F7877" w14:textId="5BA34F35" w:rsidR="00CD5F3D" w:rsidRPr="00F11FB3" w:rsidRDefault="003D5F10" w:rsidP="00CD5F3D">
      <w:pPr>
        <w:pStyle w:val="NormalHanging12a"/>
      </w:pPr>
      <w:r>
        <w:lastRenderedPageBreak/>
        <w:t>88</w:t>
      </w:r>
      <w:r w:rsidR="00CD5F3D" w:rsidRPr="00F11FB3">
        <w:t>.</w:t>
      </w:r>
      <w:r w:rsidR="00CD5F3D" w:rsidRPr="00F11FB3">
        <w:tab/>
        <w:t xml:space="preserve">wzywa Komisję do dokonania przeglądu dostępnych instrumentów mających na celu lepsze wykorzystanie prywatnych inwestycji do wsparcia projektów kablowych o znaczeniu europejskim; wzywa Komisję do włączenia projektów dotyczących kabli podmorskich do wykazu ważnych projektów stanowiących przedmiot wspólnego europejskiego zainteresowania (IPCEI); uznaje potrzebę usprawnienia i uproszczenia procedury składania wniosków i procedur administracyjnych dotyczących IPCEI; </w:t>
      </w:r>
    </w:p>
    <w:p w14:paraId="446D75C0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Cyberbezpieczeństwo</w:t>
      </w:r>
    </w:p>
    <w:p w14:paraId="364B1ECB" w14:textId="23229CD1" w:rsidR="00CD5F3D" w:rsidRPr="00F11FB3" w:rsidRDefault="00AC7FE7" w:rsidP="00CD5F3D">
      <w:pPr>
        <w:pStyle w:val="NormalHanging12a"/>
      </w:pPr>
      <w:r>
        <w:t>89</w:t>
      </w:r>
      <w:r w:rsidR="00CD5F3D" w:rsidRPr="00F11FB3">
        <w:t>.</w:t>
      </w:r>
      <w:r w:rsidR="00CD5F3D" w:rsidRPr="00F11FB3">
        <w:tab/>
        <w:t>przypomina o przeprowadzonych w poprzedniej kadencji parlamentarnej pracach legislacyjnych mających na celu znaczną poprawę cyberbezpieczeństwa w UE; z zadowoleniem przyjmuje w szczególności przyjęcie aktu dotyczącego cyberodporności, aktu o cybersolidarności i dyrektywy NIS 2; podkreśla potrzebę zharmonizowanego i terminowego wdrażania i egzekwowania tych środków;</w:t>
      </w:r>
    </w:p>
    <w:p w14:paraId="7AE915A1" w14:textId="01E6BB5F" w:rsidR="00CD5F3D" w:rsidRPr="00F11FB3" w:rsidRDefault="00AC7FE7" w:rsidP="00CD5F3D">
      <w:pPr>
        <w:pStyle w:val="NormalHanging12a"/>
      </w:pPr>
      <w:r>
        <w:t>90</w:t>
      </w:r>
      <w:r w:rsidR="00CD5F3D" w:rsidRPr="00F11FB3">
        <w:t>.</w:t>
      </w:r>
      <w:r w:rsidR="00CD5F3D" w:rsidRPr="00F11FB3">
        <w:tab/>
        <w:t xml:space="preserve">wzywa Komisję do przedstawienia sprawozdania oceniającego akt o cyberbezpieczeństwie oraz do zaproponowania aktu ustawodawczego w celu jego przeglądu, aby wzmocnić unijne ramy cyberbezpieczeństwa, ze szczególnym uwzględnieniem wzajemnych zależności między suwerennością a bezpieczeństwem; wzywa ponadto Komisję do wzmocnienia ochrony infrastruktury strategicznej i krytycznej oraz do zapobiegania obcym ingerencjom ze strony podmiotów podlegających przepisom eksterytorialnym, a także do przyspieszenia procesu przyjmowania unijnych systemów certyfikacji cyberbezpieczeństwa; apeluje o rozszerzenie mandatu ENISA na koordynację reagowania kryzysowego, nadzór nad certyfikacją cyberbezpieczeństwa infrastruktury krytycznej oraz zapewnienie jednolitego wdrażania norm cyberbezpieczeństwa na całym jednolitym rynku; </w:t>
      </w:r>
    </w:p>
    <w:p w14:paraId="5AEFB10E" w14:textId="0BAEDCE5" w:rsidR="00CD5F3D" w:rsidRPr="00F11FB3" w:rsidRDefault="00AC7FE7" w:rsidP="00CD5F3D">
      <w:pPr>
        <w:pStyle w:val="NormalHanging12a"/>
      </w:pPr>
      <w:r>
        <w:t>91</w:t>
      </w:r>
      <w:r w:rsidR="00CD5F3D" w:rsidRPr="00F11FB3">
        <w:t>.</w:t>
      </w:r>
      <w:r w:rsidR="00CD5F3D" w:rsidRPr="00F11FB3">
        <w:tab/>
        <w:t>podkreśla znaczenie przyszłej europejskiej strategii bezpieczeństwa wewnętrznego dla wzmocnienia cyberbezpieczeństwa i ochrony infrastruktury krytycznej;</w:t>
      </w:r>
    </w:p>
    <w:p w14:paraId="386851C2" w14:textId="4E5CE534" w:rsidR="00CD5F3D" w:rsidRPr="00F11FB3" w:rsidRDefault="00AC7FE7" w:rsidP="00CD5F3D">
      <w:pPr>
        <w:pStyle w:val="NormalHanging12a"/>
      </w:pPr>
      <w:r>
        <w:t>92</w:t>
      </w:r>
      <w:r w:rsidR="00CD5F3D" w:rsidRPr="00F11FB3">
        <w:t>.</w:t>
      </w:r>
      <w:r w:rsidR="00CD5F3D" w:rsidRPr="00F11FB3">
        <w:tab/>
        <w:t>z niepokojem zauważa, że zgodnie z drugim sprawozdaniem z postępów państw członkowskich we wdrażaniu unijnego zestawu narzędzi dotyczących cyberbezpieczeństwa sieci 5G 14 państw członkowskich nie wdrożyło jeszcze żadnych ograniczeń dotyczących dostawców wysokiego ryzyka, co stwarza poważne luki w zakresie ochrony; wzywa do pełnego wdrożenia unijnego zestawu narzędzi na potrzeby cyberbezpieczeństwa sieci 5G w celu zmniejszenia zależności od dostawców wysokiego ryzyka; wzywa Komisję, aby nadała temu zestawowi narzędzi wiążący charakter, w szczególności w odniesieniu do dostawców wysokiego ryzyka w infrastrukturze krytycznej;</w:t>
      </w:r>
    </w:p>
    <w:p w14:paraId="151559FE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Uproszczenie</w:t>
      </w:r>
    </w:p>
    <w:p w14:paraId="6F2A28EE" w14:textId="5CD1EC92" w:rsidR="00CD5F3D" w:rsidRPr="00F11FB3" w:rsidRDefault="00081EE3" w:rsidP="00CD5F3D">
      <w:pPr>
        <w:pStyle w:val="NormalHanging12a"/>
      </w:pPr>
      <w:r>
        <w:t>93</w:t>
      </w:r>
      <w:r w:rsidR="00CD5F3D" w:rsidRPr="00F11FB3">
        <w:t>.</w:t>
      </w:r>
      <w:r w:rsidR="00CD5F3D" w:rsidRPr="00F11FB3">
        <w:tab/>
        <w:t xml:space="preserve">zauważa, że aby osiągnąć prawdziwą suwerenność technologiczną, UE musi dysponować realnymi alternatywami komercyjnymi; podkreśla, że UE musi pilnie przeprowadzić kompleksowy program uproszczenia procedur i ograniczenia biurokracji, by stworzyć środowisko sprzyjające innowacjom, które będzie w stanie wspierać konkurencyjne europejskie alternatywy wobec dominujących globalnych podmiotów cyfrowych; podkreśla, że nadmierne obciążenia administracyjne, rozdrobnione ramy regulacyjne, niekompletny jednolity rynek cyfrowy i zbyt skomplikowane procedury zgodności w nieproporcjonalny sposób wpływają na europejskie przedsiębiorstwa typu start-up, scale-up i MŚP, ograniczając ich zdolność do konkurowania na szczeblu globalnym; stwierdza, że w związku z tym UE powinna </w:t>
      </w:r>
      <w:r w:rsidR="00CD5F3D" w:rsidRPr="00F11FB3">
        <w:lastRenderedPageBreak/>
        <w:t>priorytetowo traktować usprawnienie regulacyjne i pogłębienie jednolitego rynku cyfrowego, dbając o to, aby prawodawstwo było proporcjonalne, opierało się na innowacjach i nie hamowało rozwoju europejskich rozwiązań technologicznych;</w:t>
      </w:r>
    </w:p>
    <w:p w14:paraId="3F71337D" w14:textId="7C6D9525" w:rsidR="00CD5F3D" w:rsidRPr="00F11FB3" w:rsidRDefault="00081EE3" w:rsidP="00CD5F3D">
      <w:pPr>
        <w:pStyle w:val="NormalHanging12a"/>
      </w:pPr>
      <w:r>
        <w:t>94</w:t>
      </w:r>
      <w:r w:rsidR="00CD5F3D" w:rsidRPr="00F11FB3">
        <w:t>.</w:t>
      </w:r>
      <w:r w:rsidR="00CD5F3D" w:rsidRPr="00F11FB3">
        <w:tab/>
        <w:t>podkreśla potrzebę dostosowania nowych wniosków ustawodawczych do zasad lepszego stanowienia prawa, tak aby każdemu nowemu środkowi z zakresu polityki cyfrowej towarzyszyła ocena skutków, w tym weryfikacja pod kątem konkurencyjności, MŚP i spółek o średniej kapitalizacji, która oceni, czy dany instrument legislacyjny jest konieczny i proporcjonalny i czy nie stwarza niepotrzebnych obciążeń dla przedsiębiorstw, zwłaszcza MŚP, a tym samym jaki jest jego wpływ na konkurencyjność, perspektywy inwestycyjne i dobrostan konsumentów;</w:t>
      </w:r>
    </w:p>
    <w:p w14:paraId="74D11427" w14:textId="12FFB32A" w:rsidR="00CD5F3D" w:rsidRPr="00F11FB3" w:rsidRDefault="00081EE3" w:rsidP="00CD5F3D">
      <w:pPr>
        <w:pStyle w:val="NormalHanging12a"/>
      </w:pPr>
      <w:r>
        <w:t>95</w:t>
      </w:r>
      <w:r w:rsidR="00CD5F3D" w:rsidRPr="00F11FB3">
        <w:t>.</w:t>
      </w:r>
      <w:r w:rsidR="00CD5F3D" w:rsidRPr="00F11FB3">
        <w:tab/>
        <w:t xml:space="preserve">podkreśla, że uproszczenie przepisów UE nie może zagrażać żadnemu z praw podstawowych obywateli i przedsiębiorstw ani osłabiać pewności regulacyjnej; jest zdania, że żadnego wniosku w sprawie uproszczenia nie należy przedstawiać w pośpiechu i bez należytego rozważenia, konsultacji i oceny skutków; </w:t>
      </w:r>
    </w:p>
    <w:p w14:paraId="13FF22E4" w14:textId="76891C82" w:rsidR="00CD5F3D" w:rsidRPr="00F11FB3" w:rsidRDefault="00081EE3" w:rsidP="00CD5F3D">
      <w:pPr>
        <w:pStyle w:val="NormalHanging12a"/>
      </w:pPr>
      <w:r>
        <w:t>96</w:t>
      </w:r>
      <w:r w:rsidR="00CD5F3D" w:rsidRPr="00F11FB3">
        <w:t>.</w:t>
      </w:r>
      <w:r w:rsidR="00CD5F3D" w:rsidRPr="00F11FB3">
        <w:tab/>
        <w:t xml:space="preserve">z zadowoleniem przyjmuje zobowiązanie Komisji do pełnego wdrożenia zasady zmniejszania obciążeń dla przedsiębiorstw w prawodawstwie UE; w związku z tym wzywa Komisję do wzmożenia wysiłków, aby koszty i obciążenia administracyjne dla przedsiębiorstw w związku z jakimikolwiek nowymi wymogami regulacyjnymi wprowadzanymi na szczeblu UE w danym obszarze polityki były znacznie mniejsze niż korzyści płynące z takich wymogów, co pozwoli usunąć bariery wejścia na rynek, a tym samym przyczyni się do wzrostu i rozwoju europejskich przedsiębiorstw; </w:t>
      </w:r>
    </w:p>
    <w:p w14:paraId="3DEA4F15" w14:textId="0517A7A8" w:rsidR="00CD5F3D" w:rsidRPr="00F11FB3" w:rsidRDefault="00081EE3" w:rsidP="00CD5F3D">
      <w:pPr>
        <w:pStyle w:val="NormalHanging12a"/>
      </w:pPr>
      <w:r>
        <w:t>97</w:t>
      </w:r>
      <w:r w:rsidR="00CD5F3D" w:rsidRPr="00F11FB3">
        <w:t>.</w:t>
      </w:r>
      <w:r w:rsidR="00CD5F3D" w:rsidRPr="00F11FB3">
        <w:tab/>
        <w:t>wzywa Komisję do zapewnienia spójnego upraszczania, wdrażania i egzekwowania prawodawstwa cyfrowego UE w ramach pakietu cyfrowego przez doprecyzowanie definicji, usprawnienie procedur sprawozdawczych, ocenę sposobów złagodzenia obowiązków sprawozdawczych oraz zmniejszenie przepaści między przemysłem a rządem;</w:t>
      </w:r>
    </w:p>
    <w:p w14:paraId="60E8B2B1" w14:textId="77879864" w:rsidR="00CD5F3D" w:rsidRPr="00F11FB3" w:rsidRDefault="00081EE3" w:rsidP="00CD5F3D">
      <w:pPr>
        <w:pStyle w:val="NormalHanging12a"/>
      </w:pPr>
      <w:r>
        <w:t>98</w:t>
      </w:r>
      <w:r w:rsidR="00CD5F3D" w:rsidRPr="00F11FB3">
        <w:t>.</w:t>
      </w:r>
      <w:r w:rsidR="00CD5F3D" w:rsidRPr="00F11FB3">
        <w:tab/>
        <w:t>uważa, że kluczem do zwiększenia suwerenności technologicznej jest przekonanie przedsiębiorstw i innowatorów do pozostania w Europie poprzez stworzenie w UE atrakcyjnego i elastycznego środowiska biznesowego; podkreśla w związku z tym, że należy unikać nadmiernej regulacji i obciążeń administracyjnych, a przepisy UE powinny być jasne, spójne, przewidywalne, proporcjonalne i neutralne technologicznie, dzięki czemu środowisko regulacyjne będzie konkurencyjne w skali globalnej; uważa, że nowe metody udzielania zamówień publicznych oraz rozwój piaskownic regulacyjnych i stanowisk badawczych powinny również przyczynić się do stworzenia ram sprzyjających innowacjom;</w:t>
      </w:r>
    </w:p>
    <w:p w14:paraId="5A1C16E0" w14:textId="27EE35A8" w:rsidR="00CD5F3D" w:rsidRPr="00F11FB3" w:rsidRDefault="00081EE3" w:rsidP="00CD5F3D">
      <w:pPr>
        <w:pStyle w:val="NormalHanging12a"/>
      </w:pPr>
      <w:r>
        <w:t>99</w:t>
      </w:r>
      <w:r w:rsidR="00CD5F3D" w:rsidRPr="00F11FB3">
        <w:t>.</w:t>
      </w:r>
      <w:r w:rsidR="00CD5F3D" w:rsidRPr="00F11FB3">
        <w:tab/>
        <w:t>przyjmuje z zadowoleniem wniosek Komisji dotyczący 28. systemu prawnego, uznając, że jednolity, zharmonizowany zbiór ogólnounijnych przepisów będzie przełomowy dla inwestycji i innowacji cyfrowych; uważa, że zmniejszenie fragmentacji regulacyjnej w 27 krajowych systemach prawnych pobudzi inwestycje prywatne, obniży koszty zapewnienia zgodności z przepisami i przyspieszy wdrażanie infrastruktury cyfrowej oraz produktów i usług cyfrowych nowej generacji; zachęca Komisję do dopilnowania, aby ramy te odnosiły się konkretnie do barier regulacyjnych w sektorze cyfrowym, takich jak wydawanie pozwoleń czy transgraniczne przepływy danych, tak aby stworzyć prawdziwie jednolity rynek cyfrowy;</w:t>
      </w:r>
    </w:p>
    <w:p w14:paraId="02A682C5" w14:textId="788D3549" w:rsidR="00CD5F3D" w:rsidRPr="00F11FB3" w:rsidRDefault="00081EE3" w:rsidP="00CD5F3D">
      <w:pPr>
        <w:pStyle w:val="NormalHanging12a"/>
      </w:pPr>
      <w:r>
        <w:lastRenderedPageBreak/>
        <w:t>100</w:t>
      </w:r>
      <w:r w:rsidR="00CD5F3D" w:rsidRPr="00F11FB3">
        <w:t>.</w:t>
      </w:r>
      <w:r w:rsidR="00CD5F3D" w:rsidRPr="00F11FB3">
        <w:tab/>
        <w:t>wzywa Komisję do utworzenia jednego punktu kontaktowego celem uproszczenia procesu składania wniosków o dostęp sektora prywatnego do unijnych mechanizmów finansowania, tak aby przedsiębiorstwa prywatne, MŚP i przedsiębiorstwa typu start-up mogły łatwiej uczestniczyć w programach inwestycji cyfrowych;</w:t>
      </w:r>
    </w:p>
    <w:p w14:paraId="48F3688D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Energia</w:t>
      </w:r>
    </w:p>
    <w:p w14:paraId="3CFED0C7" w14:textId="5C4227C1" w:rsidR="00CD5F3D" w:rsidRPr="00F11FB3" w:rsidRDefault="002C34D0" w:rsidP="00CD5F3D">
      <w:pPr>
        <w:pStyle w:val="NormalHanging12a"/>
      </w:pPr>
      <w:r>
        <w:t>101</w:t>
      </w:r>
      <w:r w:rsidR="00CD5F3D" w:rsidRPr="00F11FB3">
        <w:t>.</w:t>
      </w:r>
      <w:r w:rsidR="00CD5F3D" w:rsidRPr="00F11FB3">
        <w:tab/>
        <w:t>podkreśla, że ośrodki przetwarzania danych będą wywierać dodatkową presję na sieci elektroenergetyczne, w związku z czym konieczne jest ich wzmocnienie poprzez inwestycje wyprzedzające; podkreśla, że centra danych mogą również pomóc w stabilizacji sieci poprzez przyczynienie się do elastyczności po stronie popytu; apeluje o wprowadzenie środków zachęcających do takiego wkładu w oparciu o zmienione przepisy dotyczące europejskiego rynku energii elektrycznej;</w:t>
      </w:r>
    </w:p>
    <w:p w14:paraId="169C2DD3" w14:textId="70FC093A" w:rsidR="00CD5F3D" w:rsidRPr="00F11FB3" w:rsidRDefault="002C34D0" w:rsidP="00CD5F3D">
      <w:pPr>
        <w:pStyle w:val="NormalHanging12a"/>
      </w:pPr>
      <w:r>
        <w:t>102</w:t>
      </w:r>
      <w:r w:rsidR="00CD5F3D" w:rsidRPr="00F11FB3">
        <w:t>.</w:t>
      </w:r>
      <w:r w:rsidR="00CD5F3D" w:rsidRPr="00F11FB3">
        <w:tab/>
        <w:t>wzywa Komisję i państwa członkowskie do zaproponowania i wdrożenia instrumentów, które zapewnią uporządkowane planowanie rosnącego zapotrzebowania ośrodków przetwarzania danych na energię z , aby ułatwić ich strategiczne rozmieszczenie w pobliżu dostępnych źródeł energii, a tym samym zminimalizować zależność od szerszej infrastruktury sieciowej;</w:t>
      </w:r>
    </w:p>
    <w:p w14:paraId="0096AEBB" w14:textId="0FFAE86A" w:rsidR="00CD5F3D" w:rsidRPr="00F11FB3" w:rsidRDefault="002C34D0" w:rsidP="00CD5F3D">
      <w:pPr>
        <w:pStyle w:val="NormalHanging12a"/>
      </w:pPr>
      <w:r>
        <w:t>103</w:t>
      </w:r>
      <w:r w:rsidR="00CD5F3D" w:rsidRPr="00F11FB3">
        <w:t>.</w:t>
      </w:r>
      <w:r w:rsidR="00CD5F3D" w:rsidRPr="00F11FB3">
        <w:tab/>
        <w:t>zwraca uwagę, że światłowód jest bardziej energooszczędny w porównaniu z tradycyjnymi sieciami miedzianymi; uznaje znaczenie zmniejszenia zużycia energii w transmisji danych oraz zapewnienia długoterminowej stabilności i wydajności;</w:t>
      </w:r>
    </w:p>
    <w:p w14:paraId="2FB9DC74" w14:textId="27B2E52E" w:rsidR="00CD5F3D" w:rsidRPr="00F11FB3" w:rsidRDefault="002C34D0" w:rsidP="00CD5F3D">
      <w:pPr>
        <w:pStyle w:val="NormalHanging12a"/>
      </w:pPr>
      <w:r>
        <w:t>104</w:t>
      </w:r>
      <w:r w:rsidR="00CD5F3D" w:rsidRPr="00F11FB3">
        <w:t>.</w:t>
      </w:r>
      <w:r w:rsidR="00CD5F3D" w:rsidRPr="00F11FB3">
        <w:tab/>
        <w:t>wzywa Komisję do zapewnienia niezawodnych i wystarczających dostaw czystej energii i technologii neutralnej emisyjnie w celu wsparcia infrastruktury cyfrowej przyszłości;</w:t>
      </w:r>
    </w:p>
    <w:p w14:paraId="084B218A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Umiejętności</w:t>
      </w:r>
    </w:p>
    <w:p w14:paraId="4552707B" w14:textId="150ED1CE" w:rsidR="00CD5F3D" w:rsidRPr="00F11FB3" w:rsidRDefault="006572EC" w:rsidP="00CD5F3D">
      <w:pPr>
        <w:pStyle w:val="NormalHanging12a"/>
      </w:pPr>
      <w:r>
        <w:t>105</w:t>
      </w:r>
      <w:r w:rsidR="00CD5F3D" w:rsidRPr="00F11FB3">
        <w:t>.</w:t>
      </w:r>
      <w:r w:rsidR="00CD5F3D" w:rsidRPr="00F11FB3">
        <w:tab/>
        <w:t xml:space="preserve">podkreśla, że aby osiągnąć strategiczne cele UE, pilnie potrzebujemy bardziej wykwalifikowanych specjalistów w obszarach cyfrowych; wzywa państwa członkowskie do opracowania krajowych strategii i zachęt, aby zatrzymać europejskie talenty i przyciągnąć najlepszych na świecie specjalistów w dziedzinie technologii cyfrowych, co wzmocni zdolności innowacyjne UE i jej wiodącą pozycję technologiczną; </w:t>
      </w:r>
    </w:p>
    <w:p w14:paraId="06B1E981" w14:textId="7493993C" w:rsidR="00CD5F3D" w:rsidRPr="00F11FB3" w:rsidRDefault="006572EC" w:rsidP="00CD5F3D">
      <w:pPr>
        <w:pStyle w:val="NormalHanging12a"/>
      </w:pPr>
      <w:r>
        <w:t>106</w:t>
      </w:r>
      <w:r w:rsidR="00CD5F3D" w:rsidRPr="00F11FB3">
        <w:t>.</w:t>
      </w:r>
      <w:r w:rsidR="00CD5F3D" w:rsidRPr="00F11FB3">
        <w:tab/>
        <w:t>podkreśla, że zlikwidowanie niedoboru umiejętności w dziedzinie technologii cyfrowych oraz nauk przyrodniczych, technologii, inżynierii i matematyki ma duże znaczenie dla zwiększenia odporności technologicznej, zdolności innowacyjnych i otwartej strategicznej autonomii; wzywa państwa członkowskie do zwiększenia inwestycji w edukację cyfrową oraz podnoszenie i zmianę kwalifikacji, zwłaszcza w obszarach kluczowych dla transformacji ekologicznej i cyfrowej; popiera priorytetowe traktowanie inwestycji, które rozwiązują problem niedoboru umiejętności cyfrowych, zwłaszcza w dziedzinie sztucznej inteligencji, cyberbezpieczeństwa, analizy danych i czystych technologii, aby wspierać innowacje i suwerenność technologiczną;</w:t>
      </w:r>
    </w:p>
    <w:p w14:paraId="7257A851" w14:textId="5D6A84FC" w:rsidR="00CD5F3D" w:rsidRPr="00F11FB3" w:rsidRDefault="006572EC" w:rsidP="00CD5F3D">
      <w:pPr>
        <w:pStyle w:val="NormalHanging12a"/>
      </w:pPr>
      <w:r>
        <w:t>107</w:t>
      </w:r>
      <w:r w:rsidR="00CD5F3D" w:rsidRPr="00F11FB3">
        <w:t>.</w:t>
      </w:r>
      <w:r w:rsidR="00CD5F3D" w:rsidRPr="00F11FB3">
        <w:tab/>
        <w:t xml:space="preserve">apeluje o skoordynowane strategie na szczeblu krajowym w celu poprawy dostępu do wysokiej jakości edukacji w zakresie nauk przyrodniczych, technologii, inżynierii i matematyki, promowania uczenia się przez całe życie i przyciągania talentów do ICT i powiązanych dziedzin; zachęca do tworzenia partnerstw między instytucjami </w:t>
      </w:r>
      <w:r w:rsidR="00CD5F3D" w:rsidRPr="00F11FB3">
        <w:lastRenderedPageBreak/>
        <w:t>publicznymi, przemysłem i organizatorami kształcenia, aby dostosować programy nauczania do zmieniających się potrzeb rynku;</w:t>
      </w:r>
    </w:p>
    <w:p w14:paraId="27E11CF2" w14:textId="5A7CB0DB" w:rsidR="00CD5F3D" w:rsidRPr="00F11FB3" w:rsidRDefault="006572EC" w:rsidP="00CD5F3D">
      <w:pPr>
        <w:pStyle w:val="NormalHanging12a"/>
      </w:pPr>
      <w:r>
        <w:t>108</w:t>
      </w:r>
      <w:r w:rsidR="00CD5F3D" w:rsidRPr="00F11FB3">
        <w:t>.</w:t>
      </w:r>
      <w:r w:rsidR="00CD5F3D" w:rsidRPr="00F11FB3">
        <w:tab/>
        <w:t>apeluje o zintensyfikowanie wysiłków na rzecz poprawy umiejętności cyfrowych we wszystkich grupach demograficznych, ze szczególnym uwzględnieniem wczesnej edukacji w zakresie nauk przyrodniczych, technologii, inżynierii i matematyki, kształcenia i szkolenia zawodowego oraz uczenia się przez całe życie w zakresie technologii cyfrowych; zaleca dostosowanie krajowych strategii kształcenia i szkolenia do celu cyfrowej dekady UE, zgodnie z którym do 2030 r. 80 % ludności powinno mieć podstawowe umiejętności cyfrowe, ze szczególnym uwzględnieniem polityki uwzględniającej aspekt płci w celu zwiększenia udziału kobiet w takich dziedzinach jak ICT, nauki przyrodnicze, technologia, inżynieria i matematyka; wzywa instytucje UE do podjęcia konkretnych kroków w celu wypełnienia zobowiązań, o których mowa w Europejskiej deklaracji praw i zasad cyfrowych w cyfrowej dekadzie, zarówno w ramach UE, jak i w ramach współpracy Unii z państwami trzecimi;</w:t>
      </w:r>
    </w:p>
    <w:p w14:paraId="02202A96" w14:textId="7C999E51" w:rsidR="00CD5F3D" w:rsidRPr="00F11FB3" w:rsidRDefault="006572EC" w:rsidP="00CD5F3D">
      <w:pPr>
        <w:pStyle w:val="NormalHanging12a"/>
      </w:pPr>
      <w:r>
        <w:t>109</w:t>
      </w:r>
      <w:r w:rsidR="00CD5F3D" w:rsidRPr="00F11FB3">
        <w:t>.</w:t>
      </w:r>
      <w:r w:rsidR="00CD5F3D" w:rsidRPr="00F11FB3">
        <w:tab/>
        <w:t>popiera ustanowienie wspólnych unijnych ram certyfikacji umiejętności cyfrowych i technicznych, aby ułatwić uznawanie i przenoszenie kwalifikacji między państwami członkowskimi;</w:t>
      </w:r>
    </w:p>
    <w:p w14:paraId="270E7896" w14:textId="2C5B84AF" w:rsidR="00CD5F3D" w:rsidRPr="00F11FB3" w:rsidRDefault="006572EC" w:rsidP="00CD5F3D">
      <w:pPr>
        <w:pStyle w:val="NormalHanging12a"/>
      </w:pPr>
      <w:r>
        <w:t>110</w:t>
      </w:r>
      <w:r w:rsidR="00CD5F3D" w:rsidRPr="00F11FB3">
        <w:t>.</w:t>
      </w:r>
      <w:r w:rsidR="00CD5F3D" w:rsidRPr="00F11FB3">
        <w:tab/>
        <w:t xml:space="preserve">zachęca Europejski Bank Inwestycyjny i krajowe instytucje prorozwojowe, aby wspierały zatrzymywanie talentów cyfrowych poprzez współinwestowanie w europejskie przedsiębiorstwa typu start-up w dziedzinie najbardziej zaawansowanych technologii, aby zagwarantować, że innowacje finansowane przez UE pozostaną w regionie i przyczynią się do suwerenności technologicznej Europy; </w:t>
      </w:r>
    </w:p>
    <w:p w14:paraId="7134DFE5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Badania i innowacje</w:t>
      </w:r>
    </w:p>
    <w:p w14:paraId="147E3706" w14:textId="4DFDFFC5" w:rsidR="00CD5F3D" w:rsidRPr="00F11FB3" w:rsidRDefault="002A0BD3" w:rsidP="00CD5F3D">
      <w:pPr>
        <w:pStyle w:val="NormalHanging12a"/>
      </w:pPr>
      <w:r>
        <w:t>111</w:t>
      </w:r>
      <w:r w:rsidR="00CD5F3D" w:rsidRPr="00F11FB3">
        <w:t>.</w:t>
      </w:r>
      <w:r w:rsidR="00CD5F3D" w:rsidRPr="00F11FB3">
        <w:tab/>
        <w:t xml:space="preserve">dostrzega znaczenie wypełnienia luki między badaniami a komercjalizacją i wzywa Komisję do zwiększenia waloryzacji innowacji w UE; </w:t>
      </w:r>
    </w:p>
    <w:p w14:paraId="4911AB22" w14:textId="244A0C5F" w:rsidR="00CD5F3D" w:rsidRPr="00F11FB3" w:rsidRDefault="002A0BD3" w:rsidP="00CD5F3D">
      <w:pPr>
        <w:pStyle w:val="NormalHanging12a"/>
      </w:pPr>
      <w:r>
        <w:t>112</w:t>
      </w:r>
      <w:r w:rsidR="00CD5F3D" w:rsidRPr="00F11FB3">
        <w:t>.</w:t>
      </w:r>
      <w:r w:rsidR="00CD5F3D" w:rsidRPr="00F11FB3">
        <w:tab/>
        <w:t xml:space="preserve">uważa, że zdolność Europy do przekształcania badań w gotowe rozwiązania rynkowe ma kluczowe znaczenie dla budowania niezbędnych zdolności i zmniejszenia zależności od technologii pozaunijnych; </w:t>
      </w:r>
    </w:p>
    <w:p w14:paraId="45DF1BE8" w14:textId="47C97041" w:rsidR="00CD5F3D" w:rsidRPr="00F11FB3" w:rsidRDefault="002A0BD3" w:rsidP="00CD5F3D">
      <w:pPr>
        <w:pStyle w:val="NormalHanging12a"/>
      </w:pPr>
      <w:r>
        <w:t>113</w:t>
      </w:r>
      <w:r w:rsidR="00CD5F3D" w:rsidRPr="00F11FB3">
        <w:t>.</w:t>
      </w:r>
      <w:r w:rsidR="00CD5F3D" w:rsidRPr="00F11FB3">
        <w:tab/>
        <w:t>podkreśla, że należy strategicznie przydzielać środki finansowe, aby przyspieszyć rozwój i wprowadzanie na rynek rozwiązań, które wzmacniają odporność technologiczną Europy i pobudzają innowacje; podkreśla znaczenie sprawniejszej, opartej na doskonałości struktury finansowania, w szczególności dla lepszego przełożenia badań na zastosowania przemysłowe; apeluje o zwiększenie inwestycji w badania naukowe i innowacje w celu wzmocnienia wiedzy i zdolności technologicznych Europy oraz nalega, aby unijne finansowanie badań, rozwoju i innowacji opierało się na otwartej konkurencji i doskonałości;</w:t>
      </w:r>
    </w:p>
    <w:p w14:paraId="1B3E63FB" w14:textId="15E43BFE" w:rsidR="00CD5F3D" w:rsidRPr="00F11FB3" w:rsidRDefault="002A0BD3" w:rsidP="00CD5F3D">
      <w:pPr>
        <w:pStyle w:val="NormalHanging12a"/>
      </w:pPr>
      <w:r>
        <w:t>114</w:t>
      </w:r>
      <w:r w:rsidR="00CD5F3D" w:rsidRPr="00F11FB3">
        <w:t>.</w:t>
      </w:r>
      <w:r w:rsidR="00CD5F3D" w:rsidRPr="00F11FB3">
        <w:tab/>
        <w:t>podkreśla potrzebę strategii politycznych wspierających innowacje przemysłowe, w tym ukierunkowanych inwestycji w kluczowe technologie strategiczne, w których Europa może odgrywać wiodącą rolę na świecie, takie jak informatyka kwantowa, w celu zbudowania ekosystemu innowacji;</w:t>
      </w:r>
    </w:p>
    <w:p w14:paraId="438E5FB6" w14:textId="6FDE3299" w:rsidR="00CD5F3D" w:rsidRPr="00F11FB3" w:rsidRDefault="002A0BD3" w:rsidP="00CD5F3D">
      <w:pPr>
        <w:pStyle w:val="NormalHanging12a"/>
      </w:pPr>
      <w:r>
        <w:t>115</w:t>
      </w:r>
      <w:r w:rsidR="00CD5F3D" w:rsidRPr="00F11FB3">
        <w:t>.</w:t>
      </w:r>
      <w:r w:rsidR="00CD5F3D" w:rsidRPr="00F11FB3">
        <w:tab/>
        <w:t xml:space="preserve">uważa, że inwestycje prywatne w badania, rozwój i innowacje mają ogromne znaczenie, i wzywa UE do stworzenia zachęt, które skutecznie pobudzą finansowanie prywatne na </w:t>
      </w:r>
      <w:r w:rsidR="00CD5F3D" w:rsidRPr="00F11FB3">
        <w:lastRenderedPageBreak/>
        <w:t>rzecz rozwoju technologii krytycznych, w tym za pośrednictwem partnerstw publiczno-prywatnych;</w:t>
      </w:r>
    </w:p>
    <w:p w14:paraId="47FAA68D" w14:textId="3A4801AE" w:rsidR="00CD5F3D" w:rsidRPr="00F11FB3" w:rsidRDefault="002A0BD3" w:rsidP="00CD5F3D">
      <w:pPr>
        <w:pStyle w:val="NormalHanging12a"/>
      </w:pPr>
      <w:r>
        <w:t>116</w:t>
      </w:r>
      <w:r w:rsidR="00CD5F3D" w:rsidRPr="00F11FB3">
        <w:t>.</w:t>
      </w:r>
      <w:r w:rsidR="00CD5F3D" w:rsidRPr="00F11FB3">
        <w:tab/>
        <w:t>podkreśla pilną potrzebę silniejszych zachęt w celu zmobilizowania kapitału sektora prywatnego na innowacje oparte na technologii; zachęca państwa członkowskie do wprowadzenia ukierunkowanych zachęt podatkowych, uproszczeń regulacyjnych i instrumentów podziału ryzyka, aby przyciągnąć kapitał private equity do sektora technologii i sektora cyfrowego; podkreśla potrzebę usprawnienia transgranicznych przepływów kapitału w obrębie jednolitego rynku, aby ułatwić innowacyjnym europejskim przedsiębiorstwom typu start-up dostęp do finansowania;</w:t>
      </w:r>
    </w:p>
    <w:p w14:paraId="75D45C77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Normy</w:t>
      </w:r>
    </w:p>
    <w:p w14:paraId="6EEC3AFD" w14:textId="37D99396" w:rsidR="00CD5F3D" w:rsidRPr="00F11FB3" w:rsidRDefault="00CD5F3D" w:rsidP="00CD5F3D">
      <w:pPr>
        <w:pStyle w:val="NormalHanging12a"/>
      </w:pPr>
      <w:r w:rsidRPr="00F11FB3">
        <w:t>11</w:t>
      </w:r>
      <w:r w:rsidR="002A0BD3">
        <w:t>7</w:t>
      </w:r>
      <w:r w:rsidRPr="00F11FB3">
        <w:t>.</w:t>
      </w:r>
      <w:r w:rsidRPr="00F11FB3">
        <w:tab/>
        <w:t>jest głęboko przekonany, że promowanie interoperacyjności i standardów UE ma kluczowe znaczenie dla wspierania konkurencyjności w sektorze technologii, ponieważ zapewnia wzajemne połączenie i współpracę produktów, co sprzyja innowacjom i otwartym rynkom; przypomina, że zarówno interoperacyjność, jak i wspólne standardy technologiczne torują drogę do należytego funkcjonowania jednolitego rynku;</w:t>
      </w:r>
    </w:p>
    <w:p w14:paraId="779FDC31" w14:textId="5E29F8E5" w:rsidR="00CD5F3D" w:rsidRPr="00F11FB3" w:rsidRDefault="00CD5F3D" w:rsidP="00CD5F3D">
      <w:pPr>
        <w:pStyle w:val="NormalHanging12a"/>
      </w:pPr>
      <w:r w:rsidRPr="00F11FB3">
        <w:t>11</w:t>
      </w:r>
      <w:r w:rsidR="002A0BD3">
        <w:t>8</w:t>
      </w:r>
      <w:r w:rsidRPr="00F11FB3">
        <w:t>.</w:t>
      </w:r>
      <w:r w:rsidRPr="00F11FB3">
        <w:tab/>
        <w:t>podkreśla, że Komisja musi zwiększyć swoje zaangażowanie w istniejące globalne struktury normalizacyjne i skupić się na międzynarodowym wdrażaniu norm europejskich poprzez podejście oddolne, unikając centralizacji;</w:t>
      </w:r>
    </w:p>
    <w:p w14:paraId="4ACF2D60" w14:textId="77777777" w:rsidR="00CD5F3D" w:rsidRPr="00F11FB3" w:rsidRDefault="00CD5F3D" w:rsidP="00CD5F3D">
      <w:pPr>
        <w:pStyle w:val="NormalHanging12a"/>
        <w:rPr>
          <w:b/>
          <w:i/>
        </w:rPr>
      </w:pPr>
      <w:r w:rsidRPr="00F11FB3">
        <w:rPr>
          <w:b/>
          <w:i/>
        </w:rPr>
        <w:t>Partnerstwa</w:t>
      </w:r>
    </w:p>
    <w:p w14:paraId="090C932C" w14:textId="777551D7" w:rsidR="00CD5F3D" w:rsidRPr="00F11FB3" w:rsidRDefault="00D51B18" w:rsidP="00CD5F3D">
      <w:pPr>
        <w:pStyle w:val="NormalHanging12a"/>
      </w:pPr>
      <w:r>
        <w:t>119</w:t>
      </w:r>
      <w:r w:rsidR="00CD5F3D" w:rsidRPr="00F11FB3">
        <w:t>.</w:t>
      </w:r>
      <w:r w:rsidR="00CD5F3D" w:rsidRPr="00F11FB3">
        <w:tab/>
        <w:t xml:space="preserve">z zadowoleniem przyjmuje zobowiązanie UE do negocjowania kompleksowych umów o handlu cyfrowym, które ułatwiają rozwijanie bezpiecznej i konkurencyjnej infrastruktury z krajami partnerskimi; zachęca Komisję do zwiększenia wysiłków w negocjacjach kompleksowych umów o handlu cyfrowym z dodatkowymi krajami partnerskimi; </w:t>
      </w:r>
    </w:p>
    <w:p w14:paraId="4276A38D" w14:textId="6AD198F1" w:rsidR="00CD5F3D" w:rsidRPr="00F11FB3" w:rsidRDefault="00D51B18" w:rsidP="00CD5F3D">
      <w:pPr>
        <w:pStyle w:val="NormalHanging12a"/>
      </w:pPr>
      <w:r>
        <w:t>120</w:t>
      </w:r>
      <w:r w:rsidR="00CD5F3D" w:rsidRPr="00F11FB3">
        <w:t>.</w:t>
      </w:r>
      <w:r w:rsidR="00CD5F3D" w:rsidRPr="00F11FB3">
        <w:tab/>
        <w:t>wzywa Komisję do przyspieszenia współpracy technicznej na forach wielostronnych, takich jak G-7, Organizacja Współpracy Gospodarczej i Rozwoju oraz Światowa Organizacja Handlu (WTO), aby opracować globalne standardy dotyczące zarządzania cyfrowego, regulacji dotyczących sztucznej inteligencji, transgranicznych przepływów danych i wschodzących technologii;</w:t>
      </w:r>
    </w:p>
    <w:p w14:paraId="5C6D2446" w14:textId="05E54EDD" w:rsidR="00CD5F3D" w:rsidRPr="00F11FB3" w:rsidRDefault="00D51B18" w:rsidP="00CD5F3D">
      <w:pPr>
        <w:pStyle w:val="NormalHanging12a"/>
      </w:pPr>
      <w:r>
        <w:t>121</w:t>
      </w:r>
      <w:r w:rsidR="00CD5F3D" w:rsidRPr="00F11FB3">
        <w:t>.</w:t>
      </w:r>
      <w:r w:rsidR="00CD5F3D" w:rsidRPr="00F11FB3">
        <w:tab/>
        <w:t>wzywa Komisję do przyspieszenia negocjacji w sprawie trwałego rozwiązania kwestii moratorium WTO na handel elektroniczny, aby zapobiec wprowadzeniu taryf cyfrowych i zapewnić otwarty, przewidywalny i sprzyjający innowacjom międzynarodowy handel cyfrowy;</w:t>
      </w:r>
    </w:p>
    <w:p w14:paraId="62157947" w14:textId="77777777" w:rsidR="00CD5F3D" w:rsidRPr="00F11FB3" w:rsidRDefault="00CD5F3D" w:rsidP="00CD5F3D">
      <w:pPr>
        <w:pStyle w:val="NormalHanging12a"/>
        <w:jc w:val="center"/>
      </w:pPr>
      <w:r w:rsidRPr="00F11FB3">
        <w:t>°</w:t>
      </w:r>
    </w:p>
    <w:p w14:paraId="6CDA8F8D" w14:textId="77777777" w:rsidR="00CD5F3D" w:rsidRPr="00F11FB3" w:rsidRDefault="00CD5F3D" w:rsidP="00CD5F3D">
      <w:pPr>
        <w:pStyle w:val="NormalHanging12a"/>
        <w:jc w:val="center"/>
      </w:pPr>
      <w:r w:rsidRPr="00F11FB3">
        <w:t>°</w:t>
      </w:r>
      <w:r w:rsidRPr="00F11FB3">
        <w:tab/>
        <w:t>°</w:t>
      </w:r>
    </w:p>
    <w:p w14:paraId="6FEE0332" w14:textId="64B871CD" w:rsidR="00E365E1" w:rsidRPr="00F11FB3" w:rsidRDefault="00CD5F3D" w:rsidP="001715F4">
      <w:pPr>
        <w:pStyle w:val="NormalHanging12a"/>
      </w:pPr>
      <w:r w:rsidRPr="00F11FB3">
        <w:t>12</w:t>
      </w:r>
      <w:r w:rsidR="00D51B18">
        <w:t>2</w:t>
      </w:r>
      <w:r w:rsidRPr="00F11FB3">
        <w:t>.</w:t>
      </w:r>
      <w:r w:rsidRPr="00F11FB3">
        <w:tab/>
        <w:t>zobowiązuje swoją przewodniczącą do przekazania niniejszej rezolucji Radzie i Komisji.</w:t>
      </w:r>
    </w:p>
    <w:sectPr w:rsidR="00E365E1" w:rsidRPr="00F11FB3" w:rsidSect="00F11F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8E07A" w14:textId="77777777" w:rsidR="00C53987" w:rsidRPr="00F11FB3" w:rsidRDefault="00C53987">
      <w:r w:rsidRPr="00F11FB3">
        <w:separator/>
      </w:r>
    </w:p>
  </w:endnote>
  <w:endnote w:type="continuationSeparator" w:id="0">
    <w:p w14:paraId="66478498" w14:textId="77777777" w:rsidR="00C53987" w:rsidRPr="00F11FB3" w:rsidRDefault="00C53987">
      <w:r w:rsidRPr="00F11F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EC4D7" w14:textId="77777777" w:rsidR="00C53987" w:rsidRPr="00F11FB3" w:rsidRDefault="00C53987">
      <w:r w:rsidRPr="00F11FB3">
        <w:separator/>
      </w:r>
    </w:p>
  </w:footnote>
  <w:footnote w:type="continuationSeparator" w:id="0">
    <w:p w14:paraId="26A00369" w14:textId="77777777" w:rsidR="00C53987" w:rsidRPr="00F11FB3" w:rsidRDefault="00C53987">
      <w:r w:rsidRPr="00F11FB3">
        <w:continuationSeparator/>
      </w:r>
    </w:p>
  </w:footnote>
  <w:footnote w:id="1">
    <w:p w14:paraId="2C96F709" w14:textId="1E5720D8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 229 z 18.9.2023, s. 1, ELI: </w:t>
      </w:r>
      <w:hyperlink r:id="rId1" w:history="1">
        <w:r w:rsidRPr="00A20678">
          <w:rPr>
            <w:rStyle w:val="Hyperlink"/>
            <w:sz w:val="24"/>
            <w:szCs w:val="24"/>
            <w:lang w:val="pl-PL"/>
          </w:rPr>
          <w:t>http://data.europa.eu/eli/reg/2023/1781/oj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2">
    <w:p w14:paraId="368FCF64" w14:textId="33BBF8F2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 333 z 27.12.2022, s. 80, ELI: </w:t>
      </w:r>
      <w:hyperlink r:id="rId2" w:history="1">
        <w:r w:rsidRPr="00A20678">
          <w:rPr>
            <w:rStyle w:val="Hyperlink"/>
            <w:sz w:val="24"/>
            <w:szCs w:val="24"/>
            <w:lang w:val="pl-PL"/>
          </w:rPr>
          <w:t>http://data.europa.eu/eli/dir/2022/2555/oj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3">
    <w:p w14:paraId="4C7212E6" w14:textId="6EDC3560" w:rsidR="00050C47" w:rsidRPr="00A20678" w:rsidRDefault="00050C47" w:rsidP="001715F4">
      <w:pPr>
        <w:pStyle w:val="FootnoteText"/>
        <w:ind w:left="567" w:hanging="567"/>
        <w:rPr>
          <w:sz w:val="24"/>
          <w:szCs w:val="24"/>
          <w:lang w:val="lt-LT"/>
        </w:rPr>
      </w:pPr>
      <w:r w:rsidRPr="00A20678">
        <w:rPr>
          <w:rStyle w:val="FootnoteReference"/>
          <w:sz w:val="24"/>
          <w:szCs w:val="24"/>
        </w:rPr>
        <w:footnoteRef/>
      </w:r>
      <w:r w:rsidRPr="00F92F0F">
        <w:rPr>
          <w:sz w:val="24"/>
          <w:szCs w:val="24"/>
          <w:lang w:val="pl-PL"/>
        </w:rPr>
        <w:t xml:space="preserve"> </w:t>
      </w:r>
      <w:r w:rsidRPr="00A20678">
        <w:rPr>
          <w:sz w:val="24"/>
          <w:szCs w:val="24"/>
          <w:lang w:val="lt-LT"/>
        </w:rPr>
        <w:tab/>
      </w:r>
      <w:hyperlink r:id="rId3" w:history="1">
        <w:r w:rsidRPr="00F92F0F">
          <w:rPr>
            <w:rStyle w:val="Hyperlink"/>
            <w:sz w:val="24"/>
            <w:szCs w:val="24"/>
            <w:lang w:val="pl-PL"/>
          </w:rPr>
          <w:t>https://www.enisa.europa.eu/publications/foresight-cybersecurity-threats-for-2030-update-2024</w:t>
        </w:r>
      </w:hyperlink>
      <w:r w:rsidRPr="00F92F0F">
        <w:rPr>
          <w:sz w:val="24"/>
          <w:szCs w:val="24"/>
          <w:lang w:val="pl-PL"/>
        </w:rPr>
        <w:t xml:space="preserve">. </w:t>
      </w:r>
    </w:p>
  </w:footnote>
  <w:footnote w:id="4">
    <w:p w14:paraId="4613EEDE" w14:textId="2F87A69E" w:rsidR="00CD5F3D" w:rsidRPr="00F92F0F" w:rsidRDefault="00CD5F3D" w:rsidP="00F11FB3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F92F0F">
        <w:rPr>
          <w:sz w:val="24"/>
          <w:szCs w:val="24"/>
          <w:lang w:val="fi-FI"/>
        </w:rPr>
        <w:t xml:space="preserve"> </w:t>
      </w:r>
      <w:r w:rsidR="00F11FB3" w:rsidRPr="00F92F0F">
        <w:rPr>
          <w:sz w:val="24"/>
          <w:szCs w:val="24"/>
          <w:lang w:val="fi-FI"/>
        </w:rPr>
        <w:tab/>
      </w:r>
      <w:r w:rsidRPr="00F92F0F">
        <w:rPr>
          <w:sz w:val="24"/>
          <w:szCs w:val="24"/>
          <w:lang w:val="fi-FI"/>
        </w:rPr>
        <w:t xml:space="preserve">Dz.U. L, 2024/2847, 20.11.2024, ELI: </w:t>
      </w:r>
      <w:hyperlink r:id="rId4" w:history="1">
        <w:r w:rsidRPr="00F92F0F">
          <w:rPr>
            <w:rStyle w:val="Hyperlink"/>
            <w:sz w:val="24"/>
            <w:szCs w:val="24"/>
            <w:lang w:val="fi-FI"/>
          </w:rPr>
          <w:t>http://data.europa.eu/eli/reg/2024/2847/oj</w:t>
        </w:r>
      </w:hyperlink>
      <w:r w:rsidRPr="00F92F0F">
        <w:rPr>
          <w:sz w:val="24"/>
          <w:szCs w:val="24"/>
          <w:lang w:val="fi-FI"/>
        </w:rPr>
        <w:t xml:space="preserve">. </w:t>
      </w:r>
    </w:p>
  </w:footnote>
  <w:footnote w:id="5">
    <w:p w14:paraId="7EF829B1" w14:textId="77777777" w:rsidR="00050C47" w:rsidRPr="00A20678" w:rsidRDefault="00050C47" w:rsidP="00050C47">
      <w:pPr>
        <w:ind w:left="567" w:hanging="567"/>
        <w:rPr>
          <w:szCs w:val="24"/>
        </w:rPr>
      </w:pPr>
      <w:r w:rsidRPr="00A20678">
        <w:rPr>
          <w:rStyle w:val="FootnoteReference"/>
          <w:szCs w:val="24"/>
        </w:rPr>
        <w:footnoteRef/>
      </w:r>
      <w:r w:rsidRPr="00A20678">
        <w:rPr>
          <w:szCs w:val="24"/>
        </w:rPr>
        <w:t xml:space="preserve"> </w:t>
      </w:r>
      <w:r w:rsidRPr="00A20678">
        <w:rPr>
          <w:szCs w:val="24"/>
        </w:rPr>
        <w:tab/>
        <w:t xml:space="preserve">Dz.U. L 151 z 7.6.2019, s. 15, ELI: </w:t>
      </w:r>
      <w:hyperlink r:id="rId5" w:history="1">
        <w:r w:rsidRPr="00A20678">
          <w:rPr>
            <w:rStyle w:val="Hyperlink"/>
            <w:szCs w:val="24"/>
          </w:rPr>
          <w:t>http://data.europa.eu/eli/reg/2019/881/oj</w:t>
        </w:r>
      </w:hyperlink>
      <w:r w:rsidRPr="00A20678">
        <w:rPr>
          <w:szCs w:val="24"/>
        </w:rPr>
        <w:t xml:space="preserve">. </w:t>
      </w:r>
    </w:p>
  </w:footnote>
  <w:footnote w:id="6">
    <w:p w14:paraId="21DE4F04" w14:textId="59AF0C80" w:rsidR="00CD5F3D" w:rsidRPr="00F92F0F" w:rsidRDefault="00CD5F3D" w:rsidP="00F11FB3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F92F0F">
        <w:rPr>
          <w:sz w:val="24"/>
          <w:szCs w:val="24"/>
          <w:lang w:val="fi-FI"/>
        </w:rPr>
        <w:t xml:space="preserve"> </w:t>
      </w:r>
      <w:r w:rsidR="00F11FB3" w:rsidRPr="00F92F0F">
        <w:rPr>
          <w:sz w:val="24"/>
          <w:szCs w:val="24"/>
          <w:lang w:val="fi-FI"/>
        </w:rPr>
        <w:tab/>
      </w:r>
      <w:r w:rsidRPr="00F92F0F">
        <w:rPr>
          <w:sz w:val="24"/>
          <w:szCs w:val="24"/>
          <w:lang w:val="fi-FI"/>
        </w:rPr>
        <w:t xml:space="preserve">Dz.U. L, 2025/38, 15.1.2025, ELI: </w:t>
      </w:r>
      <w:hyperlink r:id="rId6" w:history="1">
        <w:r w:rsidRPr="00F92F0F">
          <w:rPr>
            <w:rStyle w:val="Hyperlink"/>
            <w:sz w:val="24"/>
            <w:szCs w:val="24"/>
            <w:lang w:val="fi-FI"/>
          </w:rPr>
          <w:t>http://data.europa.eu/eli/reg/2025/38/oj</w:t>
        </w:r>
      </w:hyperlink>
      <w:r w:rsidRPr="00F92F0F">
        <w:rPr>
          <w:sz w:val="24"/>
          <w:szCs w:val="24"/>
          <w:lang w:val="fi-FI"/>
        </w:rPr>
        <w:t xml:space="preserve">. </w:t>
      </w:r>
    </w:p>
  </w:footnote>
  <w:footnote w:id="7">
    <w:p w14:paraId="688A0A44" w14:textId="50B2155B" w:rsidR="00CD5F3D" w:rsidRPr="00F92F0F" w:rsidRDefault="00CD5F3D" w:rsidP="00F11FB3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F92F0F">
        <w:rPr>
          <w:sz w:val="24"/>
          <w:szCs w:val="24"/>
          <w:lang w:val="fi-FI"/>
        </w:rPr>
        <w:t xml:space="preserve"> </w:t>
      </w:r>
      <w:r w:rsidR="00F11FB3" w:rsidRPr="00F92F0F">
        <w:rPr>
          <w:sz w:val="24"/>
          <w:szCs w:val="24"/>
          <w:lang w:val="fi-FI"/>
        </w:rPr>
        <w:tab/>
      </w:r>
      <w:r w:rsidRPr="00F92F0F">
        <w:rPr>
          <w:sz w:val="24"/>
          <w:szCs w:val="24"/>
          <w:lang w:val="fi-FI"/>
        </w:rPr>
        <w:t xml:space="preserve">Dz.U. L, 2025/37, 15.1.2025, ELI: </w:t>
      </w:r>
      <w:hyperlink r:id="rId7" w:history="1">
        <w:r w:rsidRPr="00F92F0F">
          <w:rPr>
            <w:rStyle w:val="Hyperlink"/>
            <w:sz w:val="24"/>
            <w:szCs w:val="24"/>
            <w:lang w:val="fi-FI"/>
          </w:rPr>
          <w:t>http://data.europa.eu/eli/reg/2025/37/oj</w:t>
        </w:r>
      </w:hyperlink>
      <w:r w:rsidRPr="00F92F0F">
        <w:rPr>
          <w:sz w:val="24"/>
          <w:szCs w:val="24"/>
          <w:lang w:val="fi-FI"/>
        </w:rPr>
        <w:t xml:space="preserve">. </w:t>
      </w:r>
    </w:p>
  </w:footnote>
  <w:footnote w:id="8">
    <w:p w14:paraId="12B8CD4A" w14:textId="62C06FC4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323 z 19.12.2022, s. 4, ELI: </w:t>
      </w:r>
      <w:hyperlink r:id="rId8" w:history="1">
        <w:r w:rsidRPr="00A20678">
          <w:rPr>
            <w:rStyle w:val="Hyperlink"/>
            <w:sz w:val="24"/>
            <w:szCs w:val="24"/>
            <w:lang w:val="pl-PL"/>
          </w:rPr>
          <w:t>http://data.europa.eu/eli/dec/2022/2481/oj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9">
    <w:p w14:paraId="3979B3A1" w14:textId="77777777" w:rsidR="00050C47" w:rsidRPr="00F92F0F" w:rsidRDefault="00050C47" w:rsidP="00050C47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Pr="00F92F0F">
        <w:rPr>
          <w:sz w:val="24"/>
          <w:szCs w:val="24"/>
          <w:lang w:val="fi-FI"/>
        </w:rPr>
        <w:t xml:space="preserve"> </w:t>
      </w:r>
      <w:r w:rsidRPr="00F92F0F">
        <w:rPr>
          <w:sz w:val="24"/>
          <w:szCs w:val="24"/>
          <w:lang w:val="fi-FI"/>
        </w:rPr>
        <w:tab/>
        <w:t xml:space="preserve">Dz.U. L, 2024/903, 22.3.2024, ELI: </w:t>
      </w:r>
      <w:hyperlink r:id="rId9" w:history="1">
        <w:r w:rsidRPr="00F92F0F">
          <w:rPr>
            <w:rStyle w:val="Hyperlink"/>
            <w:sz w:val="24"/>
            <w:szCs w:val="24"/>
            <w:lang w:val="fi-FI"/>
          </w:rPr>
          <w:t>http://data.europa.eu/eli/reg/2024/903/oj</w:t>
        </w:r>
      </w:hyperlink>
      <w:r w:rsidRPr="00F92F0F">
        <w:rPr>
          <w:sz w:val="24"/>
          <w:szCs w:val="24"/>
          <w:lang w:val="fi-FI"/>
        </w:rPr>
        <w:t xml:space="preserve">. </w:t>
      </w:r>
    </w:p>
  </w:footnote>
  <w:footnote w:id="10">
    <w:p w14:paraId="111E673C" w14:textId="0DF98229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172 z 26.6.2019, s. 56, ELI: </w:t>
      </w:r>
      <w:hyperlink r:id="rId10" w:history="1">
        <w:r w:rsidRPr="00A20678">
          <w:rPr>
            <w:rStyle w:val="Hyperlink"/>
            <w:sz w:val="24"/>
            <w:szCs w:val="24"/>
            <w:lang w:val="pl-PL"/>
          </w:rPr>
          <w:t>http://data.europa.eu/eli/dir/2019/1024/oj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11">
    <w:p w14:paraId="566B1AEC" w14:textId="698870CF" w:rsidR="00CD5F3D" w:rsidRPr="00F92F0F" w:rsidRDefault="00CD5F3D" w:rsidP="00F11FB3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F92F0F">
        <w:rPr>
          <w:sz w:val="24"/>
          <w:szCs w:val="24"/>
          <w:lang w:val="fi-FI"/>
        </w:rPr>
        <w:t xml:space="preserve"> </w:t>
      </w:r>
      <w:r w:rsidR="00F11FB3" w:rsidRPr="00F92F0F">
        <w:rPr>
          <w:sz w:val="24"/>
          <w:szCs w:val="24"/>
          <w:lang w:val="fi-FI"/>
        </w:rPr>
        <w:tab/>
      </w:r>
      <w:r w:rsidRPr="00F92F0F">
        <w:rPr>
          <w:sz w:val="24"/>
          <w:szCs w:val="24"/>
          <w:lang w:val="fi-FI"/>
        </w:rPr>
        <w:t xml:space="preserve">Dz.U. L, 2024/795, 29.2.2024, ELI: </w:t>
      </w:r>
      <w:hyperlink r:id="rId11" w:history="1">
        <w:r w:rsidRPr="00F92F0F">
          <w:rPr>
            <w:rStyle w:val="Hyperlink"/>
            <w:sz w:val="24"/>
            <w:szCs w:val="24"/>
            <w:lang w:val="fi-FI"/>
          </w:rPr>
          <w:t>http://data.europa.eu/eli/reg/2024/795/oj</w:t>
        </w:r>
      </w:hyperlink>
      <w:r w:rsidRPr="00F92F0F">
        <w:rPr>
          <w:sz w:val="24"/>
          <w:szCs w:val="24"/>
          <w:lang w:val="fi-FI"/>
        </w:rPr>
        <w:t xml:space="preserve">. </w:t>
      </w:r>
    </w:p>
  </w:footnote>
  <w:footnote w:id="12">
    <w:p w14:paraId="482CFE83" w14:textId="77777777" w:rsidR="0022527C" w:rsidRPr="00F92F0F" w:rsidRDefault="0022527C" w:rsidP="0022527C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Pr="00F92F0F">
        <w:rPr>
          <w:sz w:val="24"/>
          <w:szCs w:val="24"/>
          <w:lang w:val="fi-FI"/>
        </w:rPr>
        <w:t xml:space="preserve"> </w:t>
      </w:r>
      <w:r w:rsidRPr="00F92F0F">
        <w:rPr>
          <w:sz w:val="24"/>
          <w:szCs w:val="24"/>
          <w:lang w:val="fi-FI"/>
        </w:rPr>
        <w:tab/>
        <w:t xml:space="preserve">Dz.U. L, 2023/2854, 22.12.2023, ELI: </w:t>
      </w:r>
      <w:hyperlink r:id="rId12" w:history="1">
        <w:r w:rsidRPr="00F92F0F">
          <w:rPr>
            <w:rStyle w:val="Hyperlink"/>
            <w:sz w:val="24"/>
            <w:szCs w:val="24"/>
            <w:lang w:val="fi-FI"/>
          </w:rPr>
          <w:t>http://data.europa.eu/eli/reg/2023/2854/oj</w:t>
        </w:r>
      </w:hyperlink>
      <w:r w:rsidRPr="00F92F0F">
        <w:rPr>
          <w:sz w:val="24"/>
          <w:szCs w:val="24"/>
          <w:lang w:val="fi-FI"/>
        </w:rPr>
        <w:t xml:space="preserve">. </w:t>
      </w:r>
    </w:p>
  </w:footnote>
  <w:footnote w:id="13">
    <w:p w14:paraId="1D00476E" w14:textId="77777777" w:rsidR="0022527C" w:rsidRPr="00F92F0F" w:rsidRDefault="0022527C" w:rsidP="0022527C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Pr="00F92F0F">
        <w:rPr>
          <w:sz w:val="24"/>
          <w:szCs w:val="24"/>
          <w:lang w:val="fi-FI"/>
        </w:rPr>
        <w:t xml:space="preserve"> </w:t>
      </w:r>
      <w:r w:rsidRPr="00F92F0F">
        <w:rPr>
          <w:sz w:val="24"/>
          <w:szCs w:val="24"/>
          <w:lang w:val="fi-FI"/>
        </w:rPr>
        <w:tab/>
        <w:t xml:space="preserve">Dz.U. L, 2024/1309, 8.5.2024, ELI: </w:t>
      </w:r>
      <w:hyperlink r:id="rId13" w:history="1">
        <w:r w:rsidRPr="00F92F0F">
          <w:rPr>
            <w:rStyle w:val="Hyperlink"/>
            <w:sz w:val="24"/>
            <w:szCs w:val="24"/>
            <w:lang w:val="fi-FI"/>
          </w:rPr>
          <w:t>http://data.europa.eu/eli/reg/2024/1309/oj</w:t>
        </w:r>
      </w:hyperlink>
      <w:r w:rsidRPr="00F92F0F">
        <w:rPr>
          <w:sz w:val="24"/>
          <w:szCs w:val="24"/>
          <w:lang w:val="fi-FI"/>
        </w:rPr>
        <w:t xml:space="preserve">. </w:t>
      </w:r>
    </w:p>
  </w:footnote>
  <w:footnote w:id="14">
    <w:p w14:paraId="0EAFD552" w14:textId="01DC60B1" w:rsidR="00CD5F3D" w:rsidRPr="00F92F0F" w:rsidRDefault="00CD5F3D" w:rsidP="00F11FB3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F92F0F">
        <w:rPr>
          <w:sz w:val="24"/>
          <w:szCs w:val="24"/>
          <w:lang w:val="fi-FI"/>
        </w:rPr>
        <w:t xml:space="preserve"> </w:t>
      </w:r>
      <w:r w:rsidR="00F11FB3" w:rsidRPr="00F92F0F">
        <w:rPr>
          <w:sz w:val="24"/>
          <w:szCs w:val="24"/>
          <w:lang w:val="fi-FI"/>
        </w:rPr>
        <w:tab/>
      </w:r>
      <w:r w:rsidRPr="00F92F0F">
        <w:rPr>
          <w:sz w:val="24"/>
          <w:szCs w:val="24"/>
          <w:lang w:val="fi-FI"/>
        </w:rPr>
        <w:t xml:space="preserve">Dz.U. L, 2024/1689, 12.7.2024, ELI: </w:t>
      </w:r>
      <w:hyperlink r:id="rId14" w:history="1">
        <w:r w:rsidRPr="00F92F0F">
          <w:rPr>
            <w:rStyle w:val="Hyperlink"/>
            <w:sz w:val="24"/>
            <w:szCs w:val="24"/>
            <w:lang w:val="fi-FI"/>
          </w:rPr>
          <w:t>http://data.europa.eu/eli/reg/2024/1689/oj</w:t>
        </w:r>
      </w:hyperlink>
      <w:r w:rsidRPr="00F92F0F">
        <w:rPr>
          <w:sz w:val="24"/>
          <w:szCs w:val="24"/>
          <w:lang w:val="fi-FI"/>
        </w:rPr>
        <w:t xml:space="preserve">. </w:t>
      </w:r>
    </w:p>
  </w:footnote>
  <w:footnote w:id="15">
    <w:p w14:paraId="0A97695C" w14:textId="12188C5F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249 z 14.7.2021, s. 38, ELI: </w:t>
      </w:r>
      <w:hyperlink r:id="rId15" w:history="1">
        <w:r w:rsidRPr="00A20678">
          <w:rPr>
            <w:rStyle w:val="Hyperlink"/>
            <w:sz w:val="24"/>
            <w:szCs w:val="24"/>
            <w:lang w:val="pl-PL"/>
          </w:rPr>
          <w:t>http://data.europa.eu/eli/reg/2021/1153/oj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16">
    <w:p w14:paraId="6DB1953B" w14:textId="3A628E3D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166 z 11.5.2021, s. 1, ELI: </w:t>
      </w:r>
      <w:hyperlink r:id="rId16" w:history="1">
        <w:r w:rsidRPr="00A20678">
          <w:rPr>
            <w:rStyle w:val="Hyperlink"/>
            <w:sz w:val="24"/>
            <w:szCs w:val="24"/>
            <w:lang w:val="pl-PL"/>
          </w:rPr>
          <w:t>http://data.europa.eu/eli/reg/2021/694/oj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17">
    <w:p w14:paraId="50B6FC15" w14:textId="43C740B9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170 z 12.5.2021, s. 1, ELI: </w:t>
      </w:r>
      <w:hyperlink r:id="rId17" w:history="1">
        <w:r w:rsidRPr="00A20678">
          <w:rPr>
            <w:rStyle w:val="Hyperlink"/>
            <w:sz w:val="24"/>
            <w:szCs w:val="24"/>
            <w:lang w:val="pl-PL"/>
          </w:rPr>
          <w:t>http://data.europa.eu/eli/reg/2021/695/oj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18">
    <w:p w14:paraId="16F19104" w14:textId="0DEDE074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170 z 12.5.2021, s. 69, ELI: </w:t>
      </w:r>
      <w:hyperlink r:id="rId18" w:history="1">
        <w:r w:rsidRPr="00A20678">
          <w:rPr>
            <w:rStyle w:val="Hyperlink"/>
            <w:sz w:val="24"/>
            <w:szCs w:val="24"/>
            <w:lang w:val="pl-PL"/>
          </w:rPr>
          <w:t>http://data.europa.eu/eli/reg/2021/696/oj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19">
    <w:p w14:paraId="4C5502B2" w14:textId="18F64FDA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79 z 17.3.2023, s. 1, ELI: </w:t>
      </w:r>
      <w:hyperlink r:id="rId19" w:history="1">
        <w:r w:rsidRPr="00A20678">
          <w:rPr>
            <w:rStyle w:val="Hyperlink"/>
            <w:sz w:val="24"/>
            <w:szCs w:val="24"/>
            <w:lang w:val="pl-PL"/>
          </w:rPr>
          <w:t>http://data.europa.eu/eli/reg/2023/588/oj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20">
    <w:p w14:paraId="74554200" w14:textId="19D6BEF4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427 z 30.11.2021, s. 17, ELI: </w:t>
      </w:r>
      <w:hyperlink r:id="rId20" w:history="1">
        <w:r w:rsidRPr="00A20678">
          <w:rPr>
            <w:rStyle w:val="Hyperlink"/>
            <w:sz w:val="24"/>
            <w:szCs w:val="24"/>
            <w:lang w:val="pl-PL"/>
          </w:rPr>
          <w:t>http://data.europa.eu/eli/reg/2021/2085/oj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21">
    <w:p w14:paraId="05D1E3F4" w14:textId="60F8FDB1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256 z 19.7.2021, s. 3, ELI: </w:t>
      </w:r>
      <w:hyperlink r:id="rId21" w:history="1">
        <w:r w:rsidRPr="00A20678">
          <w:rPr>
            <w:rStyle w:val="Hyperlink"/>
            <w:sz w:val="24"/>
            <w:szCs w:val="24"/>
            <w:lang w:val="pl-PL"/>
          </w:rPr>
          <w:t>http://data.europa.eu/eli/reg/2021/1173/oj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22">
    <w:p w14:paraId="6022B51F" w14:textId="0B352CC0" w:rsidR="00CD5F3D" w:rsidRPr="00F92F0F" w:rsidRDefault="00CD5F3D" w:rsidP="00F11FB3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F92F0F">
        <w:rPr>
          <w:sz w:val="24"/>
          <w:szCs w:val="24"/>
          <w:lang w:val="fi-FI"/>
        </w:rPr>
        <w:t xml:space="preserve"> </w:t>
      </w:r>
      <w:r w:rsidR="00F11FB3" w:rsidRPr="00F92F0F">
        <w:rPr>
          <w:sz w:val="24"/>
          <w:szCs w:val="24"/>
          <w:lang w:val="fi-FI"/>
        </w:rPr>
        <w:tab/>
      </w:r>
      <w:r w:rsidRPr="00F92F0F">
        <w:rPr>
          <w:sz w:val="24"/>
          <w:szCs w:val="24"/>
          <w:lang w:val="fi-FI"/>
        </w:rPr>
        <w:t xml:space="preserve">Dz.U. L, 2024/1732, 19.6.2024, ELI: </w:t>
      </w:r>
      <w:hyperlink r:id="rId22" w:history="1">
        <w:r w:rsidRPr="00F92F0F">
          <w:rPr>
            <w:rStyle w:val="Hyperlink"/>
            <w:sz w:val="24"/>
            <w:szCs w:val="24"/>
            <w:lang w:val="fi-FI"/>
          </w:rPr>
          <w:t>http://data.europa.eu/eli/reg/2024/1732/oj</w:t>
        </w:r>
      </w:hyperlink>
      <w:r w:rsidRPr="00F92F0F">
        <w:rPr>
          <w:sz w:val="24"/>
          <w:szCs w:val="24"/>
          <w:lang w:val="fi-FI"/>
        </w:rPr>
        <w:t xml:space="preserve">.    </w:t>
      </w:r>
    </w:p>
  </w:footnote>
  <w:footnote w:id="23">
    <w:p w14:paraId="2E8B49EB" w14:textId="066020D4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Dz.U. L 321 z 17.12.2018, s. 36, ELI: </w:t>
      </w:r>
      <w:hyperlink r:id="rId23" w:history="1">
        <w:r w:rsidRPr="00A20678">
          <w:rPr>
            <w:rStyle w:val="Hyperlink"/>
            <w:sz w:val="24"/>
            <w:szCs w:val="24"/>
            <w:lang w:val="pl-PL"/>
          </w:rPr>
          <w:t>http://data.europa.eu/eli/dir/2018/1972/oj</w:t>
        </w:r>
      </w:hyperlink>
      <w:r w:rsidRPr="00A20678">
        <w:rPr>
          <w:sz w:val="24"/>
          <w:szCs w:val="24"/>
          <w:lang w:val="pl-PL"/>
        </w:rPr>
        <w:t xml:space="preserve">. </w:t>
      </w:r>
    </w:p>
  </w:footnote>
  <w:footnote w:id="24">
    <w:p w14:paraId="309F862D" w14:textId="6D196C7A" w:rsidR="00CD5F3D" w:rsidRPr="00F92F0F" w:rsidRDefault="00CD5F3D" w:rsidP="00F11FB3">
      <w:pPr>
        <w:pStyle w:val="FootnoteText"/>
        <w:ind w:left="567" w:hanging="567"/>
        <w:rPr>
          <w:sz w:val="24"/>
          <w:szCs w:val="24"/>
          <w:lang w:val="fi-FI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F92F0F">
        <w:rPr>
          <w:sz w:val="24"/>
          <w:szCs w:val="24"/>
          <w:lang w:val="fi-FI"/>
        </w:rPr>
        <w:t xml:space="preserve"> </w:t>
      </w:r>
      <w:r w:rsidR="00F11FB3" w:rsidRPr="00F92F0F">
        <w:rPr>
          <w:sz w:val="24"/>
          <w:szCs w:val="24"/>
          <w:lang w:val="fi-FI"/>
        </w:rPr>
        <w:tab/>
      </w:r>
      <w:r w:rsidRPr="00F92F0F">
        <w:rPr>
          <w:sz w:val="24"/>
          <w:szCs w:val="24"/>
          <w:lang w:val="fi-FI"/>
        </w:rPr>
        <w:t xml:space="preserve">Dz.U. L, 2024/1183, 30.4.2024, ELI: </w:t>
      </w:r>
      <w:hyperlink r:id="rId24" w:history="1">
        <w:r w:rsidRPr="00F92F0F">
          <w:rPr>
            <w:rStyle w:val="Hyperlink"/>
            <w:sz w:val="24"/>
            <w:szCs w:val="24"/>
            <w:lang w:val="fi-FI"/>
          </w:rPr>
          <w:t>http://data.europa.eu/eli/reg/2024/1183/oj</w:t>
        </w:r>
      </w:hyperlink>
      <w:r w:rsidRPr="00F92F0F">
        <w:rPr>
          <w:sz w:val="24"/>
          <w:szCs w:val="24"/>
          <w:lang w:val="fi-FI"/>
        </w:rPr>
        <w:t xml:space="preserve">.  </w:t>
      </w:r>
    </w:p>
  </w:footnote>
  <w:footnote w:id="25">
    <w:p w14:paraId="3FA66D66" w14:textId="77777777" w:rsidR="00C47694" w:rsidRPr="00A20678" w:rsidRDefault="00C47694" w:rsidP="00C47694">
      <w:pPr>
        <w:pStyle w:val="FootnoteText"/>
        <w:ind w:left="567" w:hanging="567"/>
        <w:rPr>
          <w:sz w:val="24"/>
          <w:szCs w:val="24"/>
          <w:lang w:val="lt-LT"/>
        </w:rPr>
      </w:pPr>
      <w:r w:rsidRPr="00A20678">
        <w:rPr>
          <w:rStyle w:val="FootnoteReference"/>
          <w:sz w:val="24"/>
          <w:szCs w:val="24"/>
        </w:rPr>
        <w:footnoteRef/>
      </w:r>
      <w:r w:rsidRPr="00F92F0F">
        <w:rPr>
          <w:sz w:val="24"/>
          <w:szCs w:val="24"/>
          <w:lang w:val="pl-PL"/>
        </w:rPr>
        <w:t xml:space="preserve"> </w:t>
      </w:r>
      <w:r w:rsidRPr="00A20678">
        <w:rPr>
          <w:sz w:val="24"/>
          <w:szCs w:val="24"/>
          <w:lang w:val="lt-LT"/>
        </w:rPr>
        <w:tab/>
      </w:r>
      <w:r w:rsidRPr="00A20678">
        <w:rPr>
          <w:sz w:val="24"/>
          <w:szCs w:val="24"/>
          <w:lang w:val="pl-PL"/>
        </w:rPr>
        <w:t xml:space="preserve">Dz.U. </w:t>
      </w:r>
      <w:r w:rsidRPr="00F92F0F">
        <w:rPr>
          <w:sz w:val="24"/>
          <w:szCs w:val="24"/>
          <w:lang w:val="pl-PL"/>
        </w:rPr>
        <w:t>C 23</w:t>
      </w:r>
      <w:r>
        <w:rPr>
          <w:sz w:val="24"/>
          <w:szCs w:val="24"/>
          <w:lang w:val="pl-PL"/>
        </w:rPr>
        <w:t xml:space="preserve"> z</w:t>
      </w:r>
      <w:r w:rsidRPr="00F92F0F">
        <w:rPr>
          <w:sz w:val="24"/>
          <w:szCs w:val="24"/>
          <w:lang w:val="pl-PL"/>
        </w:rPr>
        <w:t xml:space="preserve"> 23.1.2023, </w:t>
      </w:r>
      <w:r>
        <w:rPr>
          <w:sz w:val="24"/>
          <w:szCs w:val="24"/>
          <w:lang w:val="pl-PL"/>
        </w:rPr>
        <w:t>s</w:t>
      </w:r>
      <w:r w:rsidRPr="00F92F0F">
        <w:rPr>
          <w:sz w:val="24"/>
          <w:szCs w:val="24"/>
          <w:lang w:val="pl-PL"/>
        </w:rPr>
        <w:t>. 1.</w:t>
      </w:r>
    </w:p>
  </w:footnote>
  <w:footnote w:id="26">
    <w:p w14:paraId="38356B79" w14:textId="7AD42F06" w:rsidR="00E03A30" w:rsidRPr="00F92F0F" w:rsidRDefault="00E03A30" w:rsidP="00E03A30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</w:rPr>
        <w:footnoteRef/>
      </w:r>
      <w:r w:rsidRPr="00F92F0F">
        <w:rPr>
          <w:sz w:val="24"/>
          <w:szCs w:val="24"/>
          <w:lang w:val="pl-PL"/>
        </w:rPr>
        <w:t xml:space="preserve"> </w:t>
      </w:r>
      <w:r w:rsidRPr="00F92F0F">
        <w:rPr>
          <w:sz w:val="24"/>
          <w:szCs w:val="24"/>
          <w:lang w:val="pl-PL"/>
        </w:rPr>
        <w:tab/>
        <w:t>Rozporządzenie Parlamentu Europejskiego i Rady (UE) 2022/2065 z dnia 19 października 2022 r. w sprawie jednolitego rynku usług cyfrowych oraz zmiany dyrektywy 2000/31/WE (akt o usługach cyfrowych) (Dz.U. L 277 z 27.10.2022, s. 1, ELI: </w:t>
      </w:r>
      <w:hyperlink r:id="rId25" w:tooltip="Dostęp do dokumentu poprzez identyfikator URI w systemie ELI." w:history="1">
        <w:r w:rsidRPr="00F92F0F">
          <w:rPr>
            <w:rStyle w:val="Hyperlink"/>
            <w:sz w:val="24"/>
            <w:szCs w:val="24"/>
            <w:lang w:val="pl-PL"/>
          </w:rPr>
          <w:t>http://data.europa.eu/eli/reg/2022/2065/oj</w:t>
        </w:r>
      </w:hyperlink>
      <w:r w:rsidRPr="00F92F0F">
        <w:rPr>
          <w:sz w:val="24"/>
          <w:szCs w:val="24"/>
          <w:lang w:val="pl-PL"/>
        </w:rPr>
        <w:t>).</w:t>
      </w:r>
    </w:p>
  </w:footnote>
  <w:footnote w:id="27">
    <w:p w14:paraId="72EB42F6" w14:textId="1AFFA484" w:rsidR="00CD5F3D" w:rsidRPr="00A20678" w:rsidRDefault="00CD5F3D" w:rsidP="00F11FB3">
      <w:pPr>
        <w:pStyle w:val="FootnoteText"/>
        <w:ind w:left="567" w:hanging="567"/>
        <w:rPr>
          <w:sz w:val="24"/>
          <w:szCs w:val="24"/>
          <w:lang w:val="pl-PL"/>
        </w:rPr>
      </w:pPr>
      <w:r w:rsidRPr="00A20678">
        <w:rPr>
          <w:rStyle w:val="FootnoteReference"/>
          <w:sz w:val="24"/>
          <w:szCs w:val="24"/>
          <w:lang w:val="pl-PL"/>
        </w:rPr>
        <w:footnoteRef/>
      </w:r>
      <w:r w:rsidR="00F11FB3" w:rsidRPr="00A20678">
        <w:rPr>
          <w:sz w:val="24"/>
          <w:szCs w:val="24"/>
          <w:lang w:val="pl-PL"/>
        </w:rPr>
        <w:t xml:space="preserve"> </w:t>
      </w:r>
      <w:r w:rsidR="00F11FB3" w:rsidRPr="00A20678">
        <w:rPr>
          <w:sz w:val="24"/>
          <w:szCs w:val="24"/>
          <w:lang w:val="pl-PL"/>
        </w:rPr>
        <w:tab/>
      </w:r>
      <w:r w:rsidRPr="00A20678">
        <w:rPr>
          <w:sz w:val="24"/>
          <w:szCs w:val="24"/>
          <w:lang w:val="pl-PL"/>
        </w:rPr>
        <w:t xml:space="preserve">Rozporządzenie Parlamentu Europejskiego i Rady (UE) 2024/1781 z dnia 13 czerwca 2024 r. w sprawie ustanowienia ram ustalania wymogów ekoprojektu w odniesieniu do zrównoważonych produktów oraz zmiany dyrektywy (UE) 2020/1828 i rozporządzenia (UE) 2023/1542 i uchylenia dyrektywy 2009/125/WE (Dz.U. L, 2024/1781, 28.6.2024, ELI: </w:t>
      </w:r>
      <w:hyperlink r:id="rId26" w:history="1">
        <w:r w:rsidRPr="00A20678">
          <w:rPr>
            <w:rStyle w:val="Hyperlink"/>
            <w:sz w:val="24"/>
            <w:szCs w:val="24"/>
            <w:lang w:val="pl-PL"/>
          </w:rPr>
          <w:t>http://data.europa.eu/eli/reg/2024/1781/oj</w:t>
        </w:r>
      </w:hyperlink>
      <w:r w:rsidRPr="00A20678">
        <w:rPr>
          <w:sz w:val="24"/>
          <w:szCs w:val="24"/>
          <w:lang w:val="pl-PL"/>
        </w:rPr>
        <w:t xml:space="preserve">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2111059">
    <w:abstractNumId w:val="9"/>
  </w:num>
  <w:num w:numId="2" w16cid:durableId="176192113">
    <w:abstractNumId w:val="9"/>
  </w:num>
  <w:num w:numId="3" w16cid:durableId="1863936170">
    <w:abstractNumId w:val="7"/>
  </w:num>
  <w:num w:numId="4" w16cid:durableId="1624577291">
    <w:abstractNumId w:val="7"/>
  </w:num>
  <w:num w:numId="5" w16cid:durableId="1978872972">
    <w:abstractNumId w:val="6"/>
  </w:num>
  <w:num w:numId="6" w16cid:durableId="70008131">
    <w:abstractNumId w:val="6"/>
  </w:num>
  <w:num w:numId="7" w16cid:durableId="1915049407">
    <w:abstractNumId w:val="5"/>
  </w:num>
  <w:num w:numId="8" w16cid:durableId="926813298">
    <w:abstractNumId w:val="5"/>
  </w:num>
  <w:num w:numId="9" w16cid:durableId="2015523156">
    <w:abstractNumId w:val="4"/>
  </w:num>
  <w:num w:numId="10" w16cid:durableId="1989048025">
    <w:abstractNumId w:val="4"/>
  </w:num>
  <w:num w:numId="11" w16cid:durableId="1249537560">
    <w:abstractNumId w:val="8"/>
  </w:num>
  <w:num w:numId="12" w16cid:durableId="680938921">
    <w:abstractNumId w:val="8"/>
  </w:num>
  <w:num w:numId="13" w16cid:durableId="217127140">
    <w:abstractNumId w:val="3"/>
  </w:num>
  <w:num w:numId="14" w16cid:durableId="1715233585">
    <w:abstractNumId w:val="3"/>
  </w:num>
  <w:num w:numId="15" w16cid:durableId="1918781214">
    <w:abstractNumId w:val="2"/>
  </w:num>
  <w:num w:numId="16" w16cid:durableId="430129338">
    <w:abstractNumId w:val="2"/>
  </w:num>
  <w:num w:numId="17" w16cid:durableId="777918918">
    <w:abstractNumId w:val="1"/>
  </w:num>
  <w:num w:numId="18" w16cid:durableId="1600672946">
    <w:abstractNumId w:val="1"/>
  </w:num>
  <w:num w:numId="19" w16cid:durableId="271938910">
    <w:abstractNumId w:val="0"/>
  </w:num>
  <w:num w:numId="20" w16cid:durableId="730807151">
    <w:abstractNumId w:val="0"/>
  </w:num>
  <w:num w:numId="21" w16cid:durableId="1064137351">
    <w:abstractNumId w:val="9"/>
  </w:num>
  <w:num w:numId="22" w16cid:durableId="1794211608">
    <w:abstractNumId w:val="7"/>
  </w:num>
  <w:num w:numId="23" w16cid:durableId="855465024">
    <w:abstractNumId w:val="6"/>
  </w:num>
  <w:num w:numId="24" w16cid:durableId="660356961">
    <w:abstractNumId w:val="5"/>
  </w:num>
  <w:num w:numId="25" w16cid:durableId="1573927580">
    <w:abstractNumId w:val="4"/>
  </w:num>
  <w:num w:numId="26" w16cid:durableId="825169369">
    <w:abstractNumId w:val="8"/>
  </w:num>
  <w:num w:numId="27" w16cid:durableId="2024818061">
    <w:abstractNumId w:val="3"/>
  </w:num>
  <w:num w:numId="28" w16cid:durableId="253787361">
    <w:abstractNumId w:val="2"/>
  </w:num>
  <w:num w:numId="29" w16cid:durableId="546919187">
    <w:abstractNumId w:val="1"/>
  </w:num>
  <w:num w:numId="30" w16cid:durableId="686445451">
    <w:abstractNumId w:val="0"/>
  </w:num>
  <w:num w:numId="31" w16cid:durableId="826899769">
    <w:abstractNumId w:val="9"/>
  </w:num>
  <w:num w:numId="32" w16cid:durableId="1237478364">
    <w:abstractNumId w:val="7"/>
  </w:num>
  <w:num w:numId="33" w16cid:durableId="1772160496">
    <w:abstractNumId w:val="6"/>
  </w:num>
  <w:num w:numId="34" w16cid:durableId="2019504499">
    <w:abstractNumId w:val="5"/>
  </w:num>
  <w:num w:numId="35" w16cid:durableId="1222787064">
    <w:abstractNumId w:val="4"/>
  </w:num>
  <w:num w:numId="36" w16cid:durableId="894512336">
    <w:abstractNumId w:val="8"/>
  </w:num>
  <w:num w:numId="37" w16cid:durableId="2076079800">
    <w:abstractNumId w:val="3"/>
  </w:num>
  <w:num w:numId="38" w16cid:durableId="421418301">
    <w:abstractNumId w:val="2"/>
  </w:num>
  <w:num w:numId="39" w16cid:durableId="1073549086">
    <w:abstractNumId w:val="1"/>
  </w:num>
  <w:num w:numId="40" w16cid:durableId="1058282893">
    <w:abstractNumId w:val="0"/>
  </w:num>
  <w:num w:numId="41" w16cid:durableId="1201019839">
    <w:abstractNumId w:val="10"/>
  </w:num>
  <w:num w:numId="42" w16cid:durableId="1965844828">
    <w:abstractNumId w:val="10"/>
  </w:num>
  <w:num w:numId="43" w16cid:durableId="1958641537">
    <w:abstractNumId w:val="10"/>
  </w:num>
  <w:num w:numId="44" w16cid:durableId="955015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7/2025"/>
    <w:docVar w:name="dvlangue" w:val="PL"/>
    <w:docVar w:name="dvnumam" w:val="0"/>
    <w:docVar w:name="dvpe" w:val="768.180"/>
    <w:docVar w:name="dvrapporteur" w:val="Sprawozdawczyni: "/>
    <w:docVar w:name="dvtitre" w:val="Rezolucja Parlamentu Europejskiego z dnia  2026 r. w sprawie europejskiej suwerenności technologicznej i infrastruktury cyfrowej(2025/2007(INI))"/>
  </w:docVars>
  <w:rsids>
    <w:rsidRoot w:val="00C53987"/>
    <w:rsid w:val="00002272"/>
    <w:rsid w:val="0001547D"/>
    <w:rsid w:val="00050C47"/>
    <w:rsid w:val="00064002"/>
    <w:rsid w:val="000677B9"/>
    <w:rsid w:val="00081EE3"/>
    <w:rsid w:val="000831BA"/>
    <w:rsid w:val="000933F1"/>
    <w:rsid w:val="000A42CC"/>
    <w:rsid w:val="000B1517"/>
    <w:rsid w:val="000E7DD9"/>
    <w:rsid w:val="0010095E"/>
    <w:rsid w:val="00125B37"/>
    <w:rsid w:val="001715F4"/>
    <w:rsid w:val="00187494"/>
    <w:rsid w:val="001A73B2"/>
    <w:rsid w:val="001F32AE"/>
    <w:rsid w:val="0022527C"/>
    <w:rsid w:val="00227E2A"/>
    <w:rsid w:val="0023798A"/>
    <w:rsid w:val="00265893"/>
    <w:rsid w:val="002767FF"/>
    <w:rsid w:val="002A0BD3"/>
    <w:rsid w:val="002B18FE"/>
    <w:rsid w:val="002B5493"/>
    <w:rsid w:val="002C34D0"/>
    <w:rsid w:val="00336F92"/>
    <w:rsid w:val="00343214"/>
    <w:rsid w:val="00361C00"/>
    <w:rsid w:val="00395FA1"/>
    <w:rsid w:val="003D5F1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72EC"/>
    <w:rsid w:val="006631B6"/>
    <w:rsid w:val="00680577"/>
    <w:rsid w:val="006F6B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A7E"/>
    <w:rsid w:val="008C2AC6"/>
    <w:rsid w:val="008C4857"/>
    <w:rsid w:val="00930C23"/>
    <w:rsid w:val="0093193B"/>
    <w:rsid w:val="009509D8"/>
    <w:rsid w:val="00950B64"/>
    <w:rsid w:val="00981893"/>
    <w:rsid w:val="00A1687D"/>
    <w:rsid w:val="00A20678"/>
    <w:rsid w:val="00A43E52"/>
    <w:rsid w:val="00A4678D"/>
    <w:rsid w:val="00A46DD3"/>
    <w:rsid w:val="00A722E1"/>
    <w:rsid w:val="00A778C7"/>
    <w:rsid w:val="00AB441E"/>
    <w:rsid w:val="00AB6293"/>
    <w:rsid w:val="00AC7FE7"/>
    <w:rsid w:val="00AD26E3"/>
    <w:rsid w:val="00AE0928"/>
    <w:rsid w:val="00AF3B82"/>
    <w:rsid w:val="00B12E95"/>
    <w:rsid w:val="00B22876"/>
    <w:rsid w:val="00B558F0"/>
    <w:rsid w:val="00BC4316"/>
    <w:rsid w:val="00BD48FE"/>
    <w:rsid w:val="00BD7BD8"/>
    <w:rsid w:val="00BE6ADC"/>
    <w:rsid w:val="00C05BFE"/>
    <w:rsid w:val="00C23CD4"/>
    <w:rsid w:val="00C31194"/>
    <w:rsid w:val="00C47694"/>
    <w:rsid w:val="00C515BD"/>
    <w:rsid w:val="00C53987"/>
    <w:rsid w:val="00C61C0C"/>
    <w:rsid w:val="00C941CB"/>
    <w:rsid w:val="00CC2357"/>
    <w:rsid w:val="00CD5F3D"/>
    <w:rsid w:val="00CF071A"/>
    <w:rsid w:val="00D058B8"/>
    <w:rsid w:val="00D331B2"/>
    <w:rsid w:val="00D51B18"/>
    <w:rsid w:val="00D56C11"/>
    <w:rsid w:val="00D834A0"/>
    <w:rsid w:val="00D872DF"/>
    <w:rsid w:val="00D91E21"/>
    <w:rsid w:val="00DA7FCD"/>
    <w:rsid w:val="00E03A30"/>
    <w:rsid w:val="00E365E1"/>
    <w:rsid w:val="00E716AB"/>
    <w:rsid w:val="00E820A4"/>
    <w:rsid w:val="00EB006A"/>
    <w:rsid w:val="00EB4772"/>
    <w:rsid w:val="00EC09A7"/>
    <w:rsid w:val="00ED169E"/>
    <w:rsid w:val="00ED4235"/>
    <w:rsid w:val="00F04346"/>
    <w:rsid w:val="00F075DC"/>
    <w:rsid w:val="00F11FB3"/>
    <w:rsid w:val="00F149E9"/>
    <w:rsid w:val="00F5134D"/>
    <w:rsid w:val="00F74202"/>
    <w:rsid w:val="00F779A7"/>
    <w:rsid w:val="00F87713"/>
    <w:rsid w:val="00F92F0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78245"/>
  <w15:chartTrackingRefBased/>
  <w15:docId w15:val="{5ADA926E-9C91-4263-AA4A-9BD42251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5F3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CD5F3D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CD5F3D"/>
    <w:rPr>
      <w:i/>
    </w:rPr>
  </w:style>
  <w:style w:type="character" w:styleId="Hyperlink">
    <w:name w:val="Hyperlink"/>
    <w:basedOn w:val="DefaultParagraphFont"/>
    <w:rsid w:val="00CD5F3D"/>
    <w:rPr>
      <w:color w:val="0000FF"/>
      <w:u w:val="single"/>
    </w:rPr>
  </w:style>
  <w:style w:type="paragraph" w:styleId="Revision">
    <w:name w:val="Revision"/>
    <w:hidden/>
    <w:uiPriority w:val="99"/>
    <w:semiHidden/>
    <w:rsid w:val="00050C47"/>
    <w:rPr>
      <w:sz w:val="24"/>
      <w:lang w:val="pl-PL"/>
    </w:rPr>
  </w:style>
  <w:style w:type="character" w:styleId="FollowedHyperlink">
    <w:name w:val="FollowedHyperlink"/>
    <w:basedOn w:val="DefaultParagraphFont"/>
    <w:rsid w:val="00050C4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2/2481/oj" TargetMode="External"/><Relationship Id="rId13" Type="http://schemas.openxmlformats.org/officeDocument/2006/relationships/hyperlink" Target="http://data.europa.eu/eli/reg/2024/1309/oj" TargetMode="External"/><Relationship Id="rId18" Type="http://schemas.openxmlformats.org/officeDocument/2006/relationships/hyperlink" Target="http://data.europa.eu/eli/reg/2021/696/oj" TargetMode="External"/><Relationship Id="rId26" Type="http://schemas.openxmlformats.org/officeDocument/2006/relationships/hyperlink" Target="http://data.europa.eu/eli/reg/2024/1781/oj" TargetMode="External"/><Relationship Id="rId3" Type="http://schemas.openxmlformats.org/officeDocument/2006/relationships/hyperlink" Target="https://www.enisa.europa.eu/publications/foresight-cybersecurity-threats-for-2030-update-2024" TargetMode="External"/><Relationship Id="rId21" Type="http://schemas.openxmlformats.org/officeDocument/2006/relationships/hyperlink" Target="http://data.europa.eu/eli/reg/2021/1173/oj" TargetMode="External"/><Relationship Id="rId7" Type="http://schemas.openxmlformats.org/officeDocument/2006/relationships/hyperlink" Target="http://data.europa.eu/eli/reg/2025/37/oj" TargetMode="External"/><Relationship Id="rId12" Type="http://schemas.openxmlformats.org/officeDocument/2006/relationships/hyperlink" Target="http://data.europa.eu/eli/reg/2023/2854/oj" TargetMode="External"/><Relationship Id="rId17" Type="http://schemas.openxmlformats.org/officeDocument/2006/relationships/hyperlink" Target="http://data.europa.eu/eli/reg/2021/695/oj" TargetMode="External"/><Relationship Id="rId25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dir/2022/2555/oj" TargetMode="External"/><Relationship Id="rId16" Type="http://schemas.openxmlformats.org/officeDocument/2006/relationships/hyperlink" Target="http://data.europa.eu/eli/reg/2021/694/oj" TargetMode="External"/><Relationship Id="rId20" Type="http://schemas.openxmlformats.org/officeDocument/2006/relationships/hyperlink" Target="http://data.europa.eu/eli/reg/2021/2085/oj" TargetMode="External"/><Relationship Id="rId1" Type="http://schemas.openxmlformats.org/officeDocument/2006/relationships/hyperlink" Target="http://data.europa.eu/eli/reg/2023/1781/oj" TargetMode="External"/><Relationship Id="rId6" Type="http://schemas.openxmlformats.org/officeDocument/2006/relationships/hyperlink" Target="http://data.europa.eu/eli/reg/2025/38/oj" TargetMode="External"/><Relationship Id="rId11" Type="http://schemas.openxmlformats.org/officeDocument/2006/relationships/hyperlink" Target="http://data.europa.eu/eli/reg/2024/795/oj" TargetMode="External"/><Relationship Id="rId24" Type="http://schemas.openxmlformats.org/officeDocument/2006/relationships/hyperlink" Target="http://data.europa.eu/eli/reg/2024/1183/oj" TargetMode="External"/><Relationship Id="rId5" Type="http://schemas.openxmlformats.org/officeDocument/2006/relationships/hyperlink" Target="http://data.europa.eu/eli/reg/2019/881/oj" TargetMode="External"/><Relationship Id="rId15" Type="http://schemas.openxmlformats.org/officeDocument/2006/relationships/hyperlink" Target="http://data.europa.eu/eli/reg/2021/1153/oj" TargetMode="External"/><Relationship Id="rId23" Type="http://schemas.openxmlformats.org/officeDocument/2006/relationships/hyperlink" Target="http://data.europa.eu/eli/dir/2018/1972/oj" TargetMode="External"/><Relationship Id="rId10" Type="http://schemas.openxmlformats.org/officeDocument/2006/relationships/hyperlink" Target="http://data.europa.eu/eli/dir/2019/1024/oj" TargetMode="External"/><Relationship Id="rId19" Type="http://schemas.openxmlformats.org/officeDocument/2006/relationships/hyperlink" Target="http://data.europa.eu/eli/reg/2023/588/oj" TargetMode="External"/><Relationship Id="rId4" Type="http://schemas.openxmlformats.org/officeDocument/2006/relationships/hyperlink" Target="http://data.europa.eu/eli/reg/2024/2847/oj" TargetMode="External"/><Relationship Id="rId9" Type="http://schemas.openxmlformats.org/officeDocument/2006/relationships/hyperlink" Target="http://data.europa.eu/eli/reg/2024/903/oj" TargetMode="External"/><Relationship Id="rId14" Type="http://schemas.openxmlformats.org/officeDocument/2006/relationships/hyperlink" Target="http://data.europa.eu/eli/reg/2024/1689/oj" TargetMode="External"/><Relationship Id="rId22" Type="http://schemas.openxmlformats.org/officeDocument/2006/relationships/hyperlink" Target="http://data.europa.eu/eli/reg/2024/173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27</Pages>
  <Words>10025</Words>
  <Characters>69960</Characters>
  <Application>Microsoft Office Word</Application>
  <DocSecurity>0</DocSecurity>
  <Lines>583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KLIMKOWSKI Andrzej</cp:lastModifiedBy>
  <cp:revision>3</cp:revision>
  <cp:lastPrinted>2004-11-19T15:42:00Z</cp:lastPrinted>
  <dcterms:created xsi:type="dcterms:W3CDTF">2026-02-26T14:08:00Z</dcterms:created>
  <dcterms:modified xsi:type="dcterms:W3CDTF">2026-02-26T14:54:00Z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A10-0107/2025</vt:lpwstr>
  </property>
  <property fmtid="{D5CDD505-2E9C-101B-9397-08002B2CF9AE}" pid="4" name="&lt;Type&gt;">
    <vt:lpwstr>RR</vt:lpwstr>
  </property>
</Properties>
</file>